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kern w:val="0"/>
          <w:sz w:val="24"/>
          <w:szCs w:val="24"/>
          <w:lang w:val="en-US" w:eastAsia="zh-CN"/>
        </w:rPr>
        <w:t xml:space="preserve">SUPPLEMENTARY TABLE S1.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Primers used in this study for </w:t>
      </w:r>
      <w:r>
        <w:rPr>
          <w:rFonts w:ascii="Times New Roman" w:hAnsi="Times New Roman" w:eastAsia="宋体" w:cs="Times New Roman"/>
          <w:b/>
          <w:bCs/>
          <w:kern w:val="0"/>
          <w:sz w:val="24"/>
          <w:szCs w:val="24"/>
        </w:rPr>
        <w:t>genotyping, plasmid construction, RT-PCR and qRT-PCR.</w:t>
      </w:r>
    </w:p>
    <w:p>
      <w:pPr>
        <w:autoSpaceDE w:val="0"/>
        <w:autoSpaceDN w:val="0"/>
        <w:adjustRightInd w:val="0"/>
        <w:rPr>
          <w:rFonts w:hint="eastAsia" w:ascii="Times New Roman" w:hAnsi="Times New Roman" w:cs="Times New Roman"/>
          <w:b/>
          <w:kern w:val="0"/>
          <w:sz w:val="24"/>
          <w:szCs w:val="24"/>
          <w:lang w:val="en-US" w:eastAsia="zh-CN"/>
        </w:rPr>
      </w:pPr>
    </w:p>
    <w:tbl>
      <w:tblPr>
        <w:tblStyle w:val="3"/>
        <w:tblpPr w:leftFromText="180" w:rightFromText="180" w:vertAnchor="text" w:horzAnchor="page" w:tblpX="1990" w:tblpY="289"/>
        <w:tblOverlap w:val="never"/>
        <w:tblW w:w="84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7"/>
        <w:gridCol w:w="4160"/>
        <w:gridCol w:w="19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4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Primers used for genotyping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Primers</w:t>
            </w:r>
          </w:p>
        </w:tc>
        <w:tc>
          <w:tcPr>
            <w:tcW w:w="4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oligonucleotide</w:t>
            </w:r>
          </w:p>
        </w:tc>
        <w:tc>
          <w:tcPr>
            <w:tcW w:w="1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restriction site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RH31-crispr-LP</w:t>
            </w:r>
          </w:p>
        </w:tc>
        <w:tc>
          <w:tcPr>
            <w:tcW w:w="4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AACGGTCCTCCTCTGTTCCTT</w:t>
            </w:r>
          </w:p>
        </w:tc>
        <w:tc>
          <w:tcPr>
            <w:tcW w:w="19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MfeI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RH31-crispr-RP</w:t>
            </w:r>
          </w:p>
        </w:tc>
        <w:tc>
          <w:tcPr>
            <w:tcW w:w="4160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CATTCTCCTTATCAAACCCAAA</w:t>
            </w:r>
          </w:p>
        </w:tc>
        <w:tc>
          <w:tcPr>
            <w:tcW w:w="19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PROAt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CAPE3-crispr-LP</w:t>
            </w:r>
          </w:p>
        </w:tc>
        <w:tc>
          <w:tcPr>
            <w:tcW w:w="4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GCCATAACCTTTTTCCTTGTTCTCA</w:t>
            </w:r>
          </w:p>
        </w:tc>
        <w:tc>
          <w:tcPr>
            <w:tcW w:w="19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AflII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PROAt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CAPE3-crispr-RP</w:t>
            </w:r>
          </w:p>
        </w:tc>
        <w:tc>
          <w:tcPr>
            <w:tcW w:w="4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GTGATAAAGGTTTGACCATTGTTGC</w:t>
            </w:r>
          </w:p>
        </w:tc>
        <w:tc>
          <w:tcPr>
            <w:tcW w:w="19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zCas9-IDF3-2</w:t>
            </w:r>
          </w:p>
        </w:tc>
        <w:tc>
          <w:tcPr>
            <w:tcW w:w="4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CTGTTCGTCGAGCAGCACAAGCATT</w:t>
            </w:r>
          </w:p>
        </w:tc>
        <w:tc>
          <w:tcPr>
            <w:tcW w:w="192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rbcS_E9t-IDR</w:t>
            </w:r>
          </w:p>
        </w:tc>
        <w:tc>
          <w:tcPr>
            <w:tcW w:w="4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CATTAGAGGCCACGATTTGACACAT</w:t>
            </w:r>
          </w:p>
        </w:tc>
        <w:tc>
          <w:tcPr>
            <w:tcW w:w="192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3"/>
        <w:tblW w:w="8948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2"/>
        <w:gridCol w:w="5772"/>
        <w:gridCol w:w="140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89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</w:rPr>
              <w:t>Primers used for plasmid construction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7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Primers</w:t>
            </w:r>
          </w:p>
        </w:tc>
        <w:tc>
          <w:tcPr>
            <w:tcW w:w="5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oligonucleotide</w:t>
            </w:r>
          </w:p>
        </w:tc>
        <w:tc>
          <w:tcPr>
            <w:tcW w:w="1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restriction site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7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RH31-OE-LP</w:t>
            </w:r>
          </w:p>
        </w:tc>
        <w:tc>
          <w:tcPr>
            <w:tcW w:w="5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CTGCAGTAGTGTATTGTTCTAAATGTTCTTCAACTTCCTTCC</w:t>
            </w:r>
          </w:p>
        </w:tc>
        <w:tc>
          <w:tcPr>
            <w:tcW w:w="140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PstI KpnI</w:t>
            </w:r>
          </w:p>
        </w:tc>
      </w:tr>
      <w:tr>
        <w:trPr>
          <w:trHeight w:val="252" w:hRule="atLeast"/>
        </w:trPr>
        <w:tc>
          <w:tcPr>
            <w:tcW w:w="17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RH31-OE-RP</w:t>
            </w:r>
          </w:p>
        </w:tc>
        <w:tc>
          <w:tcPr>
            <w:tcW w:w="5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GGTACCCTTGGCTCTAAGACCAGGAACATTTTTGA</w:t>
            </w:r>
          </w:p>
        </w:tc>
        <w:tc>
          <w:tcPr>
            <w:tcW w:w="140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7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RH31-GFP-LP</w:t>
            </w:r>
          </w:p>
        </w:tc>
        <w:tc>
          <w:tcPr>
            <w:tcW w:w="5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CTGCAGTAGTGTATTGTTCTAAATGTTCTTCAACTTCCTTCC</w:t>
            </w:r>
          </w:p>
        </w:tc>
        <w:tc>
          <w:tcPr>
            <w:tcW w:w="140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PstI KpnI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7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RH31-GFP-RP</w:t>
            </w:r>
          </w:p>
        </w:tc>
        <w:tc>
          <w:tcPr>
            <w:tcW w:w="5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GGTACCCTTGGCTCTAAGACCAGGAACATTTTTGA</w:t>
            </w:r>
          </w:p>
        </w:tc>
        <w:tc>
          <w:tcPr>
            <w:tcW w:w="140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7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t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u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 xml:space="preserve"> I-1-LP</w:t>
            </w:r>
          </w:p>
        </w:tc>
        <w:tc>
          <w:tcPr>
            <w:tcW w:w="5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AAAGGATCCATGGCGACTGGGGCAG</w:t>
            </w:r>
          </w:p>
        </w:tc>
        <w:tc>
          <w:tcPr>
            <w:tcW w:w="140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BamHI EcoRI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7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t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u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 xml:space="preserve"> I-1-RP</w:t>
            </w:r>
          </w:p>
        </w:tc>
        <w:tc>
          <w:tcPr>
            <w:tcW w:w="5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GCCGAATTCATGAATTGCCTTGGAGTTGC</w:t>
            </w:r>
          </w:p>
        </w:tc>
        <w:tc>
          <w:tcPr>
            <w:tcW w:w="140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7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t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u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 xml:space="preserve"> I-2-LP</w:t>
            </w:r>
          </w:p>
        </w:tc>
        <w:tc>
          <w:tcPr>
            <w:tcW w:w="5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AAAGGATCCGACCAGAATTTTACCGGAAAGGTA</w:t>
            </w:r>
          </w:p>
        </w:tc>
        <w:tc>
          <w:tcPr>
            <w:tcW w:w="140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BamHI EcoRI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7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t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u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 xml:space="preserve"> I-2-RP</w:t>
            </w:r>
          </w:p>
        </w:tc>
        <w:tc>
          <w:tcPr>
            <w:tcW w:w="5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GCCGAATTCGTTTACTACTTCCTCTCCTTCAACATAG</w:t>
            </w:r>
          </w:p>
        </w:tc>
        <w:tc>
          <w:tcPr>
            <w:tcW w:w="140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>
        <w:trPr>
          <w:trHeight w:val="252" w:hRule="atLeast"/>
        </w:trPr>
        <w:tc>
          <w:tcPr>
            <w:tcW w:w="17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t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u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 xml:space="preserve"> II-LP</w:t>
            </w:r>
          </w:p>
        </w:tc>
        <w:tc>
          <w:tcPr>
            <w:tcW w:w="5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AAAGGATCCGGTAGTTCTAAAGTAGAAACCAGGC</w:t>
            </w:r>
          </w:p>
        </w:tc>
        <w:tc>
          <w:tcPr>
            <w:tcW w:w="140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BamHI EcoRI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7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t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u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 xml:space="preserve"> II-RP</w:t>
            </w:r>
          </w:p>
        </w:tc>
        <w:tc>
          <w:tcPr>
            <w:tcW w:w="5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GCCGAATTCTTGGATATCTCCGTACTCCCAG</w:t>
            </w:r>
          </w:p>
        </w:tc>
        <w:tc>
          <w:tcPr>
            <w:tcW w:w="140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7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RH31-hy-LP</w:t>
            </w:r>
          </w:p>
        </w:tc>
        <w:tc>
          <w:tcPr>
            <w:tcW w:w="5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AAAGAATTCATGGGAGATATTGGGGAT</w:t>
            </w:r>
          </w:p>
        </w:tc>
        <w:tc>
          <w:tcPr>
            <w:tcW w:w="140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BamHI EcoRI</w:t>
            </w:r>
          </w:p>
        </w:tc>
      </w:tr>
      <w:tr>
        <w:trPr>
          <w:trHeight w:val="252" w:hRule="atLeast"/>
        </w:trPr>
        <w:tc>
          <w:tcPr>
            <w:tcW w:w="17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RH31-hy-RP</w:t>
            </w:r>
          </w:p>
        </w:tc>
        <w:tc>
          <w:tcPr>
            <w:tcW w:w="5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GCCGGATCCTTACTTGGCTCTAAGACCAG</w:t>
            </w:r>
          </w:p>
        </w:tc>
        <w:tc>
          <w:tcPr>
            <w:tcW w:w="140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7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TSN1-Nluc-LP</w:t>
            </w:r>
          </w:p>
        </w:tc>
        <w:tc>
          <w:tcPr>
            <w:tcW w:w="5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AATTGGTACCATGGCGACTGGGGCAGCAACTG</w:t>
            </w:r>
          </w:p>
        </w:tc>
        <w:tc>
          <w:tcPr>
            <w:tcW w:w="140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KpnI SalI</w:t>
            </w:r>
          </w:p>
        </w:tc>
      </w:tr>
      <w:tr>
        <w:trPr>
          <w:trHeight w:val="252" w:hRule="atLeast"/>
        </w:trPr>
        <w:tc>
          <w:tcPr>
            <w:tcW w:w="17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TSN1-Nluc-RP</w:t>
            </w:r>
          </w:p>
        </w:tc>
        <w:tc>
          <w:tcPr>
            <w:tcW w:w="5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AATTGTCGACCCCGCGACCCGGTTTCCTGACTG</w:t>
            </w:r>
          </w:p>
        </w:tc>
        <w:tc>
          <w:tcPr>
            <w:tcW w:w="140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7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Cluc-RH31-LP</w:t>
            </w:r>
          </w:p>
        </w:tc>
        <w:tc>
          <w:tcPr>
            <w:tcW w:w="5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GGTACCTAGTGTATTGTTCTAAATGTTCTTCAACTTCCTTCC</w:t>
            </w:r>
          </w:p>
        </w:tc>
        <w:tc>
          <w:tcPr>
            <w:tcW w:w="140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KpnI PstI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7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Cluc-RH31-RP</w:t>
            </w:r>
          </w:p>
        </w:tc>
        <w:tc>
          <w:tcPr>
            <w:tcW w:w="5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CTGCAGTTACTTGGCTCTAAGACCAGGAACATTTTTG</w:t>
            </w:r>
          </w:p>
        </w:tc>
        <w:tc>
          <w:tcPr>
            <w:tcW w:w="140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</w:tbl>
    <w:p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tbl>
      <w:tblPr>
        <w:tblStyle w:val="3"/>
        <w:tblW w:w="7739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8"/>
        <w:gridCol w:w="601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7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</w:rPr>
              <w:t>Primers used for RT-PCR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Primers</w:t>
            </w:r>
          </w:p>
        </w:tc>
        <w:tc>
          <w:tcPr>
            <w:tcW w:w="601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oligonucleotide</w:t>
            </w:r>
          </w:p>
        </w:tc>
      </w:tr>
      <w:tr>
        <w:trPr>
          <w:trHeight w:val="270" w:hRule="atLeast"/>
        </w:trPr>
        <w:tc>
          <w:tcPr>
            <w:tcW w:w="17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RH31-LP</w:t>
            </w:r>
          </w:p>
        </w:tc>
        <w:tc>
          <w:tcPr>
            <w:tcW w:w="601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CTCAAAGACCATATCGAGAACACGC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RH31-RP</w:t>
            </w:r>
          </w:p>
        </w:tc>
        <w:tc>
          <w:tcPr>
            <w:tcW w:w="601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GGGTCACATCAGGGTAATCAACTCC</w:t>
            </w:r>
          </w:p>
        </w:tc>
      </w:tr>
      <w:tr>
        <w:trPr>
          <w:trHeight w:val="270" w:hRule="atLeast"/>
        </w:trPr>
        <w:tc>
          <w:tcPr>
            <w:tcW w:w="17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ctin2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-LP</w:t>
            </w:r>
          </w:p>
        </w:tc>
        <w:tc>
          <w:tcPr>
            <w:tcW w:w="601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CACTGTGCCAATCTACGAGGGT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ctin2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-RP</w:t>
            </w:r>
          </w:p>
        </w:tc>
        <w:tc>
          <w:tcPr>
            <w:tcW w:w="601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GCTGGAATGTGCTGAGGGAAG</w:t>
            </w:r>
          </w:p>
        </w:tc>
      </w:tr>
    </w:tbl>
    <w:p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tbl>
      <w:tblPr>
        <w:tblStyle w:val="3"/>
        <w:tblW w:w="7530" w:type="dxa"/>
        <w:tblInd w:w="9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1"/>
        <w:gridCol w:w="507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75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Primers used for qRT-PCR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Primers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oligonucleotide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RH31-qLP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TGGAAGGCTCAAAGACCATATC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RH31-qRP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CCTTGCGAAAGCCCATATCTA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PROAtCAPE3-qLP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GCTGCTTATGCCCGTAACT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PROAtCAPE3-qRP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CCAAGCGATGTTCTCTCCATAG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PROAtCAPE7-qLP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CGGAACTACGCAAACCAACTA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PROAtCAPE7-qRP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CAAGTCACCGCCACTCTTT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PROAtCAPE8 -qLP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GAGCAATACGCCTGGAACTAT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PROAtCAPE8 -qRP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TCACCGTAAAGCCCATTTGA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PROAtCAPE9 -qLP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ATACACTCTGGTGGGCCTTA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PROAtCAPE9 -qRP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GCGTAGTTGTAGTTAGCCTTCTC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P5CS1-qLP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CTTGTGATACGGATATGGCAAAGCG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P5CS1-qRP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CCTTGGTCCACCATACAAAGTGACTCC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AREB1-qLP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GGATCATGGAAATGCAAAAGAAT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AREB1-qRP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TTGGACCTCCTTGCAGAAGATT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RD29B-qLP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GTGAAGATGACTATCTCGGTGG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RD29B-qRP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CACCACTGAGATAATCCGATCC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GA20ox3-qLP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AGGAGAAGATCCATTCCCAAAC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GA20ox3-qRP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GCCTCCGCGTATTCTTGATAA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AtPrx39-qLP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CACGACTCTGATAACCCTCTTTG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AtPrx39-qRP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GGAGCAATGAGACACTCCAATC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At1g49570-qLP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CGATTCTATGACCGGTCTTG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At1g49570-qRP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TTTGGCTGAGCGTTCTTCTC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At5g19890-qLP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TCTTCCTAATGCCACTCTCC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At5g19890-qRP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ATGGAGCTGACAGCGAGAAA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At5g27420-qLP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CCGTGTCGGCGGGTCAACCCGG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At5g27420-qRP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CTTCTGTGTCTTCACTTCTGAG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At5g44440-qLP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TACCCGAGGCTGCAATTCAA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At5g44440-qRP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CTTGTCTTCCTCTTCTCTCC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At1g60810-qLP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GCTCGGAAGAAGATCAGAGA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At1g60810-qRP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TTGCCACGCTTTCCGAACAA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At4g34270-qLP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GTGAAAACTGTTGGAGAGAAGCAA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At4g34270-qRP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TCAACTGGATACCCTTTCGCA</w:t>
            </w:r>
          </w:p>
        </w:tc>
      </w:tr>
    </w:tbl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kern w:val="0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/>
        <w:jc w:val="center"/>
      </w:pPr>
      <w:r>
        <w:drawing>
          <wp:inline distT="0" distB="0" distL="0" distR="0">
            <wp:extent cx="2546985" cy="4383405"/>
            <wp:effectExtent l="0" t="0" r="5715" b="10795"/>
            <wp:docPr id="1" name="图片 1" descr="F:\刘亚男\20180524\文章\JXB上传\20190308 revision-major\figure\Supplemental 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刘亚男\20180524\文章\JXB上传\20190308 revision-major\figure\Supplemental Figure S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438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Times New Roman" w:hAnsi="Times New Roman" w:eastAsia="HelveticaNeueLTStd-Lt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F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IGURE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 S1. 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 xml:space="preserve">The </w:t>
      </w: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e</w:t>
      </w:r>
      <w:r>
        <w:rPr>
          <w:rFonts w:ascii="Times New Roman" w:hAnsi="Times New Roman" w:eastAsia="HelveticaNeueLTStd-Lt" w:cs="Times New Roman"/>
          <w:b/>
          <w:kern w:val="0"/>
          <w:sz w:val="24"/>
          <w:szCs w:val="24"/>
        </w:rPr>
        <w:t xml:space="preserve">xpression levels of </w:t>
      </w:r>
      <w:r>
        <w:rPr>
          <w:rFonts w:ascii="Times New Roman" w:hAnsi="Times New Roman" w:eastAsia="HelveticaNeueLTStd-LtIt" w:cs="Times New Roman"/>
          <w:b/>
          <w:i/>
          <w:iCs/>
          <w:kern w:val="0"/>
          <w:sz w:val="24"/>
          <w:szCs w:val="24"/>
        </w:rPr>
        <w:t xml:space="preserve">RH31 </w:t>
      </w:r>
      <w:r>
        <w:rPr>
          <w:rFonts w:ascii="Times New Roman" w:hAnsi="Times New Roman" w:eastAsia="HelveticaNeueLTStd-Lt" w:cs="Times New Roman"/>
          <w:b/>
          <w:kern w:val="0"/>
          <w:sz w:val="24"/>
          <w:szCs w:val="24"/>
        </w:rPr>
        <w:t xml:space="preserve">detected by quantitative RT-PCR in </w:t>
      </w:r>
      <w:r>
        <w:rPr>
          <w:rFonts w:ascii="Times New Roman" w:hAnsi="Times New Roman" w:eastAsia="HelveticaNeueLTStd-LtIt" w:cs="Times New Roman"/>
          <w:b/>
          <w:i/>
          <w:iCs/>
          <w:kern w:val="0"/>
          <w:sz w:val="24"/>
          <w:szCs w:val="24"/>
        </w:rPr>
        <w:t xml:space="preserve">RH31 </w:t>
      </w:r>
      <w:r>
        <w:rPr>
          <w:rFonts w:ascii="Times New Roman" w:hAnsi="Times New Roman" w:eastAsia="HelveticaNeueLTStd-Lt" w:cs="Times New Roman"/>
          <w:b/>
          <w:kern w:val="0"/>
          <w:sz w:val="24"/>
          <w:szCs w:val="24"/>
        </w:rPr>
        <w:t>overexpression lines (</w:t>
      </w:r>
      <w:r>
        <w:rPr>
          <w:rFonts w:ascii="Times New Roman" w:hAnsi="Times New Roman" w:eastAsia="HelveticaNeueLTStd-LtIt" w:cs="Times New Roman"/>
          <w:b/>
          <w:i/>
          <w:iCs/>
          <w:kern w:val="0"/>
          <w:sz w:val="24"/>
          <w:szCs w:val="24"/>
        </w:rPr>
        <w:t>OE</w:t>
      </w:r>
      <w:r>
        <w:rPr>
          <w:rFonts w:ascii="Times New Roman" w:hAnsi="Times New Roman" w:eastAsia="HelveticaNeueLTStd-Lt" w:cs="Times New Roman"/>
          <w:b/>
          <w:kern w:val="0"/>
          <w:sz w:val="24"/>
          <w:szCs w:val="24"/>
        </w:rPr>
        <w:t xml:space="preserve">1, </w:t>
      </w:r>
      <w:r>
        <w:rPr>
          <w:rFonts w:ascii="Times New Roman" w:hAnsi="Times New Roman" w:eastAsia="HelveticaNeueLTStd-LtIt" w:cs="Times New Roman"/>
          <w:b/>
          <w:i/>
          <w:iCs/>
          <w:kern w:val="0"/>
          <w:sz w:val="24"/>
          <w:szCs w:val="24"/>
        </w:rPr>
        <w:t>OE</w:t>
      </w:r>
      <w:r>
        <w:rPr>
          <w:rFonts w:ascii="Times New Roman" w:hAnsi="Times New Roman" w:eastAsia="HelveticaNeueLTStd-Lt" w:cs="Times New Roman"/>
          <w:b/>
          <w:kern w:val="0"/>
          <w:sz w:val="24"/>
          <w:szCs w:val="24"/>
        </w:rPr>
        <w:t>2) and Col-0 plants.</w:t>
      </w: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Error bars indicate the standard error for the average of three independent experiments.</w:t>
      </w:r>
    </w:p>
    <w:p>
      <w:pPr>
        <w:autoSpaceDE w:val="0"/>
        <w:autoSpaceDN w:val="0"/>
        <w:adjustRightInd w:val="0"/>
        <w:spacing w:line="360" w:lineRule="auto"/>
      </w:pPr>
    </w:p>
    <w:p>
      <w:pPr>
        <w:autoSpaceDE w:val="0"/>
        <w:autoSpaceDN w:val="0"/>
        <w:adjustRightInd w:val="0"/>
        <w:spacing w:line="360" w:lineRule="auto"/>
        <w:jc w:val="center"/>
      </w:pPr>
    </w:p>
    <w:p>
      <w:pPr>
        <w:autoSpaceDE w:val="0"/>
        <w:autoSpaceDN w:val="0"/>
        <w:adjustRightInd w:val="0"/>
        <w:spacing w:line="360" w:lineRule="auto"/>
        <w:jc w:val="center"/>
      </w:pPr>
    </w:p>
    <w:p>
      <w:pPr>
        <w:autoSpaceDE w:val="0"/>
        <w:autoSpaceDN w:val="0"/>
        <w:adjustRightInd w:val="0"/>
        <w:spacing w:line="360" w:lineRule="auto"/>
        <w:jc w:val="center"/>
      </w:pPr>
    </w:p>
    <w:p>
      <w:pPr>
        <w:autoSpaceDE w:val="0"/>
        <w:autoSpaceDN w:val="0"/>
        <w:adjustRightInd w:val="0"/>
        <w:spacing w:line="360" w:lineRule="auto"/>
        <w:jc w:val="center"/>
      </w:pPr>
    </w:p>
    <w:p>
      <w:pPr>
        <w:autoSpaceDE w:val="0"/>
        <w:autoSpaceDN w:val="0"/>
        <w:adjustRightInd w:val="0"/>
        <w:spacing w:line="360" w:lineRule="auto"/>
        <w:jc w:val="center"/>
      </w:pPr>
      <w:r>
        <w:rPr>
          <w:rFonts w:hint="eastAsia"/>
        </w:rPr>
        <w:drawing>
          <wp:inline distT="0" distB="0" distL="114300" distR="114300">
            <wp:extent cx="5441950" cy="2419350"/>
            <wp:effectExtent l="0" t="0" r="6350" b="6350"/>
            <wp:docPr id="7" name="图片 7" descr="Figure S2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 S2 11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F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IGURE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 S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>
        <w:rPr>
          <w:rFonts w:ascii="Times New Roman" w:hAnsi="Times New Roman" w:eastAsia="HelveticaNeueLTStd-Lt" w:cs="Times New Roman"/>
          <w:b/>
          <w:kern w:val="0"/>
          <w:sz w:val="24"/>
          <w:szCs w:val="24"/>
        </w:rPr>
        <w:t xml:space="preserve"> Phenotype characterization of </w:t>
      </w: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20</w:t>
      </w:r>
      <w:r>
        <w:rPr>
          <w:rFonts w:ascii="Times New Roman" w:hAnsi="Times New Roman" w:eastAsia="HelveticaNeueLTStd-Lt" w:cs="Times New Roman"/>
          <w:b/>
          <w:kern w:val="0"/>
          <w:sz w:val="24"/>
          <w:szCs w:val="24"/>
        </w:rPr>
        <w:t xml:space="preserve">-day-old Col-0 and </w:t>
      </w:r>
      <w:r>
        <w:rPr>
          <w:rFonts w:ascii="Times New Roman" w:hAnsi="Times New Roman" w:eastAsia="HelveticaNeueLTStd-LtIt" w:cs="Times New Roman"/>
          <w:b/>
          <w:i/>
          <w:iCs/>
          <w:kern w:val="0"/>
          <w:sz w:val="24"/>
          <w:szCs w:val="24"/>
        </w:rPr>
        <w:t>rh31</w:t>
      </w:r>
      <w:r>
        <w:rPr>
          <w:rFonts w:ascii="Times New Roman" w:hAnsi="Times New Roman" w:eastAsia="HelveticaNeueLTStd-Lt" w:cs="Times New Roman"/>
          <w:b/>
          <w:kern w:val="0"/>
          <w:sz w:val="24"/>
          <w:szCs w:val="24"/>
        </w:rPr>
        <w:t xml:space="preserve"> seedlings</w:t>
      </w: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 xml:space="preserve">. </w:t>
      </w:r>
    </w:p>
    <w:p>
      <w:pPr>
        <w:pStyle w:val="6"/>
        <w:numPr>
          <w:ilvl w:val="0"/>
          <w:numId w:val="1"/>
        </w:numPr>
        <w:autoSpaceDE w:val="0"/>
        <w:autoSpaceDN w:val="0"/>
        <w:adjustRightInd w:val="0"/>
        <w:spacing w:after="312" w:afterLines="100"/>
        <w:ind w:firstLine="0" w:firstLineChars="0"/>
        <w:rPr>
          <w:rFonts w:ascii="Times New Roman" w:hAnsi="Times New Roman" w:eastAsia="HelveticaNeueLTStd-Lt" w:cs="Times New Roman"/>
          <w:kern w:val="0"/>
          <w:sz w:val="24"/>
          <w:szCs w:val="24"/>
        </w:rPr>
      </w:pP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Phenotype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hint="eastAsia" w:ascii="Times New Roman" w:hAnsi="Times New Roman" w:eastAsia="宋体" w:cs="Times New Roman"/>
          <w:bCs/>
          <w:kern w:val="0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-day-old </w:t>
      </w:r>
      <w:r>
        <w:rPr>
          <w:rFonts w:ascii="Times New Roman" w:hAnsi="Times New Roman" w:eastAsia="HelveticaNeueLTStd-Lt" w:cs="Times New Roman"/>
          <w:i/>
          <w:kern w:val="0"/>
          <w:sz w:val="24"/>
          <w:szCs w:val="24"/>
        </w:rPr>
        <w:t>rh31</w:t>
      </w:r>
      <w:r>
        <w:rPr>
          <w:rFonts w:ascii="Times New Roman" w:hAnsi="Times New Roman" w:cs="Times New Roman"/>
          <w:sz w:val="24"/>
          <w:szCs w:val="24"/>
        </w:rPr>
        <w:t xml:space="preserve"> seedlings under normal conditions.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After germinated for 24 h under normal condition, </w:t>
      </w:r>
      <w:r>
        <w:rPr>
          <w:rFonts w:ascii="Times New Roman" w:hAnsi="Times New Roman" w:eastAsia="TimesNewRomanMTStd" w:cs="Times New Roman"/>
          <w:kern w:val="0"/>
          <w:sz w:val="24"/>
          <w:szCs w:val="24"/>
        </w:rPr>
        <w:t xml:space="preserve">synchronized growth of </w:t>
      </w:r>
      <w:r>
        <w:rPr>
          <w:rFonts w:ascii="Times New Roman" w:hAnsi="Times New Roman" w:cs="Times New Roman"/>
          <w:kern w:val="0"/>
          <w:sz w:val="24"/>
          <w:szCs w:val="24"/>
        </w:rPr>
        <w:t>Col-0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TimesNewRomanMTStd" w:cs="Times New Roman"/>
          <w:kern w:val="0"/>
          <w:sz w:val="24"/>
          <w:szCs w:val="24"/>
        </w:rPr>
        <w:t>and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kern w:val="0"/>
          <w:sz w:val="24"/>
          <w:szCs w:val="24"/>
        </w:rPr>
        <w:t>rh31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seedlings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were transferred to MS medium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for another 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19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d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ays</w:t>
      </w:r>
      <w:r>
        <w:rPr>
          <w:rFonts w:ascii="Times New Roman" w:hAnsi="Times New Roman" w:eastAsia="宋体" w:cs="Times New Roman"/>
          <w:bCs/>
          <w:kern w:val="0"/>
          <w:sz w:val="24"/>
          <w:szCs w:val="24"/>
        </w:rPr>
        <w:t>. Experiments were repeated three times with similar results.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Cs/>
          <w:kern w:val="0"/>
          <w:sz w:val="24"/>
          <w:szCs w:val="24"/>
        </w:rPr>
        <w:t>Scale bars</w:t>
      </w:r>
      <w:r>
        <w:rPr>
          <w:rFonts w:ascii="Times New Roman" w:hAnsi="Times New Roman" w:cs="Times New Roman"/>
          <w:sz w:val="24"/>
          <w:szCs w:val="24"/>
        </w:rPr>
        <w:t xml:space="preserve"> = 1 cm.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b/>
          <w:bCs/>
          <w:kern w:val="0"/>
          <w:sz w:val="24"/>
          <w:szCs w:val="24"/>
        </w:rPr>
        <w:t>(B)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Root length of seedlings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 xml:space="preserve">shown in </w:t>
      </w:r>
      <w:r>
        <w:rPr>
          <w:rFonts w:ascii="Times New Roman" w:hAnsi="Times New Roman" w:eastAsia="HelveticaNeueLTStd-Lt" w:cs="Times New Roman"/>
          <w:b/>
          <w:bCs/>
          <w:kern w:val="0"/>
          <w:sz w:val="24"/>
          <w:szCs w:val="24"/>
        </w:rPr>
        <w:t>(A)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. 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T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he primary roots of</w:t>
      </w:r>
      <w:r>
        <w:rPr>
          <w:rFonts w:ascii="Times New Roman" w:hAnsi="Times New Roman" w:eastAsia="TimesNewRomanMTStd" w:cs="Times New Roman"/>
          <w:kern w:val="0"/>
          <w:sz w:val="24"/>
          <w:szCs w:val="24"/>
        </w:rPr>
        <w:t xml:space="preserve"> at least</w:t>
      </w:r>
      <w:r>
        <w:rPr>
          <w:rFonts w:hint="eastAsia" w:ascii="Times New Roman" w:hAnsi="Times New Roman" w:eastAsia="TimesNewRomanMTStd" w:cs="Times New Roman"/>
          <w:kern w:val="0"/>
          <w:sz w:val="24"/>
          <w:szCs w:val="24"/>
        </w:rPr>
        <w:t xml:space="preserve"> 30</w:t>
      </w:r>
      <w:r>
        <w:rPr>
          <w:rFonts w:ascii="Times New Roman" w:hAnsi="Times New Roman" w:eastAsia="TimesNewRomanMTStd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seedlings were measured and reported as the mean length, (n = </w:t>
      </w:r>
      <w:r>
        <w:rPr>
          <w:rFonts w:hint="eastAsia" w:ascii="Times New Roman" w:hAnsi="Times New Roman" w:eastAsia="HelveticaNeueLTStd-Lt" w:cs="Times New Roman"/>
          <w:kern w:val="0"/>
          <w:sz w:val="24"/>
          <w:szCs w:val="24"/>
        </w:rPr>
        <w:t>3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replicates).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b/>
          <w:bCs/>
          <w:kern w:val="0"/>
          <w:sz w:val="24"/>
          <w:szCs w:val="24"/>
        </w:rPr>
        <w:t>(C)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Fresh weight of seedlings 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 xml:space="preserve">shown in </w:t>
      </w:r>
      <w:r>
        <w:rPr>
          <w:rFonts w:ascii="Times New Roman" w:hAnsi="Times New Roman" w:eastAsia="HelveticaNeueLTStd-Lt" w:cs="Times New Roman"/>
          <w:b/>
          <w:bCs/>
          <w:kern w:val="0"/>
          <w:sz w:val="24"/>
          <w:szCs w:val="24"/>
        </w:rPr>
        <w:t>(A)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.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</w:t>
      </w:r>
      <w:r>
        <w:rPr>
          <w:rFonts w:hint="eastAsia" w:ascii="Times New Roman" w:hAnsi="Times New Roman" w:eastAsia="HelveticaNeueLTStd-Lt" w:cs="Times New Roman"/>
          <w:kern w:val="0"/>
          <w:sz w:val="24"/>
          <w:szCs w:val="24"/>
        </w:rPr>
        <w:t>3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0 seedlings were measured per replicate, (n = </w:t>
      </w:r>
      <w:r>
        <w:rPr>
          <w:rFonts w:hint="eastAsia" w:ascii="Times New Roman" w:hAnsi="Times New Roman" w:eastAsia="HelveticaNeueLTStd-Lt" w:cs="Times New Roman"/>
          <w:kern w:val="0"/>
          <w:sz w:val="24"/>
          <w:szCs w:val="24"/>
        </w:rPr>
        <w:t>3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replicates). </w:t>
      </w:r>
      <w:r>
        <w:rPr>
          <w:rFonts w:ascii="Times New Roman" w:hAnsi="Times New Roman" w:eastAsia="HelveticaNeueLTStd-Lt" w:cs="Times New Roman"/>
          <w:b/>
          <w:bCs/>
          <w:kern w:val="0"/>
          <w:sz w:val="24"/>
          <w:szCs w:val="24"/>
        </w:rPr>
        <w:t>(D)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Phenotypes of </w:t>
      </w:r>
      <w:r>
        <w:rPr>
          <w:rFonts w:ascii="Times New Roman" w:hAnsi="Times New Roman" w:eastAsia="HelveticaNeueLTStd-Lt" w:cs="Times New Roman"/>
          <w:i/>
          <w:kern w:val="0"/>
          <w:sz w:val="24"/>
          <w:szCs w:val="24"/>
        </w:rPr>
        <w:t>rh31</w:t>
      </w:r>
      <w:r>
        <w:rPr>
          <w:rFonts w:hint="eastAsia" w:ascii="Times New Roman" w:hAnsi="Times New Roman" w:eastAsia="宋体" w:cs="Times New Roman"/>
          <w:i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seedlings treated with 150 mM NaCl for 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19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d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ays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. After germinated for 24 h under normal condition, synchronized growth of Col-0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and </w:t>
      </w:r>
      <w:r>
        <w:rPr>
          <w:rFonts w:ascii="Times New Roman" w:hAnsi="Times New Roman" w:eastAsia="HelveticaNeueLTStd-Lt" w:cs="Times New Roman"/>
          <w:i/>
          <w:iCs/>
          <w:kern w:val="0"/>
          <w:sz w:val="24"/>
          <w:szCs w:val="24"/>
        </w:rPr>
        <w:t>rh31</w:t>
      </w:r>
      <w:r>
        <w:rPr>
          <w:rFonts w:hint="eastAsia" w:ascii="Times New Roman" w:hAnsi="Times New Roman" w:eastAsia="宋体" w:cs="Times New Roman"/>
          <w:i/>
          <w:iCs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seedlings were transferred to MS medium with or without 150 mM NaCl for another 1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9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d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ays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.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Cs/>
          <w:kern w:val="0"/>
          <w:sz w:val="24"/>
          <w:szCs w:val="24"/>
        </w:rPr>
        <w:t>Experiments were repeated three times with similar results.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Cs/>
          <w:kern w:val="0"/>
          <w:sz w:val="24"/>
          <w:szCs w:val="24"/>
        </w:rPr>
        <w:t>Scale bars</w:t>
      </w:r>
      <w:r>
        <w:rPr>
          <w:rFonts w:ascii="Times New Roman" w:hAnsi="Times New Roman" w:cs="Times New Roman"/>
          <w:sz w:val="24"/>
          <w:szCs w:val="24"/>
        </w:rPr>
        <w:t xml:space="preserve"> = 1 cm.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b/>
          <w:bCs/>
          <w:kern w:val="0"/>
          <w:sz w:val="24"/>
          <w:szCs w:val="24"/>
        </w:rPr>
        <w:t>(E)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Relative root growth of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seedlings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shown in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(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szCs w:val="24"/>
        </w:rPr>
        <w:t>D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)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.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T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he primary roots of </w:t>
      </w:r>
      <w:r>
        <w:rPr>
          <w:rFonts w:ascii="Times New Roman" w:hAnsi="Times New Roman" w:eastAsia="TimesNewRomanMTStd" w:cs="Times New Roman"/>
          <w:kern w:val="0"/>
          <w:sz w:val="24"/>
          <w:szCs w:val="24"/>
        </w:rPr>
        <w:t>at least</w:t>
      </w:r>
      <w:r>
        <w:rPr>
          <w:rFonts w:hint="eastAsia" w:ascii="Times New Roman" w:hAnsi="Times New Roman" w:eastAsia="TimesNewRomanMTStd" w:cs="Times New Roman"/>
          <w:kern w:val="0"/>
          <w:sz w:val="24"/>
          <w:szCs w:val="24"/>
        </w:rPr>
        <w:t xml:space="preserve"> 30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seedlings were measured and relative growth was reported as the mean length, (n = </w:t>
      </w:r>
      <w:r>
        <w:rPr>
          <w:rFonts w:hint="eastAsia" w:ascii="Times New Roman" w:hAnsi="Times New Roman" w:eastAsia="HelveticaNeueLTStd-Lt" w:cs="Times New Roman"/>
          <w:kern w:val="0"/>
          <w:sz w:val="24"/>
          <w:szCs w:val="24"/>
        </w:rPr>
        <w:t>3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replicates). </w:t>
      </w:r>
      <w:r>
        <w:rPr>
          <w:rFonts w:ascii="Times New Roman" w:hAnsi="Times New Roman" w:eastAsia="HelveticaNeueLTStd-Lt" w:cs="Times New Roman"/>
          <w:b/>
          <w:bCs/>
          <w:kern w:val="0"/>
          <w:sz w:val="24"/>
          <w:szCs w:val="24"/>
        </w:rPr>
        <w:t>(F)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Relative fresh weight of seedlings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 xml:space="preserve">shown in 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(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szCs w:val="24"/>
        </w:rPr>
        <w:t>D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)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. </w:t>
      </w:r>
      <w:r>
        <w:rPr>
          <w:rFonts w:hint="eastAsia" w:ascii="Times New Roman" w:hAnsi="Times New Roman" w:eastAsia="HelveticaNeueLTStd-Lt" w:cs="Times New Roman"/>
          <w:kern w:val="0"/>
          <w:sz w:val="24"/>
          <w:szCs w:val="24"/>
        </w:rPr>
        <w:t>60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seedlings were measured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under salt stress while </w:t>
      </w:r>
      <w:r>
        <w:rPr>
          <w:rFonts w:hint="eastAsia" w:ascii="Times New Roman" w:hAnsi="Times New Roman" w:eastAsia="HelveticaNeueLTStd-Lt" w:cs="Times New Roman"/>
          <w:kern w:val="0"/>
          <w:sz w:val="24"/>
          <w:szCs w:val="24"/>
        </w:rPr>
        <w:t>30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seedlings were measured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under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normal condition per replicate,</w:t>
      </w:r>
      <w:r>
        <w:rPr>
          <w:rFonts w:hint="eastAsia" w:ascii="Times New Roman" w:hAnsi="Times New Roman" w:eastAsia="HelveticaNeueLTStd-Lt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and relative fresh weight was reported as the mean fresh weight (n = </w:t>
      </w:r>
      <w:r>
        <w:rPr>
          <w:rFonts w:hint="eastAsia" w:ascii="Times New Roman" w:hAnsi="Times New Roman" w:eastAsia="HelveticaNeueLTStd-Lt" w:cs="Times New Roman"/>
          <w:kern w:val="0"/>
          <w:sz w:val="24"/>
          <w:szCs w:val="24"/>
        </w:rPr>
        <w:t>3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replicates). *</w:t>
      </w:r>
      <w:r>
        <w:rPr>
          <w:rFonts w:ascii="Times New Roman" w:hAnsi="Times New Roman" w:eastAsia="HelveticaNeueLTStd-LtIt" w:cs="Times New Roman"/>
          <w:i/>
          <w:iCs/>
          <w:kern w:val="0"/>
          <w:sz w:val="24"/>
          <w:szCs w:val="24"/>
        </w:rPr>
        <w:t>P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&lt;0.05 and **</w:t>
      </w:r>
      <w:r>
        <w:rPr>
          <w:rFonts w:ascii="Times New Roman" w:hAnsi="Times New Roman" w:eastAsia="HelveticaNeueLTStd-LtIt" w:cs="Times New Roman"/>
          <w:i/>
          <w:iCs/>
          <w:kern w:val="0"/>
          <w:sz w:val="24"/>
          <w:szCs w:val="24"/>
        </w:rPr>
        <w:t>P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&lt;0.01 (Student’s </w:t>
      </w:r>
      <w:r>
        <w:rPr>
          <w:rFonts w:ascii="Times New Roman" w:hAnsi="Times New Roman" w:eastAsia="HelveticaNeueLTStd-Lt" w:cs="Times New Roman"/>
          <w:i/>
          <w:kern w:val="0"/>
          <w:sz w:val="24"/>
          <w:szCs w:val="24"/>
        </w:rPr>
        <w:t>t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-test) indicate significant differences between </w:t>
      </w:r>
      <w:r>
        <w:rPr>
          <w:rFonts w:ascii="Times New Roman" w:hAnsi="Times New Roman" w:eastAsia="HelveticaNeueLTStd-Lt" w:cs="Times New Roman"/>
          <w:i/>
          <w:kern w:val="0"/>
          <w:sz w:val="24"/>
          <w:szCs w:val="24"/>
        </w:rPr>
        <w:t>rh31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and Col-0 plants. Error bars indicate the standard error for the average of three independent experiments.</w:t>
      </w:r>
    </w:p>
    <w:p>
      <w:pPr>
        <w:widowControl/>
        <w:jc w:val="left"/>
      </w:pPr>
      <w:r>
        <w:br w:type="page"/>
      </w:r>
      <w:bookmarkStart w:id="2" w:name="_GoBack"/>
      <w:bookmarkEnd w:id="2"/>
    </w:p>
    <w:p>
      <w:pPr>
        <w:widowControl/>
        <w:jc w:val="center"/>
      </w:pPr>
      <w:r>
        <w:rPr>
          <w:rFonts w:hint="eastAsia"/>
        </w:rPr>
        <w:drawing>
          <wp:inline distT="0" distB="0" distL="114300" distR="114300">
            <wp:extent cx="4374515" cy="2698115"/>
            <wp:effectExtent l="0" t="0" r="6985" b="6985"/>
            <wp:docPr id="5" name="图片 5" descr="Figure S3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3 11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F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IGURE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 S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Cell death induced by salt in cotyledons of Col-0, </w:t>
      </w:r>
      <w:r>
        <w:rPr>
          <w:rFonts w:ascii="Times New Roman" w:hAnsi="Times New Roman" w:cs="Times New Roman"/>
          <w:b/>
          <w:i/>
          <w:kern w:val="0"/>
          <w:sz w:val="24"/>
          <w:szCs w:val="24"/>
        </w:rPr>
        <w:t>rh31-14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kern w:val="0"/>
          <w:sz w:val="24"/>
          <w:szCs w:val="24"/>
        </w:rPr>
        <w:t>rh31-41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 and 35S:RH31 seedlings.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Cotyledons of 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8</w:t>
      </w:r>
      <w:r>
        <w:rPr>
          <w:rFonts w:ascii="Times New Roman" w:hAnsi="Times New Roman" w:cs="Times New Roman"/>
          <w:kern w:val="0"/>
          <w:sz w:val="24"/>
          <w:szCs w:val="24"/>
        </w:rPr>
        <w:t>-day-old seedlings were treated with 150 mM NaCl and stained with trypan blue. The leaves treated with ddH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O were used as control.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Scale </w:t>
      </w:r>
      <w:r>
        <w:rPr>
          <w:rFonts w:hint="eastAsia" w:ascii="Times New Roman" w:hAnsi="Times New Roman" w:eastAsia="宋体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ar</w:t>
      </w:r>
      <w:r>
        <w:rPr>
          <w:rFonts w:hint="eastAsia"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kern w:val="0"/>
          <w:sz w:val="24"/>
          <w:szCs w:val="24"/>
        </w:rPr>
        <w:t>1 mm.</w:t>
      </w:r>
    </w:p>
    <w:p>
      <w:r>
        <w:drawing>
          <wp:inline distT="0" distB="0" distL="114300" distR="114300">
            <wp:extent cx="4934585" cy="7638415"/>
            <wp:effectExtent l="0" t="0" r="5715" b="6985"/>
            <wp:docPr id="3" name="图片 3" descr="Figure S4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4 11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F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IGURE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 S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>
        <w:rPr>
          <w:rFonts w:ascii="Times New Roman" w:hAnsi="Times New Roman" w:eastAsia="HelveticaNeueLTStd-Lt" w:cs="Times New Roman"/>
          <w:b/>
          <w:kern w:val="0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Growth p</w:t>
      </w:r>
      <w:r>
        <w:rPr>
          <w:rFonts w:ascii="Times New Roman" w:hAnsi="Times New Roman" w:eastAsia="HelveticaNeueLTStd-Lt" w:cs="Times New Roman"/>
          <w:b/>
          <w:kern w:val="0"/>
          <w:sz w:val="24"/>
          <w:szCs w:val="24"/>
        </w:rPr>
        <w:t xml:space="preserve">henotype characterization of </w:t>
      </w:r>
      <w:r>
        <w:rPr>
          <w:rFonts w:ascii="Times New Roman" w:hAnsi="Times New Roman" w:eastAsia="TimesNewRomanMTStd" w:cs="Times New Roman"/>
          <w:b/>
          <w:color w:val="000000"/>
          <w:kern w:val="0"/>
          <w:sz w:val="24"/>
          <w:szCs w:val="24"/>
        </w:rPr>
        <w:t>complemented</w:t>
      </w:r>
      <w:r>
        <w:rPr>
          <w:rFonts w:ascii="Times New Roman" w:hAnsi="Times New Roman" w:eastAsia="HelveticaNeueLTStd-Lt" w:cs="Times New Roman"/>
          <w:b/>
          <w:kern w:val="0"/>
          <w:sz w:val="24"/>
          <w:szCs w:val="24"/>
        </w:rPr>
        <w:t xml:space="preserve"> </w:t>
      </w:r>
      <w:r>
        <w:rPr>
          <w:rFonts w:ascii="Times New Roman" w:hAnsi="Times New Roman" w:eastAsia="TimesNewRomanMTStd" w:cs="Times New Roman"/>
          <w:b/>
          <w:color w:val="000000"/>
          <w:kern w:val="0"/>
          <w:sz w:val="24"/>
          <w:szCs w:val="24"/>
        </w:rPr>
        <w:t>transgenic line</w:t>
      </w:r>
      <w:r>
        <w:rPr>
          <w:rFonts w:ascii="Times New Roman" w:hAnsi="Times New Roman" w:eastAsia="HelveticaNeueLTStd-Lt" w:cs="Times New Roman"/>
          <w:b/>
          <w:kern w:val="0"/>
          <w:sz w:val="24"/>
          <w:szCs w:val="24"/>
        </w:rPr>
        <w:t xml:space="preserve"> seedlings under normal and stress conditions.</w:t>
      </w: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b/>
          <w:bCs/>
          <w:kern w:val="0"/>
          <w:sz w:val="24"/>
          <w:szCs w:val="24"/>
        </w:rPr>
        <w:t>(A)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It" w:cs="Times New Roman"/>
          <w:i/>
          <w:iCs/>
          <w:kern w:val="0"/>
          <w:sz w:val="24"/>
          <w:szCs w:val="24"/>
        </w:rPr>
        <w:t>RH31</w:t>
      </w:r>
      <w:r>
        <w:rPr>
          <w:rFonts w:ascii="Times New Roman" w:hAnsi="Times New Roman" w:eastAsia="HelveticaNeueLTStd-LtIt" w:cs="Times New Roman"/>
          <w:iCs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expression</w:t>
      </w:r>
      <w:r>
        <w:rPr>
          <w:rFonts w:ascii="Times New Roman" w:hAnsi="Times New Roman" w:eastAsia="HelveticaNeueLTStd-LtIt" w:cs="Times New Roman"/>
          <w:i/>
          <w:iCs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detected by RT-PCR in </w:t>
      </w:r>
      <w:r>
        <w:rPr>
          <w:rFonts w:ascii="Times New Roman" w:hAnsi="Times New Roman" w:eastAsia="HelveticaNeueLTStd-LtIt" w:cs="Times New Roman"/>
          <w:i/>
          <w:iCs/>
          <w:kern w:val="0"/>
          <w:sz w:val="24"/>
          <w:szCs w:val="24"/>
        </w:rPr>
        <w:t xml:space="preserve">RH31 </w:t>
      </w:r>
      <w:bookmarkStart w:id="0" w:name="OLE_LINK5"/>
      <w:bookmarkStart w:id="1" w:name="OLE_LINK6"/>
      <w:r>
        <w:rPr>
          <w:rFonts w:ascii="Times New Roman" w:hAnsi="Times New Roman" w:eastAsia="TimesNewRomanMTStd" w:cs="Times New Roman"/>
          <w:kern w:val="0"/>
          <w:sz w:val="24"/>
          <w:szCs w:val="24"/>
        </w:rPr>
        <w:t>complemented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TimesNewRomanMTStd" w:cs="Times New Roman"/>
          <w:kern w:val="0"/>
          <w:sz w:val="24"/>
          <w:szCs w:val="24"/>
        </w:rPr>
        <w:t>transgenic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lines</w:t>
      </w:r>
      <w:bookmarkEnd w:id="0"/>
      <w:bookmarkEnd w:id="1"/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and Col-0 plants. </w:t>
      </w:r>
      <w:r>
        <w:rPr>
          <w:rFonts w:ascii="Times New Roman" w:hAnsi="Times New Roman" w:eastAsia="HelveticaNeueLTStd-LtIt" w:cs="Times New Roman"/>
          <w:i/>
          <w:iCs/>
          <w:kern w:val="0"/>
          <w:sz w:val="24"/>
          <w:szCs w:val="24"/>
        </w:rPr>
        <w:t>4-2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was selected for further study. </w:t>
      </w:r>
      <w:r>
        <w:rPr>
          <w:rFonts w:ascii="Times New Roman" w:hAnsi="Times New Roman" w:eastAsia="HelveticaNeueLTStd-Lt" w:cs="Times New Roman"/>
          <w:b/>
          <w:bCs/>
          <w:kern w:val="0"/>
          <w:sz w:val="24"/>
          <w:szCs w:val="24"/>
        </w:rPr>
        <w:t>(B)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Phenotype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s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of </w:t>
      </w:r>
      <w:r>
        <w:rPr>
          <w:rFonts w:hint="eastAsia"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-day-old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seedlings under normal condition. After germinated for 24 h under normal condition, </w:t>
      </w:r>
      <w:r>
        <w:rPr>
          <w:rFonts w:ascii="Times New Roman" w:hAnsi="Times New Roman" w:eastAsia="TimesNewRomanMTStd" w:cs="Times New Roman"/>
          <w:kern w:val="0"/>
          <w:sz w:val="24"/>
          <w:szCs w:val="24"/>
        </w:rPr>
        <w:t xml:space="preserve">synchronized growth of </w:t>
      </w:r>
      <w:r>
        <w:rPr>
          <w:rFonts w:ascii="Times New Roman" w:hAnsi="Times New Roman" w:cs="Times New Roman"/>
          <w:kern w:val="0"/>
          <w:sz w:val="24"/>
          <w:szCs w:val="24"/>
        </w:rPr>
        <w:t>Col-0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 xml:space="preserve"> and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kern w:val="0"/>
          <w:sz w:val="24"/>
          <w:szCs w:val="24"/>
        </w:rPr>
        <w:t>rh31</w:t>
      </w:r>
      <w:r>
        <w:rPr>
          <w:rFonts w:ascii="Times New Roman" w:hAnsi="Times New Roman" w:eastAsia="TimesNewRomanMTStd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seedlings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were transferred to MS medium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for another 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10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d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ays</w:t>
      </w:r>
      <w:r>
        <w:rPr>
          <w:rFonts w:ascii="Times New Roman" w:hAnsi="Times New Roman" w:eastAsia="宋体" w:cs="Times New Roman"/>
          <w:bCs/>
          <w:kern w:val="0"/>
          <w:sz w:val="24"/>
          <w:szCs w:val="24"/>
        </w:rPr>
        <w:t>. Experiments were repeated three times with similar results.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Cs/>
          <w:kern w:val="0"/>
          <w:sz w:val="24"/>
          <w:szCs w:val="24"/>
        </w:rPr>
        <w:t>Scale bars</w:t>
      </w:r>
      <w:r>
        <w:rPr>
          <w:rFonts w:ascii="Times New Roman" w:hAnsi="Times New Roman" w:cs="Times New Roman"/>
          <w:sz w:val="24"/>
          <w:szCs w:val="24"/>
        </w:rPr>
        <w:t xml:space="preserve"> = 1 cm.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b/>
          <w:bCs/>
          <w:kern w:val="0"/>
          <w:sz w:val="24"/>
          <w:szCs w:val="24"/>
        </w:rPr>
        <w:t>(C, D)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Phenotype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s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of seedlings treated with 150 mM NaCl</w:t>
      </w:r>
      <w:r>
        <w:rPr>
          <w:rFonts w:ascii="Times New Roman" w:hAnsi="Times New Roman" w:eastAsia="HelveticaNeueLTStd-Lt" w:cs="Times New Roman"/>
          <w:b/>
          <w:bCs/>
          <w:kern w:val="0"/>
          <w:sz w:val="24"/>
          <w:szCs w:val="24"/>
        </w:rPr>
        <w:t xml:space="preserve"> (C)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or 250 mM mannitol </w:t>
      </w:r>
      <w:r>
        <w:rPr>
          <w:rFonts w:ascii="Times New Roman" w:hAnsi="Times New Roman" w:eastAsia="HelveticaNeueLTStd-Lt" w:cs="Times New Roman"/>
          <w:b/>
          <w:bCs/>
          <w:kern w:val="0"/>
          <w:sz w:val="24"/>
          <w:szCs w:val="24"/>
        </w:rPr>
        <w:t>(D)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for 10 d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ays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. After germinated for 24 h under normal condition, synchronized growth of Col-0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and </w:t>
      </w:r>
      <w:r>
        <w:rPr>
          <w:rFonts w:ascii="Times New Roman" w:hAnsi="Times New Roman" w:eastAsia="HelveticaNeueLTStd-Lt" w:cs="Times New Roman"/>
          <w:i/>
          <w:iCs/>
          <w:kern w:val="0"/>
          <w:sz w:val="24"/>
          <w:szCs w:val="24"/>
        </w:rPr>
        <w:t>rh31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seedlings were transferred to MS medium with or without 150 mM NaCl or 250 mM mannitol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for another 1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0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d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ays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.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Cs/>
          <w:kern w:val="0"/>
          <w:sz w:val="24"/>
          <w:szCs w:val="24"/>
        </w:rPr>
        <w:t>Experiments were repeated three times with similar results.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Cs/>
          <w:kern w:val="0"/>
          <w:sz w:val="24"/>
          <w:szCs w:val="24"/>
        </w:rPr>
        <w:t>Scale bars</w:t>
      </w:r>
      <w:r>
        <w:rPr>
          <w:rFonts w:ascii="Times New Roman" w:hAnsi="Times New Roman" w:cs="Times New Roman"/>
          <w:sz w:val="24"/>
          <w:szCs w:val="24"/>
        </w:rPr>
        <w:t xml:space="preserve"> = 1 cm.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b/>
          <w:bCs/>
          <w:kern w:val="0"/>
          <w:sz w:val="24"/>
          <w:szCs w:val="24"/>
        </w:rPr>
        <w:t>(E)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Root length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of seedlings 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 xml:space="preserve">shown in </w:t>
      </w:r>
      <w:r>
        <w:rPr>
          <w:rFonts w:ascii="Times New Roman" w:hAnsi="Times New Roman" w:eastAsia="HelveticaNeueLTStd-Lt" w:cs="Times New Roman"/>
          <w:b/>
          <w:bCs/>
          <w:kern w:val="0"/>
          <w:sz w:val="24"/>
          <w:szCs w:val="24"/>
        </w:rPr>
        <w:t>(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szCs w:val="24"/>
        </w:rPr>
        <w:t>B</w:t>
      </w:r>
      <w:r>
        <w:rPr>
          <w:rFonts w:ascii="Times New Roman" w:hAnsi="Times New Roman" w:eastAsia="HelveticaNeueLTStd-Lt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.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T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he primary roots of</w:t>
      </w:r>
      <w:r>
        <w:rPr>
          <w:rFonts w:ascii="Times New Roman" w:hAnsi="Times New Roman" w:eastAsia="TimesNewRomanMTStd" w:cs="Times New Roman"/>
          <w:kern w:val="0"/>
          <w:sz w:val="24"/>
          <w:szCs w:val="24"/>
        </w:rPr>
        <w:t xml:space="preserve"> at least</w:t>
      </w:r>
      <w:r>
        <w:rPr>
          <w:rFonts w:hint="eastAsia" w:ascii="Times New Roman" w:hAnsi="Times New Roman" w:eastAsia="TimesNewRomanMTStd" w:cs="Times New Roman"/>
          <w:kern w:val="0"/>
          <w:sz w:val="24"/>
          <w:szCs w:val="24"/>
        </w:rPr>
        <w:t xml:space="preserve"> 30</w:t>
      </w:r>
      <w:r>
        <w:rPr>
          <w:rFonts w:ascii="Times New Roman" w:hAnsi="Times New Roman" w:eastAsia="TimesNewRomanMTStd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seedlings were measured and reported as the mean length, (n = </w:t>
      </w:r>
      <w:r>
        <w:rPr>
          <w:rFonts w:hint="eastAsia" w:ascii="Times New Roman" w:hAnsi="Times New Roman" w:eastAsia="HelveticaNeueLTStd-Lt" w:cs="Times New Roman"/>
          <w:kern w:val="0"/>
          <w:sz w:val="24"/>
          <w:szCs w:val="24"/>
        </w:rPr>
        <w:t>3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replicates). </w:t>
      </w:r>
      <w:r>
        <w:rPr>
          <w:rFonts w:ascii="Times New Roman" w:hAnsi="Times New Roman" w:eastAsia="HelveticaNeueLTStd-Lt" w:cs="Times New Roman"/>
          <w:b/>
          <w:bCs/>
          <w:kern w:val="0"/>
          <w:sz w:val="24"/>
          <w:szCs w:val="24"/>
        </w:rPr>
        <w:t>(F, G)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Relative root growth of seedlings 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 xml:space="preserve">shown in </w:t>
      </w:r>
      <w:r>
        <w:rPr>
          <w:rFonts w:ascii="Times New Roman" w:hAnsi="Times New Roman" w:eastAsia="HelveticaNeueLTStd-Lt" w:cs="Times New Roman"/>
          <w:b/>
          <w:bCs/>
          <w:kern w:val="0"/>
          <w:sz w:val="24"/>
          <w:szCs w:val="24"/>
        </w:rPr>
        <w:t>(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szCs w:val="24"/>
        </w:rPr>
        <w:t>C</w:t>
      </w:r>
      <w:r>
        <w:rPr>
          <w:rFonts w:ascii="Times New Roman" w:hAnsi="Times New Roman" w:eastAsia="HelveticaNeueLTStd-Lt" w:cs="Times New Roman"/>
          <w:b/>
          <w:bCs/>
          <w:kern w:val="0"/>
          <w:sz w:val="24"/>
          <w:szCs w:val="24"/>
        </w:rPr>
        <w:t>)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and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szCs w:val="24"/>
        </w:rPr>
        <w:t>(D)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. 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T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he primary roots of </w:t>
      </w:r>
      <w:r>
        <w:rPr>
          <w:rFonts w:ascii="Times New Roman" w:hAnsi="Times New Roman" w:eastAsia="TimesNewRomanMTStd" w:cs="Times New Roman"/>
          <w:kern w:val="0"/>
          <w:sz w:val="24"/>
          <w:szCs w:val="24"/>
        </w:rPr>
        <w:t>at least</w:t>
      </w:r>
      <w:r>
        <w:rPr>
          <w:rFonts w:hint="eastAsia" w:ascii="Times New Roman" w:hAnsi="Times New Roman" w:eastAsia="TimesNewRomanMTStd" w:cs="Times New Roman"/>
          <w:kern w:val="0"/>
          <w:sz w:val="24"/>
          <w:szCs w:val="24"/>
        </w:rPr>
        <w:t xml:space="preserve"> 30</w:t>
      </w:r>
      <w:r>
        <w:rPr>
          <w:rFonts w:ascii="Times New Roman" w:hAnsi="Times New Roman" w:eastAsia="TimesNewRomanMTStd" w:cs="Times New Roman"/>
          <w:kern w:val="0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11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-day-old seedlings were measured and relative growth was reported as the mean length, (n = </w:t>
      </w:r>
      <w:r>
        <w:rPr>
          <w:rFonts w:hint="eastAsia" w:ascii="Times New Roman" w:hAnsi="Times New Roman" w:eastAsia="HelveticaNeueLTStd-Lt" w:cs="Times New Roman"/>
          <w:kern w:val="0"/>
          <w:sz w:val="24"/>
          <w:szCs w:val="24"/>
        </w:rPr>
        <w:t>3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replicates).</w:t>
      </w:r>
      <w:r>
        <w:rPr>
          <w:rFonts w:ascii="Times New Roman" w:hAnsi="Times New Roman" w:eastAsia="HelveticaNeueLTStd-Lt" w:cs="Times New Roman"/>
          <w:b/>
          <w:bCs/>
          <w:kern w:val="0"/>
          <w:sz w:val="24"/>
          <w:szCs w:val="24"/>
        </w:rPr>
        <w:t>(H)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Fresh weight of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seedlings 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 xml:space="preserve">shown in </w:t>
      </w:r>
      <w:r>
        <w:rPr>
          <w:rFonts w:ascii="Times New Roman" w:hAnsi="Times New Roman" w:eastAsia="HelveticaNeueLTStd-Lt" w:cs="Times New Roman"/>
          <w:b/>
          <w:bCs/>
          <w:kern w:val="0"/>
          <w:sz w:val="24"/>
          <w:szCs w:val="24"/>
        </w:rPr>
        <w:t>(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szCs w:val="24"/>
        </w:rPr>
        <w:t>B</w:t>
      </w:r>
      <w:r>
        <w:rPr>
          <w:rFonts w:ascii="Times New Roman" w:hAnsi="Times New Roman" w:eastAsia="HelveticaNeueLTStd-Lt" w:cs="Times New Roman"/>
          <w:b/>
          <w:bCs/>
          <w:kern w:val="0"/>
          <w:sz w:val="24"/>
          <w:szCs w:val="24"/>
        </w:rPr>
        <w:t>)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szCs w:val="24"/>
        </w:rPr>
        <w:t>.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</w:t>
      </w:r>
      <w:r>
        <w:rPr>
          <w:rFonts w:hint="eastAsia" w:ascii="Times New Roman" w:hAnsi="Times New Roman" w:eastAsia="HelveticaNeueLTStd-Lt" w:cs="Times New Roman"/>
          <w:kern w:val="0"/>
          <w:sz w:val="24"/>
          <w:szCs w:val="24"/>
        </w:rPr>
        <w:t>3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0</w:t>
      </w:r>
      <w:r>
        <w:rPr>
          <w:rFonts w:hint="eastAsia" w:ascii="Times New Roman" w:hAnsi="Times New Roman" w:eastAsia="HelveticaNeueLTStd-Lt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seedlings were measured per replicate, (n = </w:t>
      </w:r>
      <w:r>
        <w:rPr>
          <w:rFonts w:hint="eastAsia" w:ascii="Times New Roman" w:hAnsi="Times New Roman" w:eastAsia="HelveticaNeueLTStd-Lt" w:cs="Times New Roman"/>
          <w:kern w:val="0"/>
          <w:sz w:val="24"/>
          <w:szCs w:val="24"/>
        </w:rPr>
        <w:t>3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replicates).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b/>
          <w:bCs/>
          <w:kern w:val="0"/>
          <w:sz w:val="24"/>
          <w:szCs w:val="24"/>
        </w:rPr>
        <w:t>(I, J)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Relative fresh weight of seedlings 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 xml:space="preserve">shown in </w:t>
      </w:r>
      <w:r>
        <w:rPr>
          <w:rFonts w:ascii="Times New Roman" w:hAnsi="Times New Roman" w:eastAsia="HelveticaNeueLTStd-Lt" w:cs="Times New Roman"/>
          <w:b/>
          <w:bCs/>
          <w:kern w:val="0"/>
          <w:sz w:val="24"/>
          <w:szCs w:val="24"/>
        </w:rPr>
        <w:t>(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szCs w:val="24"/>
        </w:rPr>
        <w:t>C</w:t>
      </w:r>
      <w:r>
        <w:rPr>
          <w:rFonts w:ascii="Times New Roman" w:hAnsi="Times New Roman" w:eastAsia="HelveticaNeueLTStd-Lt" w:cs="Times New Roman"/>
          <w:b/>
          <w:bCs/>
          <w:kern w:val="0"/>
          <w:sz w:val="24"/>
          <w:szCs w:val="24"/>
        </w:rPr>
        <w:t>)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and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szCs w:val="24"/>
        </w:rPr>
        <w:t>(D).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</w:t>
      </w:r>
      <w:r>
        <w:rPr>
          <w:rFonts w:hint="eastAsia" w:ascii="Times New Roman" w:hAnsi="Times New Roman" w:eastAsia="HelveticaNeueLTStd-Lt" w:cs="Times New Roman"/>
          <w:kern w:val="0"/>
          <w:sz w:val="24"/>
          <w:szCs w:val="24"/>
        </w:rPr>
        <w:t>3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0 seedlings were measured per replicate,</w:t>
      </w:r>
      <w:r>
        <w:rPr>
          <w:rFonts w:hint="eastAsia" w:ascii="Times New Roman" w:hAnsi="Times New Roman" w:eastAsia="HelveticaNeueLTStd-Lt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and relative fresh weight was reported as the mean fresh weight (n = </w:t>
      </w:r>
      <w:r>
        <w:rPr>
          <w:rFonts w:hint="eastAsia" w:ascii="Times New Roman" w:hAnsi="Times New Roman" w:eastAsia="HelveticaNeueLTStd-Lt" w:cs="Times New Roman"/>
          <w:kern w:val="0"/>
          <w:sz w:val="24"/>
          <w:szCs w:val="24"/>
        </w:rPr>
        <w:t>3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replicates).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*</w:t>
      </w:r>
      <w:r>
        <w:rPr>
          <w:rFonts w:ascii="Times New Roman" w:hAnsi="Times New Roman" w:eastAsia="HelveticaNeueLTStd-LtIt" w:cs="Times New Roman"/>
          <w:i/>
          <w:iCs/>
          <w:kern w:val="0"/>
          <w:sz w:val="24"/>
          <w:szCs w:val="24"/>
        </w:rPr>
        <w:t>P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&lt;0.05 and **</w:t>
      </w:r>
      <w:r>
        <w:rPr>
          <w:rFonts w:ascii="Times New Roman" w:hAnsi="Times New Roman" w:eastAsia="HelveticaNeueLTStd-LtIt" w:cs="Times New Roman"/>
          <w:i/>
          <w:iCs/>
          <w:kern w:val="0"/>
          <w:sz w:val="24"/>
          <w:szCs w:val="24"/>
        </w:rPr>
        <w:t>P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&lt;0.01 (Student’s </w:t>
      </w:r>
      <w:r>
        <w:rPr>
          <w:rFonts w:ascii="Times New Roman" w:hAnsi="Times New Roman" w:eastAsia="HelveticaNeueLTStd-Lt" w:cs="Times New Roman"/>
          <w:i/>
          <w:kern w:val="0"/>
          <w:sz w:val="24"/>
          <w:szCs w:val="24"/>
        </w:rPr>
        <w:t>t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-test) indicate significant differences between </w:t>
      </w:r>
      <w:r>
        <w:rPr>
          <w:rFonts w:ascii="Times New Roman" w:hAnsi="Times New Roman" w:eastAsia="HelveticaNeueLTStd-LtIt" w:cs="Times New Roman"/>
          <w:i/>
          <w:iCs/>
          <w:kern w:val="0"/>
          <w:sz w:val="24"/>
          <w:szCs w:val="24"/>
        </w:rPr>
        <w:t>4-2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 and Col-0 plants. Error bars indicate the standard error for the average of three independent experiments.</w:t>
      </w:r>
    </w:p>
    <w:p>
      <w:pPr>
        <w:widowControl/>
      </w:pPr>
      <w:r>
        <w:br w:type="page"/>
      </w:r>
    </w:p>
    <w:p>
      <w:pPr>
        <w:pStyle w:val="6"/>
        <w:autoSpaceDE w:val="0"/>
        <w:autoSpaceDN w:val="0"/>
        <w:adjustRightInd w:val="0"/>
        <w:ind w:firstLine="0" w:firstLineChars="0"/>
        <w:jc w:val="center"/>
      </w:pPr>
    </w:p>
    <w:p>
      <w:pPr>
        <w:pStyle w:val="6"/>
        <w:autoSpaceDE w:val="0"/>
        <w:autoSpaceDN w:val="0"/>
        <w:adjustRightInd w:val="0"/>
        <w:ind w:firstLine="0" w:firstLineChars="0"/>
        <w:jc w:val="center"/>
      </w:pPr>
      <w:r>
        <w:drawing>
          <wp:inline distT="0" distB="0" distL="0" distR="0">
            <wp:extent cx="4241800" cy="3698875"/>
            <wp:effectExtent l="0" t="0" r="6350" b="15875"/>
            <wp:docPr id="4" name="图片 1" descr="F:\刘亚男\20180524\文章\20180824修改\Figure 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F:\刘亚男\20180524\文章\20180824修改\Figure 9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369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Times New Roman" w:hAnsi="Times New Roman" w:eastAsia="HelveticaNeueLTStd-Lt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F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IGURE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 S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5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. </w:t>
      </w:r>
      <w:r>
        <w:rPr>
          <w:rFonts w:ascii="Times New Roman" w:hAnsi="Times New Roman" w:eastAsia="TimesNewRomanMTStd" w:cs="Times New Roman"/>
          <w:b/>
          <w:i/>
          <w:kern w:val="0"/>
          <w:sz w:val="24"/>
          <w:szCs w:val="24"/>
        </w:rPr>
        <w:t>GA20ox3</w:t>
      </w:r>
      <w:r>
        <w:rPr>
          <w:rFonts w:ascii="Times New Roman" w:hAnsi="Times New Roman" w:cs="Times New Roman"/>
          <w:b/>
          <w:sz w:val="24"/>
          <w:szCs w:val="24"/>
        </w:rPr>
        <w:t xml:space="preserve"> expression analysis 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in Col-0 and </w:t>
      </w:r>
      <w:r>
        <w:rPr>
          <w:rFonts w:ascii="Times New Roman" w:hAnsi="Times New Roman" w:cs="Times New Roman"/>
          <w:b/>
          <w:i/>
          <w:kern w:val="0"/>
          <w:sz w:val="24"/>
          <w:szCs w:val="24"/>
        </w:rPr>
        <w:t>rh31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 under normal condition or 150 mM NaCl treatment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 xml:space="preserve">. </w:t>
      </w:r>
      <w:r>
        <w:rPr>
          <w:rFonts w:ascii="Times New Roman" w:hAnsi="Times New Roman" w:eastAsia="AdvTimes" w:cs="Times New Roman"/>
          <w:i/>
          <w:iCs/>
          <w:kern w:val="0"/>
          <w:sz w:val="24"/>
          <w:szCs w:val="24"/>
        </w:rPr>
        <w:t>RH31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deletion</w:t>
      </w:r>
      <w:r>
        <w:rPr>
          <w:rFonts w:ascii="Times New Roman" w:hAnsi="Times New Roman" w:eastAsia="HelveticaNeueLTStd-Lt" w:cs="Times New Roman"/>
          <w:kern w:val="0"/>
          <w:sz w:val="24"/>
          <w:szCs w:val="24"/>
          <w:lang w:bidi="ar"/>
        </w:rPr>
        <w:t xml:space="preserve"> did not alter </w:t>
      </w:r>
      <w:r>
        <w:rPr>
          <w:rFonts w:ascii="Times New Roman" w:hAnsi="Times New Roman" w:eastAsia="TimesNewRomanMTStd" w:cs="Times New Roman"/>
          <w:bCs/>
          <w:i/>
          <w:kern w:val="0"/>
          <w:sz w:val="24"/>
          <w:szCs w:val="24"/>
        </w:rPr>
        <w:t>GA20ox3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  <w:lang w:bidi="ar"/>
        </w:rPr>
        <w:t xml:space="preserve"> mRNA level</w:t>
      </w:r>
      <w:r>
        <w:rPr>
          <w:rFonts w:hint="eastAsia" w:ascii="Times New Roman" w:hAnsi="Times New Roman" w:eastAsia="HelveticaNeueLTStd-Lt" w:cs="Times New Roman"/>
          <w:kern w:val="0"/>
          <w:sz w:val="24"/>
          <w:szCs w:val="24"/>
          <w:lang w:bidi="ar"/>
        </w:rPr>
        <w:t xml:space="preserve">.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Each value indicates relative quantity, with the genes expressed in Col-0 set at 1.0.</w:t>
      </w:r>
      <w:r>
        <w:rPr>
          <w:rFonts w:hint="eastAsia" w:ascii="Times New Roman" w:hAnsi="Times New Roman" w:eastAsia="HelveticaNeueLTStd-Lt" w:cs="Times New Roman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*</w:t>
      </w:r>
      <w:r>
        <w:rPr>
          <w:rFonts w:ascii="Times New Roman" w:hAnsi="Times New Roman" w:eastAsia="HelveticaNeueLTStd-LtIt" w:cs="Times New Roman"/>
          <w:i/>
          <w:iCs/>
          <w:kern w:val="0"/>
          <w:sz w:val="24"/>
          <w:szCs w:val="24"/>
        </w:rPr>
        <w:t>P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&lt;0.05 and **</w:t>
      </w:r>
      <w:r>
        <w:rPr>
          <w:rFonts w:ascii="Times New Roman" w:hAnsi="Times New Roman" w:eastAsia="HelveticaNeueLTStd-LtIt" w:cs="Times New Roman"/>
          <w:i/>
          <w:iCs/>
          <w:kern w:val="0"/>
          <w:sz w:val="24"/>
          <w:szCs w:val="24"/>
        </w:rPr>
        <w:t>P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&lt;0.01 (Student’s </w:t>
      </w:r>
      <w:r>
        <w:rPr>
          <w:rFonts w:ascii="Times New Roman" w:hAnsi="Times New Roman" w:eastAsia="HelveticaNeueLTStd-Lt" w:cs="Times New Roman"/>
          <w:i/>
          <w:kern w:val="0"/>
          <w:sz w:val="24"/>
          <w:szCs w:val="24"/>
        </w:rPr>
        <w:t>t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-test) indicate significant differences between mutants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and Col-0 plants.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Error bars indicate the standard error for the average of three independent experiments.</w:t>
      </w:r>
    </w:p>
    <w:p>
      <w:pPr>
        <w:widowControl/>
        <w:jc w:val="left"/>
      </w:pPr>
      <w:r>
        <w:br w:type="page"/>
      </w:r>
    </w:p>
    <w:p>
      <w:pPr>
        <w:widowControl/>
        <w:jc w:val="center"/>
      </w:pPr>
    </w:p>
    <w:p>
      <w:pPr>
        <w:widowControl/>
        <w:jc w:val="center"/>
      </w:pPr>
      <w:r>
        <w:drawing>
          <wp:inline distT="0" distB="0" distL="0" distR="0">
            <wp:extent cx="5028565" cy="4652010"/>
            <wp:effectExtent l="0" t="0" r="635" b="15240"/>
            <wp:docPr id="8" name="图片 4" descr="F:\刘亚男\20180524\文章\JXB上传\20190308 revision-major\figure\Supplemental 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F:\刘亚男\20180524\文章\JXB上传\20190308 revision-major\figure\Supplemental Figure S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465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Times New Roman" w:hAnsi="Times New Roman" w:eastAsia="HelveticaNeueLTStd-Lt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F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IGURE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 S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6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>
        <w:rPr>
          <w:rFonts w:ascii="Times New Roman" w:hAnsi="Times New Roman" w:eastAsia="TimesNewRomanMTStd" w:cs="Times New Roman"/>
          <w:b/>
          <w:i/>
          <w:kern w:val="0"/>
          <w:sz w:val="24"/>
          <w:szCs w:val="24"/>
        </w:rPr>
        <w:t xml:space="preserve"> </w:t>
      </w:r>
      <w:r>
        <w:rPr>
          <w:rFonts w:ascii="Times New Roman" w:hAnsi="Times New Roman" w:eastAsia="TimesNewRomanMTStd" w:cs="Times New Roman"/>
          <w:b/>
          <w:kern w:val="0"/>
          <w:sz w:val="24"/>
          <w:szCs w:val="24"/>
        </w:rPr>
        <w:t xml:space="preserve">Some </w:t>
      </w:r>
      <w:r>
        <w:rPr>
          <w:rFonts w:ascii="Times New Roman" w:hAnsi="Times New Roman" w:eastAsia="HelveticaNeueLTStd-Lt" w:cs="Times New Roman"/>
          <w:b/>
          <w:color w:val="000000" w:themeColor="text1"/>
          <w:kern w:val="0"/>
          <w:sz w:val="24"/>
          <w:szCs w:val="24"/>
        </w:rPr>
        <w:t>salt-inducible genes</w:t>
      </w:r>
      <w:r>
        <w:rPr>
          <w:rFonts w:ascii="Times New Roman" w:hAnsi="Times New Roman" w:cs="Times New Roman"/>
          <w:b/>
          <w:sz w:val="24"/>
          <w:szCs w:val="24"/>
        </w:rPr>
        <w:t xml:space="preserve"> analysis 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in Col-0 and </w:t>
      </w:r>
      <w:r>
        <w:rPr>
          <w:rFonts w:ascii="Times New Roman" w:hAnsi="Times New Roman" w:cs="Times New Roman"/>
          <w:b/>
          <w:i/>
          <w:kern w:val="0"/>
          <w:sz w:val="24"/>
          <w:szCs w:val="24"/>
        </w:rPr>
        <w:t>rh31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 under normal condition.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Cs/>
          <w:kern w:val="0"/>
          <w:sz w:val="24"/>
          <w:szCs w:val="24"/>
        </w:rPr>
        <w:t xml:space="preserve">The transcripts level of these genes in </w:t>
      </w:r>
      <w:r>
        <w:rPr>
          <w:rFonts w:ascii="Times New Roman" w:hAnsi="Times New Roman" w:cs="Times New Roman"/>
          <w:bCs/>
          <w:i/>
          <w:kern w:val="0"/>
          <w:sz w:val="24"/>
          <w:szCs w:val="24"/>
        </w:rPr>
        <w:t>rh31</w:t>
      </w:r>
      <w:r>
        <w:rPr>
          <w:rFonts w:hint="eastAsia" w:ascii="Times New Roman" w:hAnsi="Times New Roman" w:cs="Times New Roman"/>
          <w:bCs/>
          <w:kern w:val="0"/>
          <w:sz w:val="24"/>
          <w:szCs w:val="24"/>
        </w:rPr>
        <w:t xml:space="preserve"> was not affected</w:t>
      </w:r>
      <w:r>
        <w:rPr>
          <w:rFonts w:hint="eastAsia" w:ascii="Times New Roman" w:hAnsi="Times New Roman" w:eastAsia="HelveticaNeueLTStd-Lt" w:cs="Times New Roman"/>
          <w:kern w:val="0"/>
          <w:sz w:val="24"/>
          <w:szCs w:val="24"/>
          <w:lang w:bidi="ar"/>
        </w:rPr>
        <w:t xml:space="preserve">.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Each value indicates relative quantity, with the genes expressed in Col-0 set at 1.0.</w:t>
      </w:r>
      <w:r>
        <w:rPr>
          <w:rFonts w:hint="eastAsia" w:ascii="Times New Roman" w:hAnsi="Times New Roman" w:eastAsia="HelveticaNeueLTStd-Lt" w:cs="Times New Roman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*</w:t>
      </w:r>
      <w:r>
        <w:rPr>
          <w:rFonts w:ascii="Times New Roman" w:hAnsi="Times New Roman" w:eastAsia="HelveticaNeueLTStd-LtIt" w:cs="Times New Roman"/>
          <w:i/>
          <w:iCs/>
          <w:kern w:val="0"/>
          <w:sz w:val="24"/>
          <w:szCs w:val="24"/>
        </w:rPr>
        <w:t>P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&lt;0.05 and **</w:t>
      </w:r>
      <w:r>
        <w:rPr>
          <w:rFonts w:ascii="Times New Roman" w:hAnsi="Times New Roman" w:eastAsia="HelveticaNeueLTStd-LtIt" w:cs="Times New Roman"/>
          <w:i/>
          <w:iCs/>
          <w:kern w:val="0"/>
          <w:sz w:val="24"/>
          <w:szCs w:val="24"/>
        </w:rPr>
        <w:t>P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 xml:space="preserve">&lt;0.01 (Student’s </w:t>
      </w:r>
      <w:r>
        <w:rPr>
          <w:rFonts w:ascii="Times New Roman" w:hAnsi="Times New Roman" w:eastAsia="HelveticaNeueLTStd-Lt" w:cs="Times New Roman"/>
          <w:i/>
          <w:kern w:val="0"/>
          <w:sz w:val="24"/>
          <w:szCs w:val="24"/>
        </w:rPr>
        <w:t>t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-test) indicate significant differences between mutants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and Col-0 plants.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HelveticaNeueLTStd-Lt" w:cs="Times New Roman"/>
          <w:kern w:val="0"/>
          <w:sz w:val="24"/>
          <w:szCs w:val="24"/>
        </w:rPr>
        <w:t>Error bars indicate the standard error for the average of three independent experiments.</w:t>
      </w:r>
    </w:p>
    <w:p>
      <w:pPr>
        <w:widowControl/>
        <w:rPr>
          <w:rFonts w:ascii="Times New Roman" w:hAnsi="Times New Roman" w:eastAsia="HelveticaNeueLTStd-Lt" w:cs="Times New Roman"/>
          <w:kern w:val="0"/>
          <w:sz w:val="24"/>
          <w:szCs w:val="24"/>
        </w:rPr>
      </w:pPr>
    </w:p>
    <w:p>
      <w:pPr>
        <w:pStyle w:val="6"/>
        <w:suppressLineNumbers/>
        <w:autoSpaceDE w:val="0"/>
        <w:autoSpaceDN w:val="0"/>
        <w:adjustRightInd w:val="0"/>
        <w:spacing w:line="360" w:lineRule="auto"/>
        <w:ind w:firstLine="0" w:firstLineChars="0"/>
        <w:jc w:val="center"/>
        <w:rPr>
          <w:rFonts w:ascii="Times New Roman" w:hAnsi="Times New Roman" w:eastAsia="HelveticaNeueLTStd-Lt" w:cs="Times New Roman"/>
          <w:kern w:val="0"/>
          <w:sz w:val="24"/>
          <w:szCs w:val="24"/>
        </w:rPr>
      </w:pPr>
    </w:p>
    <w:p>
      <w:pPr>
        <w:widowControl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NeueLTStd-Lt">
    <w:altName w:val="MS Gothic"/>
    <w:panose1 w:val="00000000000000000000"/>
    <w:charset w:val="80"/>
    <w:family w:val="swiss"/>
    <w:pitch w:val="default"/>
    <w:sig w:usb0="00000000" w:usb1="00000000" w:usb2="00000010" w:usb3="00000000" w:csb0="00060000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HelveticaNeueLTStd-LtIt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TimesNewRomanMTStd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AdvTimes">
    <w:altName w:val="宋体"/>
    <w:panose1 w:val="00000000000000000000"/>
    <w:charset w:val="86"/>
    <w:family w:val="auto"/>
    <w:pitch w:val="default"/>
    <w:sig w:usb0="00000000" w:usb1="00000000" w:usb2="00000010" w:usb3="00000000" w:csb0="00040002" w:csb1="00000000"/>
  </w:font>
  <w:font w:name="HelveticaNeueLTStd-L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AC28CA"/>
    <w:multiLevelType w:val="singleLevel"/>
    <w:tmpl w:val="08AC28CA"/>
    <w:lvl w:ilvl="0" w:tentative="0">
      <w:start w:val="1"/>
      <w:numFmt w:val="upperLetter"/>
      <w:suff w:val="space"/>
      <w:lvlText w:val="(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9066C2"/>
    <w:rsid w:val="0000190D"/>
    <w:rsid w:val="00055A38"/>
    <w:rsid w:val="00065325"/>
    <w:rsid w:val="0008614B"/>
    <w:rsid w:val="000865D6"/>
    <w:rsid w:val="000C2EA6"/>
    <w:rsid w:val="000F6D1D"/>
    <w:rsid w:val="00120091"/>
    <w:rsid w:val="00154AB5"/>
    <w:rsid w:val="001A175B"/>
    <w:rsid w:val="001B3240"/>
    <w:rsid w:val="00225ABE"/>
    <w:rsid w:val="00240612"/>
    <w:rsid w:val="00256EFF"/>
    <w:rsid w:val="00260043"/>
    <w:rsid w:val="002809BB"/>
    <w:rsid w:val="002B2D38"/>
    <w:rsid w:val="002D4881"/>
    <w:rsid w:val="003024B9"/>
    <w:rsid w:val="00316CA7"/>
    <w:rsid w:val="00323E64"/>
    <w:rsid w:val="00324918"/>
    <w:rsid w:val="00344864"/>
    <w:rsid w:val="00395BCA"/>
    <w:rsid w:val="003C5BA1"/>
    <w:rsid w:val="003D39FA"/>
    <w:rsid w:val="003E207F"/>
    <w:rsid w:val="004014C6"/>
    <w:rsid w:val="00424710"/>
    <w:rsid w:val="00432BEE"/>
    <w:rsid w:val="00466A1D"/>
    <w:rsid w:val="005017F1"/>
    <w:rsid w:val="0052512E"/>
    <w:rsid w:val="005409BA"/>
    <w:rsid w:val="00543B75"/>
    <w:rsid w:val="00597084"/>
    <w:rsid w:val="00604D09"/>
    <w:rsid w:val="006468BF"/>
    <w:rsid w:val="00657609"/>
    <w:rsid w:val="00663C71"/>
    <w:rsid w:val="00664516"/>
    <w:rsid w:val="0067437F"/>
    <w:rsid w:val="00674389"/>
    <w:rsid w:val="006E0432"/>
    <w:rsid w:val="00721C51"/>
    <w:rsid w:val="007615E0"/>
    <w:rsid w:val="00770A10"/>
    <w:rsid w:val="007C14A6"/>
    <w:rsid w:val="008043D8"/>
    <w:rsid w:val="00846331"/>
    <w:rsid w:val="00851D76"/>
    <w:rsid w:val="008640CE"/>
    <w:rsid w:val="008F0026"/>
    <w:rsid w:val="00901749"/>
    <w:rsid w:val="009066C2"/>
    <w:rsid w:val="0091652D"/>
    <w:rsid w:val="0095001B"/>
    <w:rsid w:val="00970891"/>
    <w:rsid w:val="009C66D2"/>
    <w:rsid w:val="009E55E4"/>
    <w:rsid w:val="00AD5605"/>
    <w:rsid w:val="00B14EF5"/>
    <w:rsid w:val="00C21021"/>
    <w:rsid w:val="00CB012C"/>
    <w:rsid w:val="00CB669A"/>
    <w:rsid w:val="00CC7B09"/>
    <w:rsid w:val="00CD4DE5"/>
    <w:rsid w:val="00CF4466"/>
    <w:rsid w:val="00CF4BA6"/>
    <w:rsid w:val="00D17FFD"/>
    <w:rsid w:val="00D23D59"/>
    <w:rsid w:val="00DA3209"/>
    <w:rsid w:val="00E0221E"/>
    <w:rsid w:val="00E2721B"/>
    <w:rsid w:val="00F04961"/>
    <w:rsid w:val="00F84C1B"/>
    <w:rsid w:val="00FE42BE"/>
    <w:rsid w:val="01DB599B"/>
    <w:rsid w:val="037F5DC3"/>
    <w:rsid w:val="04E470A0"/>
    <w:rsid w:val="062E4346"/>
    <w:rsid w:val="06337DE4"/>
    <w:rsid w:val="07B55DBF"/>
    <w:rsid w:val="07E21FBD"/>
    <w:rsid w:val="08216FC6"/>
    <w:rsid w:val="095E24D3"/>
    <w:rsid w:val="097F1A8E"/>
    <w:rsid w:val="0DA30A58"/>
    <w:rsid w:val="0ECA4CB0"/>
    <w:rsid w:val="114676E9"/>
    <w:rsid w:val="12DF5C54"/>
    <w:rsid w:val="139A7BF0"/>
    <w:rsid w:val="15EE3891"/>
    <w:rsid w:val="17C52D61"/>
    <w:rsid w:val="1811177F"/>
    <w:rsid w:val="18C64F6D"/>
    <w:rsid w:val="1D5F6ADC"/>
    <w:rsid w:val="1DF779ED"/>
    <w:rsid w:val="1E7F010E"/>
    <w:rsid w:val="1F275CDE"/>
    <w:rsid w:val="1F7044FD"/>
    <w:rsid w:val="1FF1793F"/>
    <w:rsid w:val="20C57A88"/>
    <w:rsid w:val="20E24DD8"/>
    <w:rsid w:val="29332221"/>
    <w:rsid w:val="299641FE"/>
    <w:rsid w:val="2A3A36DE"/>
    <w:rsid w:val="2B232DAC"/>
    <w:rsid w:val="2BF12CED"/>
    <w:rsid w:val="2E77011F"/>
    <w:rsid w:val="30D70F5E"/>
    <w:rsid w:val="32F34AC5"/>
    <w:rsid w:val="32F576D2"/>
    <w:rsid w:val="340307B3"/>
    <w:rsid w:val="348E4E7E"/>
    <w:rsid w:val="34DB0F48"/>
    <w:rsid w:val="37C71A22"/>
    <w:rsid w:val="39CD7E16"/>
    <w:rsid w:val="3AF15D42"/>
    <w:rsid w:val="3B620F51"/>
    <w:rsid w:val="3EA05485"/>
    <w:rsid w:val="3F4E6424"/>
    <w:rsid w:val="41D63361"/>
    <w:rsid w:val="425D61AF"/>
    <w:rsid w:val="429F745A"/>
    <w:rsid w:val="43BF1342"/>
    <w:rsid w:val="44BF2763"/>
    <w:rsid w:val="465543AD"/>
    <w:rsid w:val="469712DB"/>
    <w:rsid w:val="48A71E8C"/>
    <w:rsid w:val="4A58168F"/>
    <w:rsid w:val="4C4023DB"/>
    <w:rsid w:val="4C757E55"/>
    <w:rsid w:val="50234334"/>
    <w:rsid w:val="50C50B26"/>
    <w:rsid w:val="530103EA"/>
    <w:rsid w:val="55A35789"/>
    <w:rsid w:val="55C91693"/>
    <w:rsid w:val="5701797A"/>
    <w:rsid w:val="5729173B"/>
    <w:rsid w:val="579E11D8"/>
    <w:rsid w:val="5C881434"/>
    <w:rsid w:val="5DB20713"/>
    <w:rsid w:val="5ED6097D"/>
    <w:rsid w:val="63BC1299"/>
    <w:rsid w:val="658253A4"/>
    <w:rsid w:val="659C46CE"/>
    <w:rsid w:val="66BF285A"/>
    <w:rsid w:val="6737405C"/>
    <w:rsid w:val="698E07D2"/>
    <w:rsid w:val="6A955B90"/>
    <w:rsid w:val="6B4441E1"/>
    <w:rsid w:val="6C8014FB"/>
    <w:rsid w:val="6CA42E1E"/>
    <w:rsid w:val="6FAA5791"/>
    <w:rsid w:val="6FF62C2D"/>
    <w:rsid w:val="72A72905"/>
    <w:rsid w:val="734E4B2E"/>
    <w:rsid w:val="73C179F6"/>
    <w:rsid w:val="777454FD"/>
    <w:rsid w:val="78E36C88"/>
    <w:rsid w:val="7B2517D4"/>
    <w:rsid w:val="7E355DA6"/>
    <w:rsid w:val="7E45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Balloon Text Char"/>
    <w:basedOn w:val="4"/>
    <w:link w:val="2"/>
    <w:semiHidden/>
    <w:qFormat/>
    <w:uiPriority w:val="99"/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paragraph" w:customStyle="1" w:styleId="7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706</Words>
  <Characters>4025</Characters>
  <Lines>33</Lines>
  <Paragraphs>9</Paragraphs>
  <TotalTime>4</TotalTime>
  <ScaleCrop>false</ScaleCrop>
  <LinksUpToDate>false</LinksUpToDate>
  <CharactersWithSpaces>4722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2018-07-16T11:47:00Z</dcterms:created>
  <dc:creator>微软用户</dc:creator>
  <cp:lastModifiedBy>Different</cp:lastModifiedBy>
  <dcterms:modified xsi:type="dcterms:W3CDTF">2021-12-10T12:19:37Z</dcterms:modified>
  <cp:revision>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28C18326040641B599439B6A8D9674CD</vt:lpwstr>
  </property>
</Properties>
</file>