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B8800" w14:textId="77777777" w:rsidR="00931FD8" w:rsidRPr="00931FD8" w:rsidRDefault="00931FD8" w:rsidP="00931FD8">
      <w:pPr>
        <w:spacing w:after="0" w:line="480" w:lineRule="auto"/>
        <w:rPr>
          <w:rFonts w:ascii="Arial" w:eastAsia="Calibri" w:hAnsi="Arial" w:cs="Arial"/>
          <w:b/>
          <w:lang w:val="en-US"/>
        </w:rPr>
      </w:pPr>
      <w:bookmarkStart w:id="0" w:name="_GoBack"/>
      <w:bookmarkEnd w:id="0"/>
      <w:r>
        <w:rPr>
          <w:rFonts w:ascii="Arial" w:eastAsia="Calibri" w:hAnsi="Arial" w:cs="Arial"/>
          <w:b/>
          <w:lang w:val="en-US"/>
        </w:rPr>
        <w:t>Supplementary material section</w:t>
      </w:r>
    </w:p>
    <w:p w14:paraId="7BFD4150" w14:textId="77777777" w:rsidR="00931FD8" w:rsidRPr="00931FD8" w:rsidRDefault="00931FD8" w:rsidP="00931FD8">
      <w:pPr>
        <w:spacing w:after="0" w:line="480" w:lineRule="auto"/>
        <w:rPr>
          <w:rFonts w:ascii="Arial" w:eastAsia="Calibri" w:hAnsi="Arial" w:cs="Arial"/>
          <w:b/>
          <w:lang w:val="en-US"/>
        </w:rPr>
      </w:pPr>
      <w:r w:rsidRPr="00931FD8">
        <w:rPr>
          <w:rFonts w:ascii="Arial" w:eastAsia="Calibri" w:hAnsi="Arial" w:cs="Arial"/>
          <w:b/>
          <w:lang w:val="en-US"/>
        </w:rPr>
        <w:t>Sensitivity analyses</w:t>
      </w:r>
    </w:p>
    <w:p w14:paraId="3DBF87AF" w14:textId="77777777" w:rsidR="00931FD8" w:rsidRDefault="00931FD8" w:rsidP="00931FD8">
      <w:pPr>
        <w:spacing w:after="0" w:line="480" w:lineRule="auto"/>
        <w:ind w:firstLine="709"/>
        <w:jc w:val="both"/>
        <w:rPr>
          <w:rFonts w:ascii="Arial" w:eastAsia="Calibri" w:hAnsi="Arial" w:cs="Arial"/>
          <w:lang w:val="en-US"/>
        </w:rPr>
      </w:pPr>
      <w:r>
        <w:rPr>
          <w:rFonts w:ascii="Arial" w:eastAsia="Calibri" w:hAnsi="Arial" w:cs="Arial"/>
          <w:lang w:val="en-US"/>
        </w:rPr>
        <w:t xml:space="preserve">Since the upper technical limit of the </w:t>
      </w:r>
      <w:proofErr w:type="spellStart"/>
      <w:r>
        <w:rPr>
          <w:rFonts w:ascii="Arial" w:eastAsia="Calibri" w:hAnsi="Arial" w:cs="Arial"/>
          <w:lang w:val="en-US"/>
        </w:rPr>
        <w:t>Elecsys</w:t>
      </w:r>
      <w:proofErr w:type="spellEnd"/>
      <w:r>
        <w:rPr>
          <w:rFonts w:ascii="Arial" w:eastAsia="Calibri" w:hAnsi="Arial" w:cs="Arial"/>
          <w:lang w:val="en-US"/>
        </w:rPr>
        <w:t xml:space="preserve"> assay for CSF Aβ42 is 1700 </w:t>
      </w:r>
      <w:proofErr w:type="spellStart"/>
      <w:r>
        <w:rPr>
          <w:rFonts w:ascii="Arial" w:eastAsia="Calibri" w:hAnsi="Arial" w:cs="Arial"/>
          <w:lang w:val="en-US"/>
        </w:rPr>
        <w:t>pg</w:t>
      </w:r>
      <w:proofErr w:type="spellEnd"/>
      <w:r>
        <w:rPr>
          <w:rFonts w:ascii="Arial" w:eastAsia="Calibri" w:hAnsi="Arial" w:cs="Arial"/>
          <w:lang w:val="en-US"/>
        </w:rPr>
        <w:t xml:space="preserve">/ml and values above this threshold arise from an </w:t>
      </w:r>
      <w:r w:rsidRPr="00982334">
        <w:rPr>
          <w:rFonts w:ascii="Arial" w:hAnsi="Arial" w:cs="Arial"/>
          <w:lang w:val="en-US"/>
        </w:rPr>
        <w:t>extrapolation of the calibration curve</w:t>
      </w:r>
      <w:r>
        <w:rPr>
          <w:rFonts w:ascii="Arial" w:eastAsia="Calibri" w:hAnsi="Arial" w:cs="Arial"/>
          <w:i/>
          <w:lang w:val="en-US"/>
        </w:rPr>
        <w:t xml:space="preserve">, </w:t>
      </w:r>
      <w:r w:rsidRPr="00683A9E">
        <w:rPr>
          <w:rFonts w:ascii="Arial" w:eastAsia="Calibri" w:hAnsi="Arial" w:cs="Arial"/>
          <w:lang w:val="en-US"/>
        </w:rPr>
        <w:t xml:space="preserve">we used </w:t>
      </w:r>
      <w:r>
        <w:rPr>
          <w:rFonts w:ascii="Arial" w:eastAsia="Calibri" w:hAnsi="Arial" w:cs="Arial"/>
          <w:lang w:val="en-US"/>
        </w:rPr>
        <w:t xml:space="preserve">previously established CSF Aβ42 values from an </w:t>
      </w:r>
      <w:proofErr w:type="spellStart"/>
      <w:r>
        <w:rPr>
          <w:rFonts w:ascii="Arial" w:eastAsia="Calibri" w:hAnsi="Arial" w:cs="Arial"/>
          <w:lang w:val="en-US"/>
        </w:rPr>
        <w:t>Innogenetics</w:t>
      </w:r>
      <w:proofErr w:type="spellEnd"/>
      <w:r>
        <w:rPr>
          <w:rFonts w:ascii="Arial" w:eastAsia="Calibri" w:hAnsi="Arial" w:cs="Arial"/>
          <w:lang w:val="en-US"/>
        </w:rPr>
        <w:t xml:space="preserve"> ELISA assay for sensitivity analysis. </w:t>
      </w:r>
    </w:p>
    <w:p w14:paraId="77C51485" w14:textId="28ADE2B3" w:rsidR="00931FD8" w:rsidRPr="00277C2E" w:rsidRDefault="00931FD8" w:rsidP="00277C2E">
      <w:pPr>
        <w:spacing w:after="0" w:line="480" w:lineRule="auto"/>
        <w:ind w:firstLine="709"/>
        <w:jc w:val="both"/>
        <w:rPr>
          <w:rFonts w:ascii="Arial" w:eastAsia="Calibri" w:hAnsi="Arial" w:cs="Arial"/>
          <w:lang w:val="en-US"/>
        </w:rPr>
      </w:pPr>
      <w:r w:rsidRPr="00277C2E">
        <w:rPr>
          <w:rFonts w:ascii="Arial" w:eastAsia="Calibri" w:hAnsi="Arial" w:cs="Arial"/>
          <w:lang w:val="en-US"/>
        </w:rPr>
        <w:t xml:space="preserve">Replicating the initial findings derived from the </w:t>
      </w:r>
      <w:proofErr w:type="spellStart"/>
      <w:r w:rsidRPr="00277C2E">
        <w:rPr>
          <w:rFonts w:ascii="Arial" w:eastAsia="Calibri" w:hAnsi="Arial" w:cs="Arial"/>
          <w:lang w:val="en-US"/>
        </w:rPr>
        <w:t>Elecsys</w:t>
      </w:r>
      <w:proofErr w:type="spellEnd"/>
      <w:r w:rsidRPr="00277C2E">
        <w:rPr>
          <w:rFonts w:ascii="Arial" w:eastAsia="Calibri" w:hAnsi="Arial" w:cs="Arial"/>
          <w:lang w:val="en-US"/>
        </w:rPr>
        <w:t xml:space="preserve"> assay, PVC-3 again showed significantly higher negative spline estimates and significantly more negative correlations between CSF Aβ42 levels and low range 18F-Florbetapir-PET SUVR</w:t>
      </w:r>
      <w:r w:rsidRPr="00277C2E">
        <w:rPr>
          <w:rFonts w:ascii="Arial" w:eastAsia="Calibri" w:hAnsi="Arial" w:cs="Arial"/>
          <w:vertAlign w:val="subscript"/>
          <w:lang w:val="en-US"/>
        </w:rPr>
        <w:t>WC</w:t>
      </w:r>
      <w:r w:rsidRPr="00277C2E">
        <w:rPr>
          <w:rFonts w:ascii="Arial" w:eastAsia="Calibri" w:hAnsi="Arial" w:cs="Arial"/>
          <w:lang w:val="en-US"/>
        </w:rPr>
        <w:t xml:space="preserve"> values (between the 16.6% quantile and first </w:t>
      </w:r>
      <w:proofErr w:type="spellStart"/>
      <w:r w:rsidRPr="00277C2E">
        <w:rPr>
          <w:rFonts w:ascii="Arial" w:eastAsia="Calibri" w:hAnsi="Arial" w:cs="Arial"/>
          <w:lang w:val="en-US"/>
        </w:rPr>
        <w:t>tertile</w:t>
      </w:r>
      <w:proofErr w:type="spellEnd"/>
      <w:r w:rsidRPr="00277C2E">
        <w:rPr>
          <w:rFonts w:ascii="Arial" w:eastAsia="Calibri" w:hAnsi="Arial" w:cs="Arial"/>
          <w:lang w:val="en-US"/>
        </w:rPr>
        <w:t>) compared to no PVC and PVC-2 (Supplementary Figure</w:t>
      </w:r>
      <w:r w:rsidR="00A57295" w:rsidRPr="00277C2E">
        <w:rPr>
          <w:rFonts w:ascii="Arial" w:eastAsia="Calibri" w:hAnsi="Arial" w:cs="Arial"/>
          <w:lang w:val="en-US"/>
        </w:rPr>
        <w:t>s</w:t>
      </w:r>
      <w:r w:rsidRPr="00277C2E">
        <w:rPr>
          <w:rFonts w:ascii="Arial" w:eastAsia="Calibri" w:hAnsi="Arial" w:cs="Arial"/>
          <w:lang w:val="en-US"/>
        </w:rPr>
        <w:t xml:space="preserve"> </w:t>
      </w:r>
      <w:r w:rsidR="00A57295" w:rsidRPr="00277C2E">
        <w:rPr>
          <w:rFonts w:ascii="Arial" w:eastAsia="Calibri" w:hAnsi="Arial" w:cs="Arial"/>
          <w:lang w:val="en-US"/>
        </w:rPr>
        <w:t>1 and 2</w:t>
      </w:r>
      <w:r w:rsidRPr="00277C2E">
        <w:rPr>
          <w:rFonts w:ascii="Arial" w:eastAsia="Calibri" w:hAnsi="Arial" w:cs="Arial"/>
          <w:lang w:val="en-US"/>
        </w:rPr>
        <w:t xml:space="preserve">). Moreover, for the white matter reference the associations were again more negative than for the whole cerebellum standard processing, and associations were comparable across PVC methods in this data. </w:t>
      </w:r>
    </w:p>
    <w:p w14:paraId="5EB12B40" w14:textId="33C1C3C3" w:rsidR="00A57295" w:rsidRDefault="00931FD8" w:rsidP="00277C2E">
      <w:pPr>
        <w:spacing w:after="0" w:line="480" w:lineRule="auto"/>
        <w:ind w:firstLine="709"/>
        <w:jc w:val="both"/>
        <w:rPr>
          <w:rFonts w:ascii="Arial" w:eastAsia="Calibri" w:hAnsi="Arial" w:cs="Arial"/>
          <w:lang w:val="en-US"/>
        </w:rPr>
      </w:pPr>
      <w:r w:rsidRPr="00277C2E">
        <w:rPr>
          <w:rFonts w:ascii="Arial" w:eastAsia="Calibri" w:hAnsi="Arial" w:cs="Arial"/>
          <w:lang w:val="en-US"/>
        </w:rPr>
        <w:t>For sensitivity analysis of the voxel-wise sliding window approach, we defined the reference group with highest CSF Aβ42 levels using</w:t>
      </w:r>
      <w:r>
        <w:rPr>
          <w:rFonts w:ascii="Arial" w:eastAsia="Calibri" w:hAnsi="Arial" w:cs="Arial"/>
          <w:lang w:val="en-US"/>
        </w:rPr>
        <w:t xml:space="preserve"> the upper 10% or 20% quantiles instead of the initially chosen 15% </w:t>
      </w:r>
      <w:r w:rsidRPr="0056139B">
        <w:rPr>
          <w:rFonts w:ascii="Arial" w:eastAsia="Calibri" w:hAnsi="Arial" w:cs="Arial"/>
          <w:lang w:val="en-US"/>
        </w:rPr>
        <w:t>quantile</w:t>
      </w:r>
      <w:r>
        <w:rPr>
          <w:rFonts w:ascii="Arial" w:eastAsia="Calibri" w:hAnsi="Arial" w:cs="Arial"/>
          <w:lang w:val="en-US"/>
        </w:rPr>
        <w:t xml:space="preserve">. As expected, the corresponding CSF thresholds at which first regional signal elevations became statistically significant varied with the size of the reference sample (which also determined the size of the sliding group of interest). Thus, when defining the reference sample using the 10% </w:t>
      </w:r>
      <w:r w:rsidRPr="00931FD8">
        <w:rPr>
          <w:rFonts w:ascii="Arial" w:eastAsia="Calibri" w:hAnsi="Arial" w:cs="Arial"/>
          <w:lang w:val="en-US"/>
        </w:rPr>
        <w:t>quantile (n</w:t>
      </w:r>
      <w:r w:rsidR="00F35342">
        <w:rPr>
          <w:rFonts w:ascii="Arial" w:eastAsia="Calibri" w:hAnsi="Arial" w:cs="Arial"/>
          <w:lang w:val="en-US"/>
        </w:rPr>
        <w:t xml:space="preserve"> </w:t>
      </w:r>
      <w:r w:rsidRPr="00931FD8">
        <w:rPr>
          <w:rFonts w:ascii="Arial" w:eastAsia="Calibri" w:hAnsi="Arial" w:cs="Arial"/>
          <w:lang w:val="en-US"/>
        </w:rPr>
        <w:t>=</w:t>
      </w:r>
      <w:r w:rsidR="00F35342">
        <w:rPr>
          <w:rFonts w:ascii="Arial" w:eastAsia="Calibri" w:hAnsi="Arial" w:cs="Arial"/>
          <w:lang w:val="en-US"/>
        </w:rPr>
        <w:t xml:space="preserve"> </w:t>
      </w:r>
      <w:r w:rsidRPr="00931FD8">
        <w:rPr>
          <w:rFonts w:ascii="Arial" w:eastAsia="Calibri" w:hAnsi="Arial" w:cs="Arial"/>
          <w:lang w:val="en-US"/>
        </w:rPr>
        <w:t xml:space="preserve">15 cases) first statistically significant 18F-Florbetapir-PET signal elevations in the sliding group of interest were observed at lower mean CSF Aβ42 levels when compared to using the 15% quantile </w:t>
      </w:r>
      <w:r w:rsidR="001637B6">
        <w:rPr>
          <w:rFonts w:ascii="Arial" w:eastAsia="Calibri" w:hAnsi="Arial" w:cs="Arial"/>
          <w:lang w:val="en-US"/>
        </w:rPr>
        <w:t xml:space="preserve">(n = 23 cases) </w:t>
      </w:r>
      <w:r w:rsidRPr="00931FD8">
        <w:rPr>
          <w:rFonts w:ascii="Arial" w:eastAsia="Calibri" w:hAnsi="Arial" w:cs="Arial"/>
          <w:lang w:val="en-US"/>
        </w:rPr>
        <w:t xml:space="preserve">as the reference sample, whereas these mean CSF Aβ42 levels were higher when using the 20% </w:t>
      </w:r>
      <w:r w:rsidRPr="00277C2E">
        <w:rPr>
          <w:rFonts w:ascii="Arial" w:eastAsia="Calibri" w:hAnsi="Arial" w:cs="Arial"/>
          <w:lang w:val="en-US"/>
        </w:rPr>
        <w:t>quantile as reference sample (n</w:t>
      </w:r>
      <w:r w:rsidR="00F35342" w:rsidRPr="00277C2E">
        <w:rPr>
          <w:rFonts w:ascii="Arial" w:eastAsia="Calibri" w:hAnsi="Arial" w:cs="Arial"/>
          <w:lang w:val="en-US"/>
        </w:rPr>
        <w:t xml:space="preserve"> </w:t>
      </w:r>
      <w:r w:rsidRPr="00277C2E">
        <w:rPr>
          <w:rFonts w:ascii="Arial" w:eastAsia="Calibri" w:hAnsi="Arial" w:cs="Arial"/>
          <w:lang w:val="en-US"/>
        </w:rPr>
        <w:t>=</w:t>
      </w:r>
      <w:r w:rsidR="00F35342" w:rsidRPr="00277C2E">
        <w:rPr>
          <w:rFonts w:ascii="Arial" w:eastAsia="Calibri" w:hAnsi="Arial" w:cs="Arial"/>
          <w:lang w:val="en-US"/>
        </w:rPr>
        <w:t xml:space="preserve"> </w:t>
      </w:r>
      <w:r w:rsidRPr="00277C2E">
        <w:rPr>
          <w:rFonts w:ascii="Arial" w:eastAsia="Calibri" w:hAnsi="Arial" w:cs="Arial"/>
          <w:lang w:val="en-US"/>
        </w:rPr>
        <w:t>30 cases). However, for any given reference sample, mean CSF Aβ42 levels at which first significant 18F-Florbetapir-PET signal elevations appeared were always higher (less pathologic) for PVC-3 compared to no PVC or PVC-2</w:t>
      </w:r>
      <w:r w:rsidR="00F50C1A" w:rsidRPr="00277C2E">
        <w:rPr>
          <w:rFonts w:ascii="Arial" w:eastAsia="Calibri" w:hAnsi="Arial" w:cs="Arial"/>
          <w:lang w:val="en-US"/>
        </w:rPr>
        <w:t xml:space="preserve"> (supplementary Table 1)</w:t>
      </w:r>
      <w:r w:rsidRPr="00277C2E">
        <w:rPr>
          <w:rFonts w:ascii="Arial" w:eastAsia="Calibri" w:hAnsi="Arial" w:cs="Arial"/>
          <w:lang w:val="en-US"/>
        </w:rPr>
        <w:t>. Moreover</w:t>
      </w:r>
      <w:r>
        <w:rPr>
          <w:rFonts w:ascii="Arial" w:eastAsia="Calibri" w:hAnsi="Arial" w:cs="Arial"/>
          <w:lang w:val="en-US"/>
        </w:rPr>
        <w:t>, the regional distribution of the first signal elevations was consistent across the different reference samples based on the upper 10%, 15% or 20% quantiles (data not shown).</w:t>
      </w:r>
    </w:p>
    <w:p w14:paraId="4E917B6A" w14:textId="39B63EA1" w:rsidR="001637B6" w:rsidRDefault="001637B6" w:rsidP="00277C2E">
      <w:pPr>
        <w:spacing w:after="0" w:line="480" w:lineRule="auto"/>
        <w:rPr>
          <w:rFonts w:ascii="Arial" w:hAnsi="Arial" w:cs="Arial"/>
          <w:b/>
          <w:lang w:val="en-US"/>
        </w:rPr>
      </w:pPr>
      <w:r>
        <w:rPr>
          <w:rFonts w:ascii="Arial" w:hAnsi="Arial" w:cs="Arial"/>
          <w:b/>
          <w:lang w:val="en-US"/>
        </w:rPr>
        <w:lastRenderedPageBreak/>
        <w:t>Supplementary Table 1</w:t>
      </w:r>
      <w:r w:rsidR="006D0DF3">
        <w:rPr>
          <w:rFonts w:ascii="Arial" w:hAnsi="Arial" w:cs="Arial"/>
          <w:b/>
          <w:lang w:val="en-US"/>
        </w:rPr>
        <w:t xml:space="preserve">: Mean CSF Aβ42 levels of early 18Florebetapir-PET signal with different PVC methods and sample sizes </w:t>
      </w:r>
    </w:p>
    <w:tbl>
      <w:tblPr>
        <w:tblStyle w:val="Tabellenraster"/>
        <w:tblW w:w="9062" w:type="dxa"/>
        <w:tblLook w:val="04A0" w:firstRow="1" w:lastRow="0" w:firstColumn="1" w:lastColumn="0" w:noHBand="0" w:noVBand="1"/>
      </w:tblPr>
      <w:tblGrid>
        <w:gridCol w:w="1890"/>
        <w:gridCol w:w="2016"/>
        <w:gridCol w:w="1476"/>
        <w:gridCol w:w="1941"/>
        <w:gridCol w:w="1739"/>
      </w:tblGrid>
      <w:tr w:rsidR="00DC4F82" w:rsidRPr="00277C2E" w14:paraId="5B315888" w14:textId="77777777" w:rsidTr="00D25AF5">
        <w:tc>
          <w:tcPr>
            <w:tcW w:w="1890" w:type="dxa"/>
          </w:tcPr>
          <w:p w14:paraId="7EE7B931" w14:textId="331F42B1" w:rsidR="00DC4F82" w:rsidRDefault="00DC4F82" w:rsidP="00277C2E">
            <w:pPr>
              <w:spacing w:after="0" w:line="480" w:lineRule="auto"/>
              <w:rPr>
                <w:rFonts w:ascii="Arial" w:hAnsi="Arial" w:cs="Arial"/>
                <w:b/>
                <w:lang w:val="en-US"/>
              </w:rPr>
            </w:pPr>
            <w:r>
              <w:rPr>
                <w:rFonts w:ascii="Arial" w:hAnsi="Arial" w:cs="Arial"/>
                <w:b/>
                <w:lang w:val="en-US"/>
              </w:rPr>
              <w:t>Quantiles of reference sample</w:t>
            </w:r>
          </w:p>
        </w:tc>
        <w:tc>
          <w:tcPr>
            <w:tcW w:w="2016" w:type="dxa"/>
          </w:tcPr>
          <w:p w14:paraId="1AB891CD" w14:textId="4D8C9F3A" w:rsidR="00DC4F82" w:rsidRDefault="00DC4F82" w:rsidP="00277C2E">
            <w:pPr>
              <w:spacing w:after="0" w:line="480" w:lineRule="auto"/>
              <w:rPr>
                <w:rFonts w:ascii="Arial" w:hAnsi="Arial" w:cs="Arial"/>
                <w:b/>
                <w:lang w:val="en-US"/>
              </w:rPr>
            </w:pPr>
            <w:r>
              <w:rPr>
                <w:rFonts w:ascii="Arial" w:hAnsi="Arial" w:cs="Arial"/>
                <w:b/>
                <w:lang w:val="en-US"/>
              </w:rPr>
              <w:t>Sample size of reference</w:t>
            </w:r>
            <w:r w:rsidR="00D25AF5">
              <w:rPr>
                <w:rFonts w:ascii="Arial" w:hAnsi="Arial" w:cs="Arial"/>
                <w:b/>
                <w:lang w:val="en-US"/>
              </w:rPr>
              <w:t>/index</w:t>
            </w:r>
            <w:r>
              <w:rPr>
                <w:rFonts w:ascii="Arial" w:hAnsi="Arial" w:cs="Arial"/>
                <w:b/>
                <w:lang w:val="en-US"/>
              </w:rPr>
              <w:t xml:space="preserve"> sample</w:t>
            </w:r>
            <w:r w:rsidR="00D25AF5">
              <w:rPr>
                <w:rFonts w:ascii="Arial" w:hAnsi="Arial" w:cs="Arial"/>
                <w:b/>
                <w:lang w:val="en-US"/>
              </w:rPr>
              <w:t>s</w:t>
            </w:r>
          </w:p>
        </w:tc>
        <w:tc>
          <w:tcPr>
            <w:tcW w:w="1476" w:type="dxa"/>
          </w:tcPr>
          <w:p w14:paraId="6C9A682C" w14:textId="57AC2FE1" w:rsidR="00DC4F82" w:rsidRDefault="00DC4F82" w:rsidP="00277C2E">
            <w:pPr>
              <w:spacing w:after="0" w:line="480" w:lineRule="auto"/>
              <w:rPr>
                <w:rFonts w:ascii="Arial" w:hAnsi="Arial" w:cs="Arial"/>
                <w:b/>
                <w:lang w:val="en-US"/>
              </w:rPr>
            </w:pPr>
            <w:r>
              <w:rPr>
                <w:rFonts w:ascii="Arial" w:hAnsi="Arial" w:cs="Arial"/>
                <w:b/>
                <w:lang w:val="en-US"/>
              </w:rPr>
              <w:t>PVC method</w:t>
            </w:r>
          </w:p>
        </w:tc>
        <w:tc>
          <w:tcPr>
            <w:tcW w:w="1941" w:type="dxa"/>
          </w:tcPr>
          <w:p w14:paraId="7ECA8EC7" w14:textId="6BCF3D42" w:rsidR="00DC4F82" w:rsidRDefault="00DC4F82" w:rsidP="00277C2E">
            <w:pPr>
              <w:spacing w:after="0" w:line="480" w:lineRule="auto"/>
              <w:jc w:val="right"/>
              <w:rPr>
                <w:rFonts w:ascii="Arial" w:hAnsi="Arial" w:cs="Arial"/>
                <w:b/>
                <w:lang w:val="en-US"/>
              </w:rPr>
            </w:pPr>
            <w:r>
              <w:rPr>
                <w:rFonts w:ascii="Arial" w:hAnsi="Arial" w:cs="Arial"/>
                <w:b/>
                <w:lang w:val="en-US"/>
              </w:rPr>
              <w:t>Mean CSF</w:t>
            </w:r>
            <w:r w:rsidR="00D25AF5">
              <w:rPr>
                <w:rFonts w:ascii="Arial" w:hAnsi="Arial" w:cs="Arial"/>
                <w:b/>
                <w:lang w:val="en-US"/>
              </w:rPr>
              <w:t xml:space="preserve"> Aβ42 </w:t>
            </w:r>
            <w:r>
              <w:rPr>
                <w:rFonts w:ascii="Arial" w:hAnsi="Arial" w:cs="Arial"/>
                <w:b/>
                <w:lang w:val="en-US"/>
              </w:rPr>
              <w:t xml:space="preserve"> level for reference sample (</w:t>
            </w:r>
            <w:proofErr w:type="spellStart"/>
            <w:r>
              <w:rPr>
                <w:rFonts w:ascii="Arial" w:hAnsi="Arial" w:cs="Arial"/>
                <w:b/>
                <w:lang w:val="en-US"/>
              </w:rPr>
              <w:t>pg</w:t>
            </w:r>
            <w:proofErr w:type="spellEnd"/>
            <w:r>
              <w:rPr>
                <w:rFonts w:ascii="Arial" w:hAnsi="Arial" w:cs="Arial"/>
                <w:b/>
                <w:lang w:val="en-US"/>
              </w:rPr>
              <w:t>/ml)</w:t>
            </w:r>
          </w:p>
        </w:tc>
        <w:tc>
          <w:tcPr>
            <w:tcW w:w="1739" w:type="dxa"/>
          </w:tcPr>
          <w:p w14:paraId="35BE28D6" w14:textId="7D369AE8" w:rsidR="00DC4F82" w:rsidRDefault="00DC4F82" w:rsidP="00277C2E">
            <w:pPr>
              <w:spacing w:after="0" w:line="480" w:lineRule="auto"/>
              <w:jc w:val="right"/>
              <w:rPr>
                <w:rFonts w:ascii="Arial" w:hAnsi="Arial" w:cs="Arial"/>
                <w:b/>
                <w:lang w:val="en-US"/>
              </w:rPr>
            </w:pPr>
            <w:r>
              <w:rPr>
                <w:rFonts w:ascii="Arial" w:hAnsi="Arial" w:cs="Arial"/>
                <w:b/>
                <w:lang w:val="en-US"/>
              </w:rPr>
              <w:t>Mean CSF</w:t>
            </w:r>
            <w:r w:rsidR="00D25AF5">
              <w:rPr>
                <w:rFonts w:ascii="Arial" w:hAnsi="Arial" w:cs="Arial"/>
                <w:b/>
                <w:lang w:val="en-US"/>
              </w:rPr>
              <w:t xml:space="preserve"> Aβ42</w:t>
            </w:r>
            <w:r>
              <w:rPr>
                <w:rFonts w:ascii="Arial" w:hAnsi="Arial" w:cs="Arial"/>
                <w:b/>
                <w:lang w:val="en-US"/>
              </w:rPr>
              <w:t xml:space="preserve"> level for index sample (</w:t>
            </w:r>
            <w:proofErr w:type="spellStart"/>
            <w:r>
              <w:rPr>
                <w:rFonts w:ascii="Arial" w:hAnsi="Arial" w:cs="Arial"/>
                <w:b/>
                <w:lang w:val="en-US"/>
              </w:rPr>
              <w:t>pg</w:t>
            </w:r>
            <w:proofErr w:type="spellEnd"/>
            <w:r>
              <w:rPr>
                <w:rFonts w:ascii="Arial" w:hAnsi="Arial" w:cs="Arial"/>
                <w:b/>
                <w:lang w:val="en-US"/>
              </w:rPr>
              <w:t>/ml)</w:t>
            </w:r>
          </w:p>
        </w:tc>
      </w:tr>
      <w:tr w:rsidR="00EA2DE5" w14:paraId="4FB0624C" w14:textId="77777777" w:rsidTr="00D25AF5">
        <w:tc>
          <w:tcPr>
            <w:tcW w:w="1890" w:type="dxa"/>
            <w:vMerge w:val="restart"/>
          </w:tcPr>
          <w:p w14:paraId="2395B7D4" w14:textId="77777777" w:rsidR="00EA2DE5" w:rsidRDefault="00EA2DE5" w:rsidP="00277C2E">
            <w:pPr>
              <w:spacing w:after="0" w:line="480" w:lineRule="auto"/>
              <w:rPr>
                <w:rFonts w:ascii="Arial" w:hAnsi="Arial" w:cs="Arial"/>
                <w:lang w:val="en-US"/>
              </w:rPr>
            </w:pPr>
          </w:p>
          <w:p w14:paraId="6FC6F189" w14:textId="18843945" w:rsidR="00EA2DE5" w:rsidRPr="001637B6" w:rsidRDefault="00EA2DE5" w:rsidP="00277C2E">
            <w:pPr>
              <w:spacing w:after="0" w:line="480" w:lineRule="auto"/>
              <w:rPr>
                <w:rFonts w:ascii="Arial" w:hAnsi="Arial" w:cs="Arial"/>
                <w:lang w:val="en-US"/>
              </w:rPr>
            </w:pPr>
            <w:r w:rsidRPr="001637B6">
              <w:rPr>
                <w:rFonts w:ascii="Arial" w:hAnsi="Arial" w:cs="Arial"/>
                <w:lang w:val="en-US"/>
              </w:rPr>
              <w:t>10</w:t>
            </w:r>
            <w:r w:rsidRPr="001637B6">
              <w:rPr>
                <w:rFonts w:ascii="Arial" w:hAnsi="Arial" w:cs="Arial"/>
                <w:vertAlign w:val="superscript"/>
                <w:lang w:val="en-US"/>
              </w:rPr>
              <w:t>th</w:t>
            </w:r>
          </w:p>
          <w:p w14:paraId="6439E313" w14:textId="312217E7" w:rsidR="00EA2DE5" w:rsidRPr="001637B6" w:rsidRDefault="00EA2DE5" w:rsidP="00277C2E">
            <w:pPr>
              <w:spacing w:after="0" w:line="480" w:lineRule="auto"/>
              <w:rPr>
                <w:rFonts w:ascii="Arial" w:hAnsi="Arial" w:cs="Arial"/>
                <w:lang w:val="en-US"/>
              </w:rPr>
            </w:pPr>
          </w:p>
        </w:tc>
        <w:tc>
          <w:tcPr>
            <w:tcW w:w="2016" w:type="dxa"/>
            <w:vMerge w:val="restart"/>
          </w:tcPr>
          <w:p w14:paraId="12F15CEB" w14:textId="77777777" w:rsidR="00EA2DE5" w:rsidRDefault="00EA2DE5" w:rsidP="00277C2E">
            <w:pPr>
              <w:spacing w:after="0" w:line="480" w:lineRule="auto"/>
              <w:rPr>
                <w:rFonts w:ascii="Arial" w:hAnsi="Arial" w:cs="Arial"/>
                <w:lang w:val="en-US"/>
              </w:rPr>
            </w:pPr>
          </w:p>
          <w:p w14:paraId="5778AB32" w14:textId="21FD7154" w:rsidR="00EA2DE5" w:rsidRPr="001637B6" w:rsidRDefault="00EA2DE5" w:rsidP="00277C2E">
            <w:pPr>
              <w:spacing w:after="0" w:line="480" w:lineRule="auto"/>
              <w:rPr>
                <w:rFonts w:ascii="Arial" w:hAnsi="Arial" w:cs="Arial"/>
                <w:lang w:val="en-US"/>
              </w:rPr>
            </w:pPr>
            <w:r>
              <w:rPr>
                <w:rFonts w:ascii="Arial" w:hAnsi="Arial" w:cs="Arial"/>
                <w:lang w:val="en-US"/>
              </w:rPr>
              <w:t xml:space="preserve">N = </w:t>
            </w:r>
            <w:r w:rsidRPr="001637B6">
              <w:rPr>
                <w:rFonts w:ascii="Arial" w:hAnsi="Arial" w:cs="Arial"/>
                <w:lang w:val="en-US"/>
              </w:rPr>
              <w:t>15</w:t>
            </w:r>
          </w:p>
          <w:p w14:paraId="1BC93D73" w14:textId="2E178E87" w:rsidR="00EA2DE5" w:rsidRPr="001637B6" w:rsidRDefault="00EA2DE5" w:rsidP="00277C2E">
            <w:pPr>
              <w:spacing w:after="0" w:line="480" w:lineRule="auto"/>
              <w:rPr>
                <w:rFonts w:ascii="Arial" w:hAnsi="Arial" w:cs="Arial"/>
                <w:lang w:val="en-US"/>
              </w:rPr>
            </w:pPr>
          </w:p>
        </w:tc>
        <w:tc>
          <w:tcPr>
            <w:tcW w:w="1476" w:type="dxa"/>
          </w:tcPr>
          <w:p w14:paraId="358985FA" w14:textId="6232D18C" w:rsidR="00EA2DE5" w:rsidRPr="001637B6" w:rsidRDefault="00EA2DE5" w:rsidP="00277C2E">
            <w:pPr>
              <w:spacing w:after="0" w:line="480" w:lineRule="auto"/>
              <w:rPr>
                <w:rFonts w:ascii="Arial" w:hAnsi="Arial" w:cs="Arial"/>
                <w:lang w:val="en-US"/>
              </w:rPr>
            </w:pPr>
            <w:r>
              <w:rPr>
                <w:rFonts w:ascii="Arial" w:hAnsi="Arial" w:cs="Arial"/>
                <w:lang w:val="en-US"/>
              </w:rPr>
              <w:t>No PVC</w:t>
            </w:r>
          </w:p>
        </w:tc>
        <w:tc>
          <w:tcPr>
            <w:tcW w:w="1941" w:type="dxa"/>
            <w:vMerge w:val="restart"/>
          </w:tcPr>
          <w:p w14:paraId="5171D7F2" w14:textId="77777777" w:rsidR="00EA2DE5" w:rsidRDefault="00EA2DE5" w:rsidP="00277C2E">
            <w:pPr>
              <w:spacing w:after="0" w:line="480" w:lineRule="auto"/>
              <w:jc w:val="right"/>
              <w:rPr>
                <w:rFonts w:ascii="Arial" w:hAnsi="Arial" w:cs="Arial"/>
                <w:lang w:val="en-US"/>
              </w:rPr>
            </w:pPr>
          </w:p>
          <w:p w14:paraId="5EAE2266" w14:textId="11FFE890" w:rsidR="006663BE" w:rsidRPr="001637B6" w:rsidRDefault="006663BE" w:rsidP="00277C2E">
            <w:pPr>
              <w:spacing w:after="0" w:line="480" w:lineRule="auto"/>
              <w:jc w:val="right"/>
              <w:rPr>
                <w:rFonts w:ascii="Arial" w:hAnsi="Arial" w:cs="Arial"/>
                <w:lang w:val="en-US"/>
              </w:rPr>
            </w:pPr>
            <w:r>
              <w:rPr>
                <w:rFonts w:ascii="Arial" w:hAnsi="Arial" w:cs="Arial"/>
                <w:lang w:val="en-US"/>
              </w:rPr>
              <w:t>2,663</w:t>
            </w:r>
          </w:p>
        </w:tc>
        <w:tc>
          <w:tcPr>
            <w:tcW w:w="1739" w:type="dxa"/>
          </w:tcPr>
          <w:p w14:paraId="12472DB0" w14:textId="11FD09AB" w:rsidR="00EA2DE5" w:rsidRPr="001637B6" w:rsidRDefault="006663BE" w:rsidP="00277C2E">
            <w:pPr>
              <w:spacing w:after="0" w:line="480" w:lineRule="auto"/>
              <w:jc w:val="right"/>
              <w:rPr>
                <w:rFonts w:ascii="Arial" w:hAnsi="Arial" w:cs="Arial"/>
                <w:lang w:val="en-US"/>
              </w:rPr>
            </w:pPr>
            <w:r>
              <w:rPr>
                <w:rFonts w:ascii="Arial" w:hAnsi="Arial" w:cs="Arial"/>
                <w:lang w:val="en-US"/>
              </w:rPr>
              <w:t>817</w:t>
            </w:r>
          </w:p>
        </w:tc>
      </w:tr>
      <w:tr w:rsidR="00EA2DE5" w14:paraId="5E69E47F" w14:textId="77777777" w:rsidTr="00D25AF5">
        <w:tc>
          <w:tcPr>
            <w:tcW w:w="1890" w:type="dxa"/>
            <w:vMerge/>
          </w:tcPr>
          <w:p w14:paraId="3CB7E1A4" w14:textId="7DF309AB" w:rsidR="00EA2DE5" w:rsidRPr="001637B6" w:rsidRDefault="00EA2DE5" w:rsidP="00277C2E">
            <w:pPr>
              <w:spacing w:after="0" w:line="480" w:lineRule="auto"/>
              <w:rPr>
                <w:rFonts w:ascii="Arial" w:hAnsi="Arial" w:cs="Arial"/>
                <w:lang w:val="en-US"/>
              </w:rPr>
            </w:pPr>
          </w:p>
        </w:tc>
        <w:tc>
          <w:tcPr>
            <w:tcW w:w="2016" w:type="dxa"/>
            <w:vMerge/>
          </w:tcPr>
          <w:p w14:paraId="755816DC" w14:textId="3D253540" w:rsidR="00EA2DE5" w:rsidRPr="001637B6" w:rsidRDefault="00EA2DE5" w:rsidP="00277C2E">
            <w:pPr>
              <w:spacing w:after="0" w:line="480" w:lineRule="auto"/>
              <w:rPr>
                <w:rFonts w:ascii="Arial" w:hAnsi="Arial" w:cs="Arial"/>
                <w:lang w:val="en-US"/>
              </w:rPr>
            </w:pPr>
          </w:p>
        </w:tc>
        <w:tc>
          <w:tcPr>
            <w:tcW w:w="1476" w:type="dxa"/>
          </w:tcPr>
          <w:p w14:paraId="3D38BBEF" w14:textId="18A85B68" w:rsidR="00EA2DE5" w:rsidRPr="001637B6" w:rsidRDefault="00EA2DE5" w:rsidP="00277C2E">
            <w:pPr>
              <w:spacing w:after="0" w:line="480" w:lineRule="auto"/>
              <w:rPr>
                <w:rFonts w:ascii="Arial" w:hAnsi="Arial" w:cs="Arial"/>
                <w:lang w:val="en-US"/>
              </w:rPr>
            </w:pPr>
            <w:r>
              <w:rPr>
                <w:rFonts w:ascii="Arial" w:hAnsi="Arial" w:cs="Arial"/>
                <w:lang w:val="en-US"/>
              </w:rPr>
              <w:t>PVC-2</w:t>
            </w:r>
          </w:p>
        </w:tc>
        <w:tc>
          <w:tcPr>
            <w:tcW w:w="1941" w:type="dxa"/>
            <w:vMerge/>
          </w:tcPr>
          <w:p w14:paraId="68B8A728" w14:textId="77E592AC" w:rsidR="00EA2DE5" w:rsidRPr="001637B6" w:rsidRDefault="00EA2DE5" w:rsidP="00277C2E">
            <w:pPr>
              <w:spacing w:after="0" w:line="480" w:lineRule="auto"/>
              <w:jc w:val="right"/>
              <w:rPr>
                <w:rFonts w:ascii="Arial" w:hAnsi="Arial" w:cs="Arial"/>
                <w:lang w:val="en-US"/>
              </w:rPr>
            </w:pPr>
          </w:p>
        </w:tc>
        <w:tc>
          <w:tcPr>
            <w:tcW w:w="1739" w:type="dxa"/>
          </w:tcPr>
          <w:p w14:paraId="4F71DE4C" w14:textId="194C11EA" w:rsidR="00EA2DE5" w:rsidRPr="001637B6" w:rsidRDefault="0075693F" w:rsidP="00277C2E">
            <w:pPr>
              <w:spacing w:after="0" w:line="480" w:lineRule="auto"/>
              <w:jc w:val="right"/>
              <w:rPr>
                <w:rFonts w:ascii="Arial" w:hAnsi="Arial" w:cs="Arial"/>
                <w:lang w:val="en-US"/>
              </w:rPr>
            </w:pPr>
            <w:r>
              <w:rPr>
                <w:rFonts w:ascii="Arial" w:hAnsi="Arial" w:cs="Arial"/>
                <w:lang w:val="en-US"/>
              </w:rPr>
              <w:t>775</w:t>
            </w:r>
          </w:p>
        </w:tc>
      </w:tr>
      <w:tr w:rsidR="00EA2DE5" w14:paraId="1BF60BC1" w14:textId="77777777" w:rsidTr="00D25AF5">
        <w:tc>
          <w:tcPr>
            <w:tcW w:w="1890" w:type="dxa"/>
            <w:vMerge/>
          </w:tcPr>
          <w:p w14:paraId="1F6FC2A4" w14:textId="5DA7128C" w:rsidR="00EA2DE5" w:rsidRPr="001637B6" w:rsidRDefault="00EA2DE5" w:rsidP="00277C2E">
            <w:pPr>
              <w:spacing w:after="0" w:line="480" w:lineRule="auto"/>
              <w:rPr>
                <w:rFonts w:ascii="Arial" w:hAnsi="Arial" w:cs="Arial"/>
                <w:lang w:val="en-US"/>
              </w:rPr>
            </w:pPr>
          </w:p>
        </w:tc>
        <w:tc>
          <w:tcPr>
            <w:tcW w:w="2016" w:type="dxa"/>
            <w:vMerge/>
          </w:tcPr>
          <w:p w14:paraId="1D8AD3A3" w14:textId="31802169" w:rsidR="00EA2DE5" w:rsidRPr="001637B6" w:rsidRDefault="00EA2DE5" w:rsidP="00277C2E">
            <w:pPr>
              <w:spacing w:after="0" w:line="480" w:lineRule="auto"/>
              <w:rPr>
                <w:rFonts w:ascii="Arial" w:hAnsi="Arial" w:cs="Arial"/>
                <w:lang w:val="en-US"/>
              </w:rPr>
            </w:pPr>
          </w:p>
        </w:tc>
        <w:tc>
          <w:tcPr>
            <w:tcW w:w="1476" w:type="dxa"/>
          </w:tcPr>
          <w:p w14:paraId="2AA78317" w14:textId="6B791035" w:rsidR="00EA2DE5" w:rsidRPr="001637B6" w:rsidRDefault="00EA2DE5" w:rsidP="00277C2E">
            <w:pPr>
              <w:spacing w:after="0" w:line="480" w:lineRule="auto"/>
              <w:rPr>
                <w:rFonts w:ascii="Arial" w:hAnsi="Arial" w:cs="Arial"/>
                <w:lang w:val="en-US"/>
              </w:rPr>
            </w:pPr>
            <w:r>
              <w:rPr>
                <w:rFonts w:ascii="Arial" w:hAnsi="Arial" w:cs="Arial"/>
                <w:lang w:val="en-US"/>
              </w:rPr>
              <w:t>PVC-3</w:t>
            </w:r>
          </w:p>
        </w:tc>
        <w:tc>
          <w:tcPr>
            <w:tcW w:w="1941" w:type="dxa"/>
            <w:vMerge/>
          </w:tcPr>
          <w:p w14:paraId="6817C252" w14:textId="448E8595" w:rsidR="00EA2DE5" w:rsidRPr="001637B6" w:rsidRDefault="00EA2DE5" w:rsidP="00277C2E">
            <w:pPr>
              <w:spacing w:after="0" w:line="480" w:lineRule="auto"/>
              <w:jc w:val="right"/>
              <w:rPr>
                <w:rFonts w:ascii="Arial" w:hAnsi="Arial" w:cs="Arial"/>
                <w:lang w:val="en-US"/>
              </w:rPr>
            </w:pPr>
          </w:p>
        </w:tc>
        <w:tc>
          <w:tcPr>
            <w:tcW w:w="1739" w:type="dxa"/>
          </w:tcPr>
          <w:p w14:paraId="71E5E7AF" w14:textId="48FE561B" w:rsidR="00EA2DE5" w:rsidRPr="001637B6" w:rsidRDefault="0075693F" w:rsidP="00277C2E">
            <w:pPr>
              <w:spacing w:after="0" w:line="480" w:lineRule="auto"/>
              <w:jc w:val="right"/>
              <w:rPr>
                <w:rFonts w:ascii="Arial" w:hAnsi="Arial" w:cs="Arial"/>
                <w:lang w:val="en-US"/>
              </w:rPr>
            </w:pPr>
            <w:r>
              <w:rPr>
                <w:rFonts w:ascii="Arial" w:hAnsi="Arial" w:cs="Arial"/>
                <w:lang w:val="en-US"/>
              </w:rPr>
              <w:t>865</w:t>
            </w:r>
          </w:p>
        </w:tc>
      </w:tr>
      <w:tr w:rsidR="00EA2DE5" w14:paraId="6F28C8CA" w14:textId="77777777" w:rsidTr="00D25AF5">
        <w:tc>
          <w:tcPr>
            <w:tcW w:w="1890" w:type="dxa"/>
            <w:vMerge w:val="restart"/>
          </w:tcPr>
          <w:p w14:paraId="1631F546" w14:textId="77777777" w:rsidR="00EA2DE5" w:rsidRDefault="00EA2DE5" w:rsidP="00277C2E">
            <w:pPr>
              <w:spacing w:after="0" w:line="480" w:lineRule="auto"/>
              <w:rPr>
                <w:rFonts w:ascii="Arial" w:hAnsi="Arial" w:cs="Arial"/>
                <w:lang w:val="en-US"/>
              </w:rPr>
            </w:pPr>
          </w:p>
          <w:p w14:paraId="22DE82FB" w14:textId="41B9F67D" w:rsidR="00EA2DE5" w:rsidRPr="001637B6" w:rsidRDefault="00EA2DE5" w:rsidP="00277C2E">
            <w:pPr>
              <w:spacing w:after="0" w:line="480" w:lineRule="auto"/>
              <w:rPr>
                <w:rFonts w:ascii="Arial" w:hAnsi="Arial" w:cs="Arial"/>
                <w:lang w:val="en-US"/>
              </w:rPr>
            </w:pPr>
            <w:r w:rsidRPr="00053AF2">
              <w:rPr>
                <w:rFonts w:ascii="Arial" w:hAnsi="Arial" w:cs="Arial"/>
                <w:lang w:val="en-US"/>
              </w:rPr>
              <w:t>15</w:t>
            </w:r>
            <w:r w:rsidRPr="00053AF2">
              <w:rPr>
                <w:rFonts w:ascii="Arial" w:hAnsi="Arial" w:cs="Arial"/>
                <w:vertAlign w:val="superscript"/>
                <w:lang w:val="en-US"/>
              </w:rPr>
              <w:t>th</w:t>
            </w:r>
          </w:p>
          <w:p w14:paraId="0B6864A4" w14:textId="35A92591" w:rsidR="00EA2DE5" w:rsidRPr="001637B6" w:rsidRDefault="00EA2DE5" w:rsidP="00277C2E">
            <w:pPr>
              <w:spacing w:after="0" w:line="480" w:lineRule="auto"/>
              <w:rPr>
                <w:rFonts w:ascii="Arial" w:hAnsi="Arial" w:cs="Arial"/>
                <w:lang w:val="en-US"/>
              </w:rPr>
            </w:pPr>
          </w:p>
        </w:tc>
        <w:tc>
          <w:tcPr>
            <w:tcW w:w="2016" w:type="dxa"/>
            <w:vMerge w:val="restart"/>
          </w:tcPr>
          <w:p w14:paraId="4B3A85F6" w14:textId="77777777" w:rsidR="00EA2DE5" w:rsidRDefault="00EA2DE5" w:rsidP="00277C2E">
            <w:pPr>
              <w:spacing w:after="0" w:line="480" w:lineRule="auto"/>
              <w:rPr>
                <w:rFonts w:ascii="Arial" w:hAnsi="Arial" w:cs="Arial"/>
                <w:lang w:val="en-US"/>
              </w:rPr>
            </w:pPr>
          </w:p>
          <w:p w14:paraId="60FFA9F8" w14:textId="50864CBB" w:rsidR="00EA2DE5" w:rsidRDefault="00EA2DE5" w:rsidP="00277C2E">
            <w:pPr>
              <w:spacing w:after="0" w:line="480" w:lineRule="auto"/>
              <w:rPr>
                <w:rFonts w:ascii="Arial" w:hAnsi="Arial" w:cs="Arial"/>
                <w:lang w:val="en-US"/>
              </w:rPr>
            </w:pPr>
            <w:r w:rsidRPr="00DF45B2">
              <w:rPr>
                <w:rFonts w:ascii="Arial" w:hAnsi="Arial" w:cs="Arial"/>
                <w:lang w:val="en-US"/>
              </w:rPr>
              <w:t>N = 23</w:t>
            </w:r>
          </w:p>
          <w:p w14:paraId="3EE9A911" w14:textId="2281C896" w:rsidR="00EA2DE5" w:rsidRDefault="00EA2DE5" w:rsidP="00277C2E">
            <w:pPr>
              <w:spacing w:after="0" w:line="480" w:lineRule="auto"/>
              <w:rPr>
                <w:rFonts w:ascii="Arial" w:hAnsi="Arial" w:cs="Arial"/>
                <w:lang w:val="en-US"/>
              </w:rPr>
            </w:pPr>
          </w:p>
        </w:tc>
        <w:tc>
          <w:tcPr>
            <w:tcW w:w="1476" w:type="dxa"/>
          </w:tcPr>
          <w:p w14:paraId="403D1594" w14:textId="4B924B5A" w:rsidR="00EA2DE5" w:rsidRPr="001637B6" w:rsidRDefault="00EA2DE5" w:rsidP="00277C2E">
            <w:pPr>
              <w:spacing w:after="0" w:line="480" w:lineRule="auto"/>
              <w:rPr>
                <w:rFonts w:ascii="Arial" w:hAnsi="Arial" w:cs="Arial"/>
                <w:lang w:val="en-US"/>
              </w:rPr>
            </w:pPr>
            <w:r>
              <w:rPr>
                <w:rFonts w:ascii="Arial" w:hAnsi="Arial" w:cs="Arial"/>
                <w:lang w:val="en-US"/>
              </w:rPr>
              <w:t>No PVC</w:t>
            </w:r>
          </w:p>
        </w:tc>
        <w:tc>
          <w:tcPr>
            <w:tcW w:w="1941" w:type="dxa"/>
            <w:vMerge w:val="restart"/>
          </w:tcPr>
          <w:p w14:paraId="04126F89" w14:textId="77777777" w:rsidR="00EA2DE5" w:rsidRDefault="00EA2DE5" w:rsidP="00277C2E">
            <w:pPr>
              <w:spacing w:after="0" w:line="480" w:lineRule="auto"/>
              <w:jc w:val="right"/>
              <w:rPr>
                <w:rFonts w:ascii="Arial" w:eastAsia="Calibri" w:hAnsi="Arial" w:cs="Arial"/>
                <w:lang w:val="en-US"/>
              </w:rPr>
            </w:pPr>
          </w:p>
          <w:p w14:paraId="2507C193" w14:textId="0BC0F20C" w:rsidR="00EA2DE5" w:rsidRPr="001637B6" w:rsidRDefault="00EA2DE5" w:rsidP="00277C2E">
            <w:pPr>
              <w:spacing w:after="0" w:line="480" w:lineRule="auto"/>
              <w:jc w:val="right"/>
              <w:rPr>
                <w:rFonts w:ascii="Arial" w:hAnsi="Arial" w:cs="Arial"/>
                <w:lang w:val="en-US"/>
              </w:rPr>
            </w:pPr>
            <w:r>
              <w:rPr>
                <w:rFonts w:ascii="Arial" w:eastAsia="Calibri" w:hAnsi="Arial" w:cs="Arial"/>
                <w:lang w:val="en-US"/>
              </w:rPr>
              <w:t>2,512</w:t>
            </w:r>
          </w:p>
        </w:tc>
        <w:tc>
          <w:tcPr>
            <w:tcW w:w="1739" w:type="dxa"/>
          </w:tcPr>
          <w:p w14:paraId="3599FA6C" w14:textId="07C9915C" w:rsidR="00EA2DE5" w:rsidRPr="001637B6" w:rsidRDefault="006663BE" w:rsidP="00277C2E">
            <w:pPr>
              <w:spacing w:after="0" w:line="480" w:lineRule="auto"/>
              <w:jc w:val="right"/>
              <w:rPr>
                <w:rFonts w:ascii="Arial" w:hAnsi="Arial" w:cs="Arial"/>
                <w:lang w:val="en-US"/>
              </w:rPr>
            </w:pPr>
            <w:r>
              <w:rPr>
                <w:rFonts w:ascii="Arial" w:hAnsi="Arial" w:cs="Arial"/>
                <w:lang w:val="en-US"/>
              </w:rPr>
              <w:t>840</w:t>
            </w:r>
          </w:p>
        </w:tc>
      </w:tr>
      <w:tr w:rsidR="00EA2DE5" w14:paraId="06215493" w14:textId="77777777" w:rsidTr="00D25AF5">
        <w:tc>
          <w:tcPr>
            <w:tcW w:w="1890" w:type="dxa"/>
            <w:vMerge/>
          </w:tcPr>
          <w:p w14:paraId="0AABD922" w14:textId="3A27C5DD" w:rsidR="00EA2DE5" w:rsidRPr="001637B6" w:rsidRDefault="00EA2DE5" w:rsidP="00277C2E">
            <w:pPr>
              <w:spacing w:after="0" w:line="480" w:lineRule="auto"/>
              <w:rPr>
                <w:rFonts w:ascii="Arial" w:hAnsi="Arial" w:cs="Arial"/>
                <w:lang w:val="en-US"/>
              </w:rPr>
            </w:pPr>
          </w:p>
        </w:tc>
        <w:tc>
          <w:tcPr>
            <w:tcW w:w="2016" w:type="dxa"/>
            <w:vMerge/>
          </w:tcPr>
          <w:p w14:paraId="7DB5A89E" w14:textId="344BF4EB" w:rsidR="00EA2DE5" w:rsidRDefault="00EA2DE5" w:rsidP="00277C2E">
            <w:pPr>
              <w:spacing w:after="0" w:line="480" w:lineRule="auto"/>
              <w:rPr>
                <w:rFonts w:ascii="Arial" w:hAnsi="Arial" w:cs="Arial"/>
                <w:lang w:val="en-US"/>
              </w:rPr>
            </w:pPr>
          </w:p>
        </w:tc>
        <w:tc>
          <w:tcPr>
            <w:tcW w:w="1476" w:type="dxa"/>
          </w:tcPr>
          <w:p w14:paraId="5EB70476" w14:textId="46619336" w:rsidR="00EA2DE5" w:rsidRPr="001637B6" w:rsidRDefault="00EA2DE5" w:rsidP="00277C2E">
            <w:pPr>
              <w:spacing w:after="0" w:line="480" w:lineRule="auto"/>
              <w:rPr>
                <w:rFonts w:ascii="Arial" w:hAnsi="Arial" w:cs="Arial"/>
                <w:lang w:val="en-US"/>
              </w:rPr>
            </w:pPr>
            <w:r>
              <w:rPr>
                <w:rFonts w:ascii="Arial" w:hAnsi="Arial" w:cs="Arial"/>
                <w:lang w:val="en-US"/>
              </w:rPr>
              <w:t>PVC-2</w:t>
            </w:r>
          </w:p>
        </w:tc>
        <w:tc>
          <w:tcPr>
            <w:tcW w:w="1941" w:type="dxa"/>
            <w:vMerge/>
          </w:tcPr>
          <w:p w14:paraId="3D12A93D" w14:textId="0271B19A" w:rsidR="00EA2DE5" w:rsidRPr="001637B6" w:rsidRDefault="00EA2DE5" w:rsidP="00277C2E">
            <w:pPr>
              <w:spacing w:after="0" w:line="480" w:lineRule="auto"/>
              <w:jc w:val="right"/>
              <w:rPr>
                <w:rFonts w:ascii="Arial" w:hAnsi="Arial" w:cs="Arial"/>
                <w:lang w:val="en-US"/>
              </w:rPr>
            </w:pPr>
          </w:p>
        </w:tc>
        <w:tc>
          <w:tcPr>
            <w:tcW w:w="1739" w:type="dxa"/>
          </w:tcPr>
          <w:p w14:paraId="0FF35C1C" w14:textId="5CC4A227" w:rsidR="00EA2DE5" w:rsidRPr="001637B6" w:rsidRDefault="006663BE" w:rsidP="00277C2E">
            <w:pPr>
              <w:spacing w:after="0" w:line="480" w:lineRule="auto"/>
              <w:jc w:val="right"/>
              <w:rPr>
                <w:rFonts w:ascii="Arial" w:hAnsi="Arial" w:cs="Arial"/>
                <w:lang w:val="en-US"/>
              </w:rPr>
            </w:pPr>
            <w:r>
              <w:rPr>
                <w:rFonts w:ascii="Arial" w:hAnsi="Arial" w:cs="Arial"/>
                <w:lang w:val="en-US"/>
              </w:rPr>
              <w:t>840</w:t>
            </w:r>
          </w:p>
        </w:tc>
      </w:tr>
      <w:tr w:rsidR="00EA2DE5" w14:paraId="2E92A509" w14:textId="77777777" w:rsidTr="00D25AF5">
        <w:tc>
          <w:tcPr>
            <w:tcW w:w="1890" w:type="dxa"/>
            <w:vMerge/>
          </w:tcPr>
          <w:p w14:paraId="47B639EF" w14:textId="66642EB4" w:rsidR="00EA2DE5" w:rsidRPr="001637B6" w:rsidRDefault="00EA2DE5" w:rsidP="00277C2E">
            <w:pPr>
              <w:spacing w:after="0" w:line="480" w:lineRule="auto"/>
              <w:rPr>
                <w:rFonts w:ascii="Arial" w:hAnsi="Arial" w:cs="Arial"/>
                <w:lang w:val="en-US"/>
              </w:rPr>
            </w:pPr>
          </w:p>
        </w:tc>
        <w:tc>
          <w:tcPr>
            <w:tcW w:w="2016" w:type="dxa"/>
            <w:vMerge/>
          </w:tcPr>
          <w:p w14:paraId="34D957F2" w14:textId="22A06676" w:rsidR="00EA2DE5" w:rsidRDefault="00EA2DE5" w:rsidP="00277C2E">
            <w:pPr>
              <w:spacing w:after="0" w:line="480" w:lineRule="auto"/>
              <w:rPr>
                <w:rFonts w:ascii="Arial" w:hAnsi="Arial" w:cs="Arial"/>
                <w:lang w:val="en-US"/>
              </w:rPr>
            </w:pPr>
          </w:p>
        </w:tc>
        <w:tc>
          <w:tcPr>
            <w:tcW w:w="1476" w:type="dxa"/>
          </w:tcPr>
          <w:p w14:paraId="75A54DF6" w14:textId="28595E74" w:rsidR="00EA2DE5" w:rsidRPr="001637B6" w:rsidRDefault="00EA2DE5" w:rsidP="00277C2E">
            <w:pPr>
              <w:spacing w:after="0" w:line="480" w:lineRule="auto"/>
              <w:rPr>
                <w:rFonts w:ascii="Arial" w:hAnsi="Arial" w:cs="Arial"/>
                <w:lang w:val="en-US"/>
              </w:rPr>
            </w:pPr>
            <w:r>
              <w:rPr>
                <w:rFonts w:ascii="Arial" w:hAnsi="Arial" w:cs="Arial"/>
                <w:lang w:val="en-US"/>
              </w:rPr>
              <w:t>PVC-3</w:t>
            </w:r>
          </w:p>
        </w:tc>
        <w:tc>
          <w:tcPr>
            <w:tcW w:w="1941" w:type="dxa"/>
            <w:vMerge/>
          </w:tcPr>
          <w:p w14:paraId="110FBBC1" w14:textId="2E330075" w:rsidR="00EA2DE5" w:rsidRPr="001637B6" w:rsidRDefault="00EA2DE5" w:rsidP="00277C2E">
            <w:pPr>
              <w:spacing w:after="0" w:line="480" w:lineRule="auto"/>
              <w:jc w:val="right"/>
              <w:rPr>
                <w:rFonts w:ascii="Arial" w:hAnsi="Arial" w:cs="Arial"/>
                <w:lang w:val="en-US"/>
              </w:rPr>
            </w:pPr>
          </w:p>
        </w:tc>
        <w:tc>
          <w:tcPr>
            <w:tcW w:w="1739" w:type="dxa"/>
          </w:tcPr>
          <w:p w14:paraId="23A2909D" w14:textId="19A94250" w:rsidR="00EA2DE5" w:rsidRPr="001637B6" w:rsidRDefault="006663BE" w:rsidP="00277C2E">
            <w:pPr>
              <w:spacing w:after="0" w:line="480" w:lineRule="auto"/>
              <w:jc w:val="right"/>
              <w:rPr>
                <w:rFonts w:ascii="Arial" w:hAnsi="Arial" w:cs="Arial"/>
                <w:lang w:val="en-US"/>
              </w:rPr>
            </w:pPr>
            <w:r>
              <w:rPr>
                <w:rFonts w:ascii="Arial" w:hAnsi="Arial" w:cs="Arial"/>
                <w:lang w:val="en-US"/>
              </w:rPr>
              <w:t>928</w:t>
            </w:r>
          </w:p>
        </w:tc>
      </w:tr>
      <w:tr w:rsidR="00EA2DE5" w14:paraId="158804D4" w14:textId="77777777" w:rsidTr="00D25AF5">
        <w:tc>
          <w:tcPr>
            <w:tcW w:w="1890" w:type="dxa"/>
            <w:vMerge w:val="restart"/>
          </w:tcPr>
          <w:p w14:paraId="01CFF52D" w14:textId="77777777" w:rsidR="00EA2DE5" w:rsidRDefault="00EA2DE5" w:rsidP="00277C2E">
            <w:pPr>
              <w:spacing w:after="0" w:line="480" w:lineRule="auto"/>
              <w:rPr>
                <w:rFonts w:ascii="Arial" w:hAnsi="Arial" w:cs="Arial"/>
                <w:lang w:val="en-US"/>
              </w:rPr>
            </w:pPr>
          </w:p>
          <w:p w14:paraId="1E36A8E8" w14:textId="159B4C6F" w:rsidR="00EA2DE5" w:rsidRPr="001637B6" w:rsidRDefault="00EA2DE5" w:rsidP="00277C2E">
            <w:pPr>
              <w:spacing w:after="0" w:line="480" w:lineRule="auto"/>
              <w:rPr>
                <w:rFonts w:ascii="Arial" w:hAnsi="Arial" w:cs="Arial"/>
                <w:lang w:val="en-US"/>
              </w:rPr>
            </w:pPr>
            <w:r w:rsidRPr="00875817">
              <w:rPr>
                <w:rFonts w:ascii="Arial" w:hAnsi="Arial" w:cs="Arial"/>
                <w:lang w:val="en-US"/>
              </w:rPr>
              <w:t>20</w:t>
            </w:r>
            <w:r w:rsidRPr="00875817">
              <w:rPr>
                <w:rFonts w:ascii="Arial" w:hAnsi="Arial" w:cs="Arial"/>
                <w:vertAlign w:val="superscript"/>
                <w:lang w:val="en-US"/>
              </w:rPr>
              <w:t>th</w:t>
            </w:r>
          </w:p>
        </w:tc>
        <w:tc>
          <w:tcPr>
            <w:tcW w:w="2016" w:type="dxa"/>
            <w:vMerge w:val="restart"/>
          </w:tcPr>
          <w:p w14:paraId="60432A77" w14:textId="77777777" w:rsidR="00EA2DE5" w:rsidRDefault="00EA2DE5" w:rsidP="00277C2E">
            <w:pPr>
              <w:spacing w:after="0" w:line="480" w:lineRule="auto"/>
              <w:rPr>
                <w:rFonts w:ascii="Arial" w:hAnsi="Arial" w:cs="Arial"/>
                <w:lang w:val="en-US"/>
              </w:rPr>
            </w:pPr>
          </w:p>
          <w:p w14:paraId="31FA8980" w14:textId="1F321B04" w:rsidR="00EA2DE5" w:rsidRDefault="00EA2DE5" w:rsidP="00277C2E">
            <w:pPr>
              <w:spacing w:after="0" w:line="480" w:lineRule="auto"/>
              <w:rPr>
                <w:rFonts w:ascii="Arial" w:hAnsi="Arial" w:cs="Arial"/>
                <w:lang w:val="en-US"/>
              </w:rPr>
            </w:pPr>
            <w:r w:rsidRPr="00C75B21">
              <w:rPr>
                <w:rFonts w:ascii="Arial" w:hAnsi="Arial" w:cs="Arial"/>
                <w:lang w:val="en-US"/>
              </w:rPr>
              <w:t>N = 30</w:t>
            </w:r>
          </w:p>
        </w:tc>
        <w:tc>
          <w:tcPr>
            <w:tcW w:w="1476" w:type="dxa"/>
          </w:tcPr>
          <w:p w14:paraId="3B2139DC" w14:textId="4983ADD6" w:rsidR="00EA2DE5" w:rsidRPr="001637B6" w:rsidRDefault="00EA2DE5" w:rsidP="00277C2E">
            <w:pPr>
              <w:spacing w:after="0" w:line="480" w:lineRule="auto"/>
              <w:rPr>
                <w:rFonts w:ascii="Arial" w:hAnsi="Arial" w:cs="Arial"/>
                <w:lang w:val="en-US"/>
              </w:rPr>
            </w:pPr>
            <w:r>
              <w:rPr>
                <w:rFonts w:ascii="Arial" w:hAnsi="Arial" w:cs="Arial"/>
                <w:lang w:val="en-US"/>
              </w:rPr>
              <w:t>No PVC</w:t>
            </w:r>
          </w:p>
        </w:tc>
        <w:tc>
          <w:tcPr>
            <w:tcW w:w="1941" w:type="dxa"/>
            <w:vMerge w:val="restart"/>
          </w:tcPr>
          <w:p w14:paraId="587791F9" w14:textId="77777777" w:rsidR="00EA2DE5" w:rsidRDefault="00EA2DE5" w:rsidP="00277C2E">
            <w:pPr>
              <w:spacing w:after="0" w:line="480" w:lineRule="auto"/>
              <w:jc w:val="right"/>
              <w:rPr>
                <w:rFonts w:ascii="Arial" w:hAnsi="Arial" w:cs="Arial"/>
                <w:lang w:val="en-US"/>
              </w:rPr>
            </w:pPr>
          </w:p>
          <w:p w14:paraId="7379B655" w14:textId="4966A570" w:rsidR="00743952" w:rsidRPr="001637B6" w:rsidRDefault="00743952" w:rsidP="00277C2E">
            <w:pPr>
              <w:spacing w:after="0" w:line="480" w:lineRule="auto"/>
              <w:jc w:val="right"/>
              <w:rPr>
                <w:rFonts w:ascii="Arial" w:hAnsi="Arial" w:cs="Arial"/>
                <w:lang w:val="en-US"/>
              </w:rPr>
            </w:pPr>
            <w:r>
              <w:rPr>
                <w:rFonts w:ascii="Arial" w:hAnsi="Arial" w:cs="Arial"/>
                <w:lang w:val="en-US"/>
              </w:rPr>
              <w:t>2,494</w:t>
            </w:r>
          </w:p>
        </w:tc>
        <w:tc>
          <w:tcPr>
            <w:tcW w:w="1739" w:type="dxa"/>
          </w:tcPr>
          <w:p w14:paraId="1F54DBFC" w14:textId="794B70BA" w:rsidR="00EA2DE5" w:rsidRPr="001637B6" w:rsidRDefault="00743952" w:rsidP="00277C2E">
            <w:pPr>
              <w:spacing w:after="0" w:line="480" w:lineRule="auto"/>
              <w:jc w:val="right"/>
              <w:rPr>
                <w:rFonts w:ascii="Arial" w:hAnsi="Arial" w:cs="Arial"/>
                <w:lang w:val="en-US"/>
              </w:rPr>
            </w:pPr>
            <w:r>
              <w:rPr>
                <w:rFonts w:ascii="Arial" w:hAnsi="Arial" w:cs="Arial"/>
                <w:lang w:val="en-US"/>
              </w:rPr>
              <w:t>881</w:t>
            </w:r>
          </w:p>
        </w:tc>
      </w:tr>
      <w:tr w:rsidR="00EA2DE5" w14:paraId="4865C20E" w14:textId="77777777" w:rsidTr="00D25AF5">
        <w:tc>
          <w:tcPr>
            <w:tcW w:w="1890" w:type="dxa"/>
            <w:vMerge/>
          </w:tcPr>
          <w:p w14:paraId="1E2DE7EC" w14:textId="2B076DEA" w:rsidR="00EA2DE5" w:rsidRPr="001637B6" w:rsidRDefault="00EA2DE5" w:rsidP="00DC4F82">
            <w:pPr>
              <w:spacing w:after="0" w:line="480" w:lineRule="auto"/>
              <w:rPr>
                <w:rFonts w:ascii="Arial" w:hAnsi="Arial" w:cs="Arial"/>
                <w:lang w:val="en-US"/>
              </w:rPr>
            </w:pPr>
          </w:p>
        </w:tc>
        <w:tc>
          <w:tcPr>
            <w:tcW w:w="2016" w:type="dxa"/>
            <w:vMerge/>
          </w:tcPr>
          <w:p w14:paraId="62271755" w14:textId="2E7C9A91" w:rsidR="00EA2DE5" w:rsidRDefault="00EA2DE5" w:rsidP="00DC4F82">
            <w:pPr>
              <w:spacing w:after="0" w:line="480" w:lineRule="auto"/>
              <w:rPr>
                <w:rFonts w:ascii="Arial" w:hAnsi="Arial" w:cs="Arial"/>
                <w:lang w:val="en-US"/>
              </w:rPr>
            </w:pPr>
          </w:p>
        </w:tc>
        <w:tc>
          <w:tcPr>
            <w:tcW w:w="1476" w:type="dxa"/>
          </w:tcPr>
          <w:p w14:paraId="3F92FFF5" w14:textId="5BB0C807" w:rsidR="00EA2DE5" w:rsidRPr="001637B6" w:rsidRDefault="00EA2DE5" w:rsidP="00DC4F82">
            <w:pPr>
              <w:spacing w:after="0" w:line="480" w:lineRule="auto"/>
              <w:rPr>
                <w:rFonts w:ascii="Arial" w:hAnsi="Arial" w:cs="Arial"/>
                <w:lang w:val="en-US"/>
              </w:rPr>
            </w:pPr>
            <w:r>
              <w:rPr>
                <w:rFonts w:ascii="Arial" w:hAnsi="Arial" w:cs="Arial"/>
                <w:lang w:val="en-US"/>
              </w:rPr>
              <w:t>PVC-2</w:t>
            </w:r>
          </w:p>
        </w:tc>
        <w:tc>
          <w:tcPr>
            <w:tcW w:w="1941" w:type="dxa"/>
            <w:vMerge/>
          </w:tcPr>
          <w:p w14:paraId="10B7067A" w14:textId="04B56FE9" w:rsidR="00EA2DE5" w:rsidRPr="001637B6" w:rsidRDefault="00EA2DE5" w:rsidP="006D0DF3">
            <w:pPr>
              <w:spacing w:after="0" w:line="480" w:lineRule="auto"/>
              <w:jc w:val="right"/>
              <w:rPr>
                <w:rFonts w:ascii="Arial" w:hAnsi="Arial" w:cs="Arial"/>
                <w:lang w:val="en-US"/>
              </w:rPr>
            </w:pPr>
          </w:p>
        </w:tc>
        <w:tc>
          <w:tcPr>
            <w:tcW w:w="1739" w:type="dxa"/>
          </w:tcPr>
          <w:p w14:paraId="58802DB1" w14:textId="0600486A" w:rsidR="00EA2DE5" w:rsidRPr="001637B6" w:rsidRDefault="00743952" w:rsidP="006D0DF3">
            <w:pPr>
              <w:spacing w:after="0" w:line="480" w:lineRule="auto"/>
              <w:jc w:val="right"/>
              <w:rPr>
                <w:rFonts w:ascii="Arial" w:hAnsi="Arial" w:cs="Arial"/>
                <w:lang w:val="en-US"/>
              </w:rPr>
            </w:pPr>
            <w:r>
              <w:rPr>
                <w:rFonts w:ascii="Arial" w:hAnsi="Arial" w:cs="Arial"/>
                <w:lang w:val="en-US"/>
              </w:rPr>
              <w:t>881</w:t>
            </w:r>
          </w:p>
        </w:tc>
      </w:tr>
      <w:tr w:rsidR="00EA2DE5" w14:paraId="3CF25D7F" w14:textId="77777777" w:rsidTr="00D25AF5">
        <w:tc>
          <w:tcPr>
            <w:tcW w:w="1890" w:type="dxa"/>
            <w:vMerge/>
          </w:tcPr>
          <w:p w14:paraId="02D27C5D" w14:textId="57107C47" w:rsidR="00EA2DE5" w:rsidRPr="001637B6" w:rsidRDefault="00EA2DE5" w:rsidP="00DC4F82">
            <w:pPr>
              <w:spacing w:after="0" w:line="480" w:lineRule="auto"/>
              <w:rPr>
                <w:rFonts w:ascii="Arial" w:hAnsi="Arial" w:cs="Arial"/>
                <w:lang w:val="en-US"/>
              </w:rPr>
            </w:pPr>
          </w:p>
        </w:tc>
        <w:tc>
          <w:tcPr>
            <w:tcW w:w="2016" w:type="dxa"/>
            <w:vMerge/>
          </w:tcPr>
          <w:p w14:paraId="5FF9B720" w14:textId="7D42804B" w:rsidR="00EA2DE5" w:rsidRDefault="00EA2DE5" w:rsidP="00DC4F82">
            <w:pPr>
              <w:spacing w:after="0" w:line="480" w:lineRule="auto"/>
              <w:rPr>
                <w:rFonts w:ascii="Arial" w:hAnsi="Arial" w:cs="Arial"/>
                <w:lang w:val="en-US"/>
              </w:rPr>
            </w:pPr>
          </w:p>
        </w:tc>
        <w:tc>
          <w:tcPr>
            <w:tcW w:w="1476" w:type="dxa"/>
          </w:tcPr>
          <w:p w14:paraId="07CEA792" w14:textId="27F693DB" w:rsidR="00EA2DE5" w:rsidRPr="001637B6" w:rsidRDefault="00EA2DE5" w:rsidP="00DC4F82">
            <w:pPr>
              <w:spacing w:after="0" w:line="480" w:lineRule="auto"/>
              <w:rPr>
                <w:rFonts w:ascii="Arial" w:hAnsi="Arial" w:cs="Arial"/>
                <w:lang w:val="en-US"/>
              </w:rPr>
            </w:pPr>
            <w:r>
              <w:rPr>
                <w:rFonts w:ascii="Arial" w:hAnsi="Arial" w:cs="Arial"/>
                <w:lang w:val="en-US"/>
              </w:rPr>
              <w:t>PVC-3</w:t>
            </w:r>
          </w:p>
        </w:tc>
        <w:tc>
          <w:tcPr>
            <w:tcW w:w="1941" w:type="dxa"/>
            <w:vMerge/>
          </w:tcPr>
          <w:p w14:paraId="09F34170" w14:textId="05722A55" w:rsidR="00EA2DE5" w:rsidRPr="001637B6" w:rsidRDefault="00EA2DE5" w:rsidP="006D0DF3">
            <w:pPr>
              <w:spacing w:after="0" w:line="480" w:lineRule="auto"/>
              <w:jc w:val="right"/>
              <w:rPr>
                <w:rFonts w:ascii="Arial" w:hAnsi="Arial" w:cs="Arial"/>
                <w:lang w:val="en-US"/>
              </w:rPr>
            </w:pPr>
          </w:p>
        </w:tc>
        <w:tc>
          <w:tcPr>
            <w:tcW w:w="1739" w:type="dxa"/>
          </w:tcPr>
          <w:p w14:paraId="54222500" w14:textId="0631801F" w:rsidR="00EA2DE5" w:rsidRPr="001637B6" w:rsidRDefault="00743952" w:rsidP="006D0DF3">
            <w:pPr>
              <w:spacing w:after="0" w:line="480" w:lineRule="auto"/>
              <w:jc w:val="right"/>
              <w:rPr>
                <w:rFonts w:ascii="Arial" w:hAnsi="Arial" w:cs="Arial"/>
                <w:lang w:val="en-US"/>
              </w:rPr>
            </w:pPr>
            <w:r>
              <w:rPr>
                <w:rFonts w:ascii="Arial" w:hAnsi="Arial" w:cs="Arial"/>
                <w:lang w:val="en-US"/>
              </w:rPr>
              <w:t>993</w:t>
            </w:r>
          </w:p>
        </w:tc>
      </w:tr>
    </w:tbl>
    <w:p w14:paraId="3EB62C7E" w14:textId="7F90976D" w:rsidR="001637B6" w:rsidRDefault="001637B6" w:rsidP="001637B6">
      <w:pPr>
        <w:spacing w:after="0" w:line="480" w:lineRule="auto"/>
        <w:rPr>
          <w:rFonts w:ascii="Arial" w:hAnsi="Arial" w:cs="Arial"/>
          <w:b/>
          <w:lang w:val="en-US"/>
        </w:rPr>
      </w:pPr>
      <w:r>
        <w:rPr>
          <w:rFonts w:ascii="Arial" w:hAnsi="Arial" w:cs="Arial"/>
          <w:b/>
          <w:lang w:val="en-US"/>
        </w:rPr>
        <w:br w:type="page"/>
      </w:r>
    </w:p>
    <w:p w14:paraId="02D408A7" w14:textId="331B7076" w:rsidR="00A57295" w:rsidRDefault="00A57295" w:rsidP="00A57295">
      <w:pPr>
        <w:spacing w:after="0" w:line="480" w:lineRule="auto"/>
        <w:rPr>
          <w:rFonts w:ascii="Arial" w:hAnsi="Arial" w:cs="Arial"/>
          <w:b/>
          <w:lang w:val="en-US"/>
        </w:rPr>
      </w:pPr>
      <w:r>
        <w:rPr>
          <w:rFonts w:ascii="Arial" w:hAnsi="Arial" w:cs="Arial"/>
          <w:b/>
          <w:lang w:val="en-US"/>
        </w:rPr>
        <w:lastRenderedPageBreak/>
        <w:t>Supplementary Figure legends:</w:t>
      </w:r>
    </w:p>
    <w:p w14:paraId="1B5C9050" w14:textId="77777777" w:rsidR="00A57295" w:rsidRDefault="00A57295" w:rsidP="00A57295">
      <w:pPr>
        <w:spacing w:after="0" w:line="480" w:lineRule="auto"/>
        <w:rPr>
          <w:rFonts w:ascii="Arial" w:hAnsi="Arial" w:cs="Arial"/>
          <w:b/>
          <w:lang w:val="en-US"/>
        </w:rPr>
      </w:pPr>
    </w:p>
    <w:p w14:paraId="491915E5" w14:textId="77777777" w:rsidR="00A57295" w:rsidRPr="000861F1" w:rsidRDefault="00A57295" w:rsidP="00A57295">
      <w:pPr>
        <w:spacing w:after="0" w:line="480" w:lineRule="auto"/>
        <w:rPr>
          <w:rFonts w:ascii="Arial" w:hAnsi="Arial" w:cs="Arial"/>
          <w:b/>
          <w:lang w:val="en-US"/>
        </w:rPr>
      </w:pPr>
      <w:r>
        <w:rPr>
          <w:rFonts w:ascii="Arial" w:hAnsi="Arial" w:cs="Arial"/>
          <w:b/>
          <w:lang w:val="en-US"/>
        </w:rPr>
        <w:t xml:space="preserve">Supplementary </w:t>
      </w:r>
      <w:r w:rsidRPr="000861F1">
        <w:rPr>
          <w:rFonts w:ascii="Arial" w:hAnsi="Arial" w:cs="Arial"/>
          <w:b/>
          <w:lang w:val="en-US"/>
        </w:rPr>
        <w:t xml:space="preserve">Figure </w:t>
      </w:r>
      <w:r>
        <w:rPr>
          <w:rFonts w:ascii="Arial" w:hAnsi="Arial" w:cs="Arial"/>
          <w:b/>
          <w:lang w:val="en-US"/>
        </w:rPr>
        <w:t>1</w:t>
      </w:r>
      <w:r w:rsidRPr="000861F1">
        <w:rPr>
          <w:rFonts w:ascii="Arial" w:hAnsi="Arial" w:cs="Arial"/>
          <w:b/>
          <w:lang w:val="en-US"/>
        </w:rPr>
        <w:t>: Linear spline coefficients</w:t>
      </w:r>
      <w:r>
        <w:rPr>
          <w:rFonts w:ascii="Arial" w:hAnsi="Arial" w:cs="Arial"/>
          <w:b/>
          <w:lang w:val="en-US"/>
        </w:rPr>
        <w:t xml:space="preserve"> for early stage amyloidosis</w:t>
      </w:r>
    </w:p>
    <w:p w14:paraId="6269D1F3" w14:textId="57A0C90A" w:rsidR="00A57295" w:rsidRDefault="00A57295" w:rsidP="00A57295">
      <w:pPr>
        <w:spacing w:after="0" w:line="480" w:lineRule="auto"/>
        <w:rPr>
          <w:rFonts w:ascii="Arial" w:eastAsia="Calibri" w:hAnsi="Arial" w:cs="Arial"/>
          <w:lang w:val="en-US"/>
        </w:rPr>
      </w:pPr>
      <w:r>
        <w:rPr>
          <w:rFonts w:ascii="Arial" w:eastAsia="Calibri" w:hAnsi="Arial" w:cs="Arial"/>
          <w:lang w:val="en-US"/>
        </w:rPr>
        <w:t xml:space="preserve">Boxplots of linear spline coefficients from </w:t>
      </w:r>
      <w:r w:rsidRPr="003D7235">
        <w:rPr>
          <w:rFonts w:ascii="Arial" w:eastAsia="Calibri" w:hAnsi="Arial" w:cs="Arial"/>
          <w:lang w:val="en-US"/>
        </w:rPr>
        <w:t xml:space="preserve">regression of the </w:t>
      </w:r>
      <w:r>
        <w:rPr>
          <w:rFonts w:ascii="Arial" w:eastAsia="Calibri" w:hAnsi="Arial" w:cs="Arial"/>
          <w:lang w:val="en-US"/>
        </w:rPr>
        <w:t>18F-Florbetapir</w:t>
      </w:r>
      <w:r w:rsidRPr="003D7235">
        <w:rPr>
          <w:rFonts w:ascii="Arial" w:eastAsia="Calibri" w:hAnsi="Arial" w:cs="Arial"/>
          <w:lang w:val="en-US"/>
        </w:rPr>
        <w:t xml:space="preserve">-PET signal on CSF Aβ42 levels </w:t>
      </w:r>
      <w:r>
        <w:rPr>
          <w:rFonts w:ascii="Arial" w:eastAsia="Calibri" w:hAnsi="Arial" w:cs="Arial"/>
          <w:lang w:val="en-US"/>
        </w:rPr>
        <w:t xml:space="preserve">(from </w:t>
      </w:r>
      <w:proofErr w:type="spellStart"/>
      <w:r>
        <w:rPr>
          <w:rFonts w:ascii="Arial" w:eastAsia="Calibri" w:hAnsi="Arial" w:cs="Arial"/>
          <w:lang w:val="en-US"/>
        </w:rPr>
        <w:t>Innogenetics</w:t>
      </w:r>
      <w:proofErr w:type="spellEnd"/>
      <w:r>
        <w:rPr>
          <w:rFonts w:ascii="Arial" w:eastAsia="Calibri" w:hAnsi="Arial" w:cs="Arial"/>
          <w:lang w:val="en-US"/>
        </w:rPr>
        <w:t xml:space="preserve"> assay) in the ADNI sample with the range sliding between the 16% quantile </w:t>
      </w:r>
      <w:r w:rsidR="00F35342">
        <w:rPr>
          <w:rFonts w:ascii="Arial" w:eastAsia="Calibri" w:hAnsi="Arial" w:cs="Arial"/>
          <w:lang w:val="en-US"/>
        </w:rPr>
        <w:t xml:space="preserve">and </w:t>
      </w:r>
      <w:r>
        <w:rPr>
          <w:rFonts w:ascii="Arial" w:eastAsia="Calibri" w:hAnsi="Arial" w:cs="Arial"/>
          <w:lang w:val="en-US"/>
        </w:rPr>
        <w:t xml:space="preserve">the first </w:t>
      </w:r>
      <w:proofErr w:type="spellStart"/>
      <w:r>
        <w:rPr>
          <w:rFonts w:ascii="Arial" w:eastAsia="Calibri" w:hAnsi="Arial" w:cs="Arial"/>
          <w:lang w:val="en-US"/>
        </w:rPr>
        <w:t>tertile</w:t>
      </w:r>
      <w:proofErr w:type="spellEnd"/>
      <w:r>
        <w:rPr>
          <w:rFonts w:ascii="Arial" w:eastAsia="Calibri" w:hAnsi="Arial" w:cs="Arial"/>
          <w:lang w:val="en-US"/>
        </w:rPr>
        <w:t xml:space="preserve"> of 18F-Florbetapir-PET values.</w:t>
      </w:r>
    </w:p>
    <w:p w14:paraId="10A8365D" w14:textId="1FB702E2" w:rsidR="00A57295" w:rsidRDefault="00A57295" w:rsidP="00A57295">
      <w:pPr>
        <w:spacing w:after="0" w:line="480" w:lineRule="auto"/>
        <w:rPr>
          <w:rFonts w:ascii="Arial" w:eastAsia="Calibri" w:hAnsi="Arial" w:cs="Arial"/>
          <w:lang w:val="en-US"/>
        </w:rPr>
      </w:pPr>
      <w:proofErr w:type="spellStart"/>
      <w:r>
        <w:rPr>
          <w:rFonts w:ascii="Arial" w:eastAsia="Calibri" w:hAnsi="Arial" w:cs="Arial"/>
          <w:lang w:val="en-US"/>
        </w:rPr>
        <w:t>WhCer</w:t>
      </w:r>
      <w:proofErr w:type="spellEnd"/>
      <w:r>
        <w:rPr>
          <w:rFonts w:ascii="Arial" w:eastAsia="Calibri" w:hAnsi="Arial" w:cs="Arial"/>
          <w:lang w:val="en-US"/>
        </w:rPr>
        <w:tab/>
      </w:r>
      <w:r w:rsidR="00F35342">
        <w:rPr>
          <w:rFonts w:ascii="Arial" w:eastAsia="Calibri" w:hAnsi="Arial" w:cs="Arial"/>
          <w:lang w:val="en-US"/>
        </w:rPr>
        <w:t xml:space="preserve"> </w:t>
      </w:r>
      <w:r w:rsidR="00F35342">
        <w:rPr>
          <w:rFonts w:ascii="Arial" w:eastAsia="Calibri" w:hAnsi="Arial" w:cs="Arial"/>
          <w:lang w:val="en-US"/>
        </w:rPr>
        <w:tab/>
        <w:t xml:space="preserve"> </w:t>
      </w:r>
      <w:r>
        <w:rPr>
          <w:rFonts w:ascii="Arial" w:eastAsia="Calibri" w:hAnsi="Arial" w:cs="Arial"/>
          <w:lang w:val="en-US"/>
        </w:rPr>
        <w:t>-</w:t>
      </w:r>
      <w:r>
        <w:rPr>
          <w:rFonts w:ascii="Arial" w:eastAsia="Calibri" w:hAnsi="Arial" w:cs="Arial"/>
          <w:lang w:val="en-US"/>
        </w:rPr>
        <w:tab/>
        <w:t>whole cerebellum reference region</w:t>
      </w:r>
    </w:p>
    <w:p w14:paraId="203A5485" w14:textId="77777777" w:rsidR="00A57295" w:rsidRDefault="00A57295" w:rsidP="00A57295">
      <w:pPr>
        <w:spacing w:after="0" w:line="480" w:lineRule="auto"/>
        <w:rPr>
          <w:rFonts w:ascii="Arial" w:eastAsia="Calibri" w:hAnsi="Arial" w:cs="Arial"/>
          <w:lang w:val="en-US"/>
        </w:rPr>
      </w:pPr>
      <w:r>
        <w:rPr>
          <w:rFonts w:ascii="Arial" w:eastAsia="Calibri" w:hAnsi="Arial" w:cs="Arial"/>
          <w:lang w:val="en-US"/>
        </w:rPr>
        <w:t>WM</w:t>
      </w:r>
      <w:r>
        <w:rPr>
          <w:rFonts w:ascii="Arial" w:eastAsia="Calibri" w:hAnsi="Arial" w:cs="Arial"/>
          <w:lang w:val="en-US"/>
        </w:rPr>
        <w:tab/>
      </w:r>
      <w:r>
        <w:rPr>
          <w:rFonts w:ascii="Arial" w:eastAsia="Calibri" w:hAnsi="Arial" w:cs="Arial"/>
          <w:lang w:val="en-US"/>
        </w:rPr>
        <w:tab/>
        <w:t>-</w:t>
      </w:r>
      <w:r>
        <w:rPr>
          <w:rFonts w:ascii="Arial" w:eastAsia="Calibri" w:hAnsi="Arial" w:cs="Arial"/>
          <w:lang w:val="en-US"/>
        </w:rPr>
        <w:tab/>
        <w:t>white matter reference region</w:t>
      </w:r>
    </w:p>
    <w:p w14:paraId="78C937C6" w14:textId="77777777" w:rsidR="00A57295" w:rsidRDefault="00A57295" w:rsidP="00A57295">
      <w:pPr>
        <w:spacing w:after="160" w:line="259" w:lineRule="auto"/>
        <w:rPr>
          <w:rFonts w:ascii="Arial" w:eastAsia="Calibri" w:hAnsi="Arial" w:cs="Arial"/>
          <w:lang w:val="en-US"/>
        </w:rPr>
      </w:pPr>
    </w:p>
    <w:p w14:paraId="5A6D8F61" w14:textId="77777777" w:rsidR="00A57295" w:rsidRPr="00190135" w:rsidRDefault="00A57295" w:rsidP="00A57295">
      <w:pPr>
        <w:spacing w:after="160" w:line="259" w:lineRule="auto"/>
        <w:rPr>
          <w:rFonts w:ascii="Arial" w:hAnsi="Arial" w:cs="Arial"/>
          <w:b/>
          <w:lang w:val="en-US"/>
        </w:rPr>
      </w:pPr>
      <w:r>
        <w:rPr>
          <w:rFonts w:ascii="Arial" w:hAnsi="Arial" w:cs="Arial"/>
          <w:b/>
          <w:lang w:val="en-US"/>
        </w:rPr>
        <w:t xml:space="preserve">Supplementary </w:t>
      </w:r>
      <w:r w:rsidRPr="00190135">
        <w:rPr>
          <w:rFonts w:ascii="Arial" w:hAnsi="Arial" w:cs="Arial"/>
          <w:b/>
          <w:lang w:val="en-US"/>
        </w:rPr>
        <w:t xml:space="preserve">Figure </w:t>
      </w:r>
      <w:r>
        <w:rPr>
          <w:rFonts w:ascii="Arial" w:hAnsi="Arial" w:cs="Arial"/>
          <w:b/>
          <w:lang w:val="en-US"/>
        </w:rPr>
        <w:t>2</w:t>
      </w:r>
      <w:r w:rsidRPr="00190135">
        <w:rPr>
          <w:rFonts w:ascii="Arial" w:hAnsi="Arial" w:cs="Arial"/>
          <w:b/>
          <w:lang w:val="en-US"/>
        </w:rPr>
        <w:t>: Correlation coefficients</w:t>
      </w:r>
      <w:r>
        <w:rPr>
          <w:rFonts w:ascii="Arial" w:hAnsi="Arial" w:cs="Arial"/>
          <w:b/>
          <w:lang w:val="en-US"/>
        </w:rPr>
        <w:t xml:space="preserve"> for early stage amyloidosis</w:t>
      </w:r>
    </w:p>
    <w:p w14:paraId="38225E2C" w14:textId="4E4D74A6" w:rsidR="00A57295" w:rsidRDefault="00A57295" w:rsidP="00A57295">
      <w:pPr>
        <w:spacing w:after="0" w:line="480" w:lineRule="auto"/>
        <w:rPr>
          <w:rFonts w:ascii="Arial" w:eastAsia="Calibri" w:hAnsi="Arial" w:cs="Arial"/>
          <w:lang w:val="en-US"/>
        </w:rPr>
      </w:pPr>
      <w:r>
        <w:rPr>
          <w:rFonts w:ascii="Arial" w:eastAsia="Calibri" w:hAnsi="Arial" w:cs="Arial"/>
          <w:lang w:val="en-US"/>
        </w:rPr>
        <w:t>Boxplots of correlation coefficients between</w:t>
      </w:r>
      <w:r w:rsidRPr="003D7235">
        <w:rPr>
          <w:rFonts w:ascii="Arial" w:eastAsia="Calibri" w:hAnsi="Arial" w:cs="Arial"/>
          <w:lang w:val="en-US"/>
        </w:rPr>
        <w:t xml:space="preserve"> </w:t>
      </w:r>
      <w:r>
        <w:rPr>
          <w:rFonts w:ascii="Arial" w:eastAsia="Calibri" w:hAnsi="Arial" w:cs="Arial"/>
          <w:lang w:val="en-US"/>
        </w:rPr>
        <w:t>18F-Florbetapir</w:t>
      </w:r>
      <w:r w:rsidRPr="003D7235">
        <w:rPr>
          <w:rFonts w:ascii="Arial" w:eastAsia="Calibri" w:hAnsi="Arial" w:cs="Arial"/>
          <w:lang w:val="en-US"/>
        </w:rPr>
        <w:t xml:space="preserve">-PET signal </w:t>
      </w:r>
      <w:r>
        <w:rPr>
          <w:rFonts w:ascii="Arial" w:eastAsia="Calibri" w:hAnsi="Arial" w:cs="Arial"/>
          <w:lang w:val="en-US"/>
        </w:rPr>
        <w:t>and</w:t>
      </w:r>
      <w:r w:rsidRPr="003D7235">
        <w:rPr>
          <w:rFonts w:ascii="Arial" w:eastAsia="Calibri" w:hAnsi="Arial" w:cs="Arial"/>
          <w:lang w:val="en-US"/>
        </w:rPr>
        <w:t xml:space="preserve"> CSF Aβ42 levels </w:t>
      </w:r>
      <w:r>
        <w:rPr>
          <w:rFonts w:ascii="Arial" w:eastAsia="Calibri" w:hAnsi="Arial" w:cs="Arial"/>
          <w:lang w:val="en-US"/>
        </w:rPr>
        <w:t xml:space="preserve">(from </w:t>
      </w:r>
      <w:proofErr w:type="spellStart"/>
      <w:r>
        <w:rPr>
          <w:rFonts w:ascii="Arial" w:eastAsia="Calibri" w:hAnsi="Arial" w:cs="Arial"/>
          <w:lang w:val="en-US"/>
        </w:rPr>
        <w:t>Innogenetics</w:t>
      </w:r>
      <w:proofErr w:type="spellEnd"/>
      <w:r>
        <w:rPr>
          <w:rFonts w:ascii="Arial" w:eastAsia="Calibri" w:hAnsi="Arial" w:cs="Arial"/>
          <w:lang w:val="en-US"/>
        </w:rPr>
        <w:t xml:space="preserve"> assay) in the ADNI sample with the range sliding between the 16% quantile </w:t>
      </w:r>
      <w:r w:rsidR="00F35342">
        <w:rPr>
          <w:rFonts w:ascii="Arial" w:eastAsia="Calibri" w:hAnsi="Arial" w:cs="Arial"/>
          <w:lang w:val="en-US"/>
        </w:rPr>
        <w:t xml:space="preserve">and </w:t>
      </w:r>
      <w:r>
        <w:rPr>
          <w:rFonts w:ascii="Arial" w:eastAsia="Calibri" w:hAnsi="Arial" w:cs="Arial"/>
          <w:lang w:val="en-US"/>
        </w:rPr>
        <w:t xml:space="preserve">the first </w:t>
      </w:r>
      <w:proofErr w:type="spellStart"/>
      <w:r>
        <w:rPr>
          <w:rFonts w:ascii="Arial" w:eastAsia="Calibri" w:hAnsi="Arial" w:cs="Arial"/>
          <w:lang w:val="en-US"/>
        </w:rPr>
        <w:t>tertile</w:t>
      </w:r>
      <w:proofErr w:type="spellEnd"/>
      <w:r>
        <w:rPr>
          <w:rFonts w:ascii="Arial" w:eastAsia="Calibri" w:hAnsi="Arial" w:cs="Arial"/>
          <w:lang w:val="en-US"/>
        </w:rPr>
        <w:t xml:space="preserve"> of 18F-Florbetapir-PET values.</w:t>
      </w:r>
    </w:p>
    <w:p w14:paraId="198380F9" w14:textId="73DA6F2F" w:rsidR="00A57295" w:rsidRDefault="00A57295" w:rsidP="00A57295">
      <w:pPr>
        <w:spacing w:after="0" w:line="480" w:lineRule="auto"/>
        <w:rPr>
          <w:rFonts w:ascii="Arial" w:eastAsia="Calibri" w:hAnsi="Arial" w:cs="Arial"/>
          <w:lang w:val="en-US"/>
        </w:rPr>
      </w:pPr>
      <w:proofErr w:type="spellStart"/>
      <w:r>
        <w:rPr>
          <w:rFonts w:ascii="Arial" w:eastAsia="Calibri" w:hAnsi="Arial" w:cs="Arial"/>
          <w:lang w:val="en-US"/>
        </w:rPr>
        <w:t>WhCer</w:t>
      </w:r>
      <w:proofErr w:type="spellEnd"/>
      <w:r w:rsidR="00F35342">
        <w:rPr>
          <w:rFonts w:ascii="Arial" w:eastAsia="Calibri" w:hAnsi="Arial" w:cs="Arial"/>
          <w:lang w:val="en-US"/>
        </w:rPr>
        <w:t xml:space="preserve"> </w:t>
      </w:r>
      <w:r>
        <w:rPr>
          <w:rFonts w:ascii="Arial" w:eastAsia="Calibri" w:hAnsi="Arial" w:cs="Arial"/>
          <w:lang w:val="en-US"/>
        </w:rPr>
        <w:tab/>
        <w:t>-</w:t>
      </w:r>
      <w:r>
        <w:rPr>
          <w:rFonts w:ascii="Arial" w:eastAsia="Calibri" w:hAnsi="Arial" w:cs="Arial"/>
          <w:lang w:val="en-US"/>
        </w:rPr>
        <w:tab/>
        <w:t>whole cerebellum reference region</w:t>
      </w:r>
    </w:p>
    <w:p w14:paraId="64F792C4" w14:textId="77777777" w:rsidR="00A57295" w:rsidRDefault="00A57295" w:rsidP="00A57295">
      <w:pPr>
        <w:spacing w:after="0" w:line="480" w:lineRule="auto"/>
        <w:rPr>
          <w:rFonts w:ascii="Arial" w:eastAsia="Calibri" w:hAnsi="Arial" w:cs="Arial"/>
          <w:lang w:val="en-US"/>
        </w:rPr>
      </w:pPr>
      <w:r>
        <w:rPr>
          <w:rFonts w:ascii="Arial" w:eastAsia="Calibri" w:hAnsi="Arial" w:cs="Arial"/>
          <w:lang w:val="en-US"/>
        </w:rPr>
        <w:t>WM</w:t>
      </w:r>
      <w:r>
        <w:rPr>
          <w:rFonts w:ascii="Arial" w:eastAsia="Calibri" w:hAnsi="Arial" w:cs="Arial"/>
          <w:lang w:val="en-US"/>
        </w:rPr>
        <w:tab/>
      </w:r>
      <w:r>
        <w:rPr>
          <w:rFonts w:ascii="Arial" w:eastAsia="Calibri" w:hAnsi="Arial" w:cs="Arial"/>
          <w:lang w:val="en-US"/>
        </w:rPr>
        <w:tab/>
        <w:t>-</w:t>
      </w:r>
      <w:r>
        <w:rPr>
          <w:rFonts w:ascii="Arial" w:eastAsia="Calibri" w:hAnsi="Arial" w:cs="Arial"/>
          <w:lang w:val="en-US"/>
        </w:rPr>
        <w:tab/>
        <w:t>white matter reference region</w:t>
      </w:r>
    </w:p>
    <w:p w14:paraId="08C65FE5" w14:textId="77777777" w:rsidR="00A57295" w:rsidRDefault="00A57295" w:rsidP="00A57295">
      <w:pPr>
        <w:spacing w:after="0" w:line="480" w:lineRule="auto"/>
        <w:rPr>
          <w:rFonts w:ascii="Arial" w:hAnsi="Arial" w:cs="Arial"/>
          <w:b/>
          <w:lang w:val="en-US"/>
        </w:rPr>
      </w:pPr>
    </w:p>
    <w:p w14:paraId="3D597CE1" w14:textId="77777777" w:rsidR="00A57295" w:rsidRDefault="00A57295" w:rsidP="00A57295">
      <w:pPr>
        <w:spacing w:after="0" w:line="480" w:lineRule="auto"/>
        <w:rPr>
          <w:rFonts w:ascii="Arial" w:eastAsia="Calibri" w:hAnsi="Arial" w:cs="Arial"/>
          <w:b/>
          <w:lang w:val="en-US"/>
        </w:rPr>
      </w:pPr>
      <w:r>
        <w:rPr>
          <w:rFonts w:ascii="Arial" w:hAnsi="Arial" w:cs="Arial"/>
          <w:b/>
          <w:lang w:val="en-US"/>
        </w:rPr>
        <w:t xml:space="preserve">Supplementary </w:t>
      </w:r>
      <w:r w:rsidRPr="000861F1">
        <w:rPr>
          <w:rFonts w:ascii="Arial" w:hAnsi="Arial" w:cs="Arial"/>
          <w:b/>
          <w:lang w:val="en-US"/>
        </w:rPr>
        <w:t xml:space="preserve">Figure </w:t>
      </w:r>
      <w:r>
        <w:rPr>
          <w:rFonts w:ascii="Arial" w:hAnsi="Arial" w:cs="Arial"/>
          <w:b/>
          <w:lang w:val="en-US"/>
        </w:rPr>
        <w:t>3</w:t>
      </w:r>
      <w:r w:rsidRPr="000861F1">
        <w:rPr>
          <w:rFonts w:ascii="Arial" w:hAnsi="Arial" w:cs="Arial"/>
          <w:b/>
          <w:lang w:val="en-US"/>
        </w:rPr>
        <w:t xml:space="preserve">: </w:t>
      </w:r>
      <w:r>
        <w:rPr>
          <w:rFonts w:ascii="Arial" w:eastAsia="Calibri" w:hAnsi="Arial" w:cs="Arial"/>
          <w:b/>
          <w:lang w:val="en-US"/>
        </w:rPr>
        <w:t>Linear spline esti</w:t>
      </w:r>
      <w:r w:rsidRPr="00EF2710">
        <w:rPr>
          <w:rFonts w:ascii="Arial" w:eastAsia="Calibri" w:hAnsi="Arial" w:cs="Arial"/>
          <w:b/>
          <w:lang w:val="en-US"/>
        </w:rPr>
        <w:t>m</w:t>
      </w:r>
      <w:r>
        <w:rPr>
          <w:rFonts w:ascii="Arial" w:eastAsia="Calibri" w:hAnsi="Arial" w:cs="Arial"/>
          <w:b/>
          <w:lang w:val="en-US"/>
        </w:rPr>
        <w:t>a</w:t>
      </w:r>
      <w:r w:rsidRPr="00EF2710">
        <w:rPr>
          <w:rFonts w:ascii="Arial" w:eastAsia="Calibri" w:hAnsi="Arial" w:cs="Arial"/>
          <w:b/>
          <w:lang w:val="en-US"/>
        </w:rPr>
        <w:t xml:space="preserve">tes for CSF Aβ42 vs. </w:t>
      </w:r>
      <w:r>
        <w:rPr>
          <w:rFonts w:ascii="Arial" w:eastAsia="Calibri" w:hAnsi="Arial" w:cs="Arial"/>
          <w:b/>
          <w:lang w:val="en-US"/>
        </w:rPr>
        <w:t>18F-Florbetapir</w:t>
      </w:r>
      <w:r w:rsidRPr="00EF2710">
        <w:rPr>
          <w:rFonts w:ascii="Arial" w:eastAsia="Calibri" w:hAnsi="Arial" w:cs="Arial"/>
          <w:b/>
          <w:lang w:val="en-US"/>
        </w:rPr>
        <w:t>-PET SUVR</w:t>
      </w:r>
      <w:r>
        <w:rPr>
          <w:rFonts w:ascii="Arial" w:eastAsia="Calibri" w:hAnsi="Arial" w:cs="Arial"/>
          <w:b/>
          <w:lang w:val="en-US"/>
        </w:rPr>
        <w:t xml:space="preserve"> in the replication sample</w:t>
      </w:r>
    </w:p>
    <w:p w14:paraId="2D188F6B" w14:textId="77777777" w:rsidR="00A57295" w:rsidRDefault="00A57295" w:rsidP="00A57295">
      <w:pPr>
        <w:spacing w:after="0" w:line="480" w:lineRule="auto"/>
        <w:rPr>
          <w:rFonts w:ascii="Arial" w:eastAsia="Calibri" w:hAnsi="Arial" w:cs="Arial"/>
          <w:lang w:val="en-US"/>
        </w:rPr>
      </w:pPr>
      <w:r>
        <w:rPr>
          <w:rFonts w:ascii="Arial" w:eastAsia="Calibri" w:hAnsi="Arial" w:cs="Arial"/>
          <w:lang w:val="en-US"/>
        </w:rPr>
        <w:t xml:space="preserve">Spline regression with 95% confidence interval (dashed lines) of the 18F-Florbetapir-PET signal on CSF Aβ42 levels in the replication sample using two knots at the first and the second </w:t>
      </w:r>
      <w:proofErr w:type="spellStart"/>
      <w:r>
        <w:rPr>
          <w:rFonts w:ascii="Arial" w:eastAsia="Calibri" w:hAnsi="Arial" w:cs="Arial"/>
          <w:lang w:val="en-US"/>
        </w:rPr>
        <w:t>tertiles</w:t>
      </w:r>
      <w:proofErr w:type="spellEnd"/>
      <w:r>
        <w:rPr>
          <w:rFonts w:ascii="Arial" w:eastAsia="Calibri" w:hAnsi="Arial" w:cs="Arial"/>
          <w:lang w:val="en-US"/>
        </w:rPr>
        <w:t xml:space="preserve"> of the range of 18F-Florbetapir-PET values. The 18F-Florbetapir-PET and CSF Aβ42 levels were scaled to a mean of 0 and a standard deviation of 1 to render models comparable across PVC methods.</w:t>
      </w:r>
    </w:p>
    <w:p w14:paraId="2242C0E2" w14:textId="77777777" w:rsidR="00A57295" w:rsidRDefault="00A57295" w:rsidP="00A57295">
      <w:pPr>
        <w:spacing w:after="0" w:line="480" w:lineRule="auto"/>
        <w:rPr>
          <w:rFonts w:ascii="Arial" w:eastAsia="Calibri" w:hAnsi="Arial" w:cs="Arial"/>
          <w:lang w:val="en-US"/>
        </w:rPr>
      </w:pPr>
      <w:r>
        <w:rPr>
          <w:rFonts w:ascii="Arial" w:eastAsia="Calibri" w:hAnsi="Arial" w:cs="Arial"/>
          <w:lang w:val="en-US"/>
        </w:rPr>
        <w:t>Upper row: w/o (without) PVC,</w:t>
      </w:r>
    </w:p>
    <w:p w14:paraId="75EE5CBD" w14:textId="77777777" w:rsidR="00A57295" w:rsidRDefault="00A57295" w:rsidP="00A57295">
      <w:pPr>
        <w:spacing w:after="0" w:line="480" w:lineRule="auto"/>
        <w:rPr>
          <w:rFonts w:ascii="Arial" w:eastAsia="Calibri" w:hAnsi="Arial" w:cs="Arial"/>
          <w:lang w:val="en-US"/>
        </w:rPr>
      </w:pPr>
      <w:r>
        <w:rPr>
          <w:rFonts w:ascii="Arial" w:eastAsia="Calibri" w:hAnsi="Arial" w:cs="Arial"/>
          <w:lang w:val="en-US"/>
        </w:rPr>
        <w:t>Lower row: PVC-3.</w:t>
      </w:r>
    </w:p>
    <w:p w14:paraId="5468B92B" w14:textId="77777777" w:rsidR="00A57295" w:rsidRPr="000861F1" w:rsidRDefault="00A57295" w:rsidP="00A57295">
      <w:pPr>
        <w:spacing w:after="0" w:line="480" w:lineRule="auto"/>
        <w:rPr>
          <w:rFonts w:ascii="Arial" w:hAnsi="Arial" w:cs="Arial"/>
          <w:b/>
          <w:lang w:val="en-US"/>
        </w:rPr>
      </w:pPr>
    </w:p>
    <w:p w14:paraId="50947FDC" w14:textId="77777777" w:rsidR="00A57295" w:rsidRDefault="00A57295" w:rsidP="00A57295">
      <w:pPr>
        <w:spacing w:after="160" w:line="259" w:lineRule="auto"/>
        <w:rPr>
          <w:rFonts w:ascii="Arial" w:eastAsia="Calibri" w:hAnsi="Arial" w:cs="Arial"/>
          <w:lang w:val="en-US"/>
        </w:rPr>
      </w:pPr>
      <w:r>
        <w:rPr>
          <w:rFonts w:ascii="Arial" w:eastAsia="Calibri" w:hAnsi="Arial" w:cs="Arial"/>
          <w:lang w:val="en-US"/>
        </w:rPr>
        <w:br w:type="page"/>
      </w:r>
    </w:p>
    <w:p w14:paraId="6BFA0192" w14:textId="77777777" w:rsidR="00A57295" w:rsidRPr="000861F1" w:rsidRDefault="00A57295" w:rsidP="00A57295">
      <w:pPr>
        <w:spacing w:after="0" w:line="480" w:lineRule="auto"/>
        <w:rPr>
          <w:rFonts w:ascii="Arial" w:hAnsi="Arial" w:cs="Arial"/>
          <w:b/>
          <w:lang w:val="en-US"/>
        </w:rPr>
      </w:pPr>
      <w:r>
        <w:rPr>
          <w:rFonts w:ascii="Arial" w:hAnsi="Arial" w:cs="Arial"/>
          <w:b/>
          <w:lang w:val="en-US"/>
        </w:rPr>
        <w:lastRenderedPageBreak/>
        <w:t xml:space="preserve">Supplementary </w:t>
      </w:r>
      <w:r w:rsidRPr="000861F1">
        <w:rPr>
          <w:rFonts w:ascii="Arial" w:hAnsi="Arial" w:cs="Arial"/>
          <w:b/>
          <w:lang w:val="en-US"/>
        </w:rPr>
        <w:t xml:space="preserve">Figure </w:t>
      </w:r>
      <w:r>
        <w:rPr>
          <w:rFonts w:ascii="Arial" w:hAnsi="Arial" w:cs="Arial"/>
          <w:b/>
          <w:lang w:val="en-US"/>
        </w:rPr>
        <w:t>1</w:t>
      </w:r>
      <w:r w:rsidRPr="000861F1">
        <w:rPr>
          <w:rFonts w:ascii="Arial" w:hAnsi="Arial" w:cs="Arial"/>
          <w:b/>
          <w:lang w:val="en-US"/>
        </w:rPr>
        <w:t>: Linear spline coefficients</w:t>
      </w:r>
      <w:r>
        <w:rPr>
          <w:rFonts w:ascii="Arial" w:hAnsi="Arial" w:cs="Arial"/>
          <w:b/>
          <w:lang w:val="en-US"/>
        </w:rPr>
        <w:t xml:space="preserve"> for early stage amyloidosis </w:t>
      </w:r>
    </w:p>
    <w:p w14:paraId="711B3865" w14:textId="77777777" w:rsidR="00A57295" w:rsidRDefault="00A57295" w:rsidP="00A57295">
      <w:pPr>
        <w:spacing w:after="160" w:line="259" w:lineRule="auto"/>
        <w:rPr>
          <w:rFonts w:ascii="Arial" w:hAnsi="Arial" w:cs="Arial"/>
          <w:lang w:val="en-US"/>
        </w:rPr>
      </w:pPr>
      <w:r>
        <w:rPr>
          <w:rFonts w:ascii="Arial" w:hAnsi="Arial" w:cs="Arial"/>
          <w:noProof/>
          <w:lang w:eastAsia="de-DE"/>
        </w:rPr>
        <w:drawing>
          <wp:inline distT="0" distB="0" distL="0" distR="0" wp14:anchorId="695C2770" wp14:editId="0F61F278">
            <wp:extent cx="5759450" cy="33832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line_estimates_CSF_ELISA.tiff"/>
                    <pic:cNvPicPr/>
                  </pic:nvPicPr>
                  <pic:blipFill>
                    <a:blip r:embed="rId4">
                      <a:extLst>
                        <a:ext uri="{28A0092B-C50C-407E-A947-70E740481C1C}">
                          <a14:useLocalDpi xmlns:a14="http://schemas.microsoft.com/office/drawing/2010/main" val="0"/>
                        </a:ext>
                      </a:extLst>
                    </a:blip>
                    <a:stretch>
                      <a:fillRect/>
                    </a:stretch>
                  </pic:blipFill>
                  <pic:spPr>
                    <a:xfrm>
                      <a:off x="0" y="0"/>
                      <a:ext cx="5759450" cy="3383280"/>
                    </a:xfrm>
                    <a:prstGeom prst="rect">
                      <a:avLst/>
                    </a:prstGeom>
                  </pic:spPr>
                </pic:pic>
              </a:graphicData>
            </a:graphic>
          </wp:inline>
        </w:drawing>
      </w:r>
    </w:p>
    <w:p w14:paraId="3C4F6C5C" w14:textId="77777777" w:rsidR="00A57295" w:rsidRPr="00190135" w:rsidRDefault="00A57295" w:rsidP="00A57295">
      <w:pPr>
        <w:spacing w:after="160" w:line="259" w:lineRule="auto"/>
        <w:rPr>
          <w:rFonts w:ascii="Arial" w:hAnsi="Arial" w:cs="Arial"/>
          <w:b/>
          <w:lang w:val="en-US"/>
        </w:rPr>
      </w:pPr>
      <w:r>
        <w:rPr>
          <w:rFonts w:ascii="Arial" w:hAnsi="Arial" w:cs="Arial"/>
          <w:b/>
          <w:lang w:val="en-US"/>
        </w:rPr>
        <w:t xml:space="preserve">Supplementary </w:t>
      </w:r>
      <w:r w:rsidRPr="00190135">
        <w:rPr>
          <w:rFonts w:ascii="Arial" w:hAnsi="Arial" w:cs="Arial"/>
          <w:b/>
          <w:lang w:val="en-US"/>
        </w:rPr>
        <w:t xml:space="preserve">Figure </w:t>
      </w:r>
      <w:r>
        <w:rPr>
          <w:rFonts w:ascii="Arial" w:hAnsi="Arial" w:cs="Arial"/>
          <w:b/>
          <w:lang w:val="en-US"/>
        </w:rPr>
        <w:t>2</w:t>
      </w:r>
      <w:r w:rsidRPr="00190135">
        <w:rPr>
          <w:rFonts w:ascii="Arial" w:hAnsi="Arial" w:cs="Arial"/>
          <w:b/>
          <w:lang w:val="en-US"/>
        </w:rPr>
        <w:t>: Correlation coefficients</w:t>
      </w:r>
      <w:r>
        <w:rPr>
          <w:rFonts w:ascii="Arial" w:hAnsi="Arial" w:cs="Arial"/>
          <w:b/>
          <w:lang w:val="en-US"/>
        </w:rPr>
        <w:t xml:space="preserve"> for early stage amyloidosis</w:t>
      </w:r>
    </w:p>
    <w:p w14:paraId="4DFCCE07" w14:textId="77777777" w:rsidR="00A57295" w:rsidRDefault="00A57295" w:rsidP="00A57295">
      <w:pPr>
        <w:spacing w:after="0" w:line="480" w:lineRule="auto"/>
        <w:rPr>
          <w:rFonts w:ascii="Arial" w:hAnsi="Arial" w:cs="Arial"/>
          <w:lang w:val="en-US"/>
        </w:rPr>
      </w:pPr>
      <w:r>
        <w:rPr>
          <w:rFonts w:ascii="Arial" w:hAnsi="Arial" w:cs="Arial"/>
          <w:noProof/>
          <w:lang w:eastAsia="de-DE"/>
        </w:rPr>
        <w:drawing>
          <wp:inline distT="0" distB="0" distL="0" distR="0" wp14:anchorId="3B9FA5F5" wp14:editId="76AE82F7">
            <wp:extent cx="5759450" cy="33832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F_elisa_cor_coef_sliding_window.tiff"/>
                    <pic:cNvPicPr/>
                  </pic:nvPicPr>
                  <pic:blipFill>
                    <a:blip r:embed="rId5">
                      <a:extLst>
                        <a:ext uri="{28A0092B-C50C-407E-A947-70E740481C1C}">
                          <a14:useLocalDpi xmlns:a14="http://schemas.microsoft.com/office/drawing/2010/main" val="0"/>
                        </a:ext>
                      </a:extLst>
                    </a:blip>
                    <a:stretch>
                      <a:fillRect/>
                    </a:stretch>
                  </pic:blipFill>
                  <pic:spPr>
                    <a:xfrm>
                      <a:off x="0" y="0"/>
                      <a:ext cx="5759450" cy="3383280"/>
                    </a:xfrm>
                    <a:prstGeom prst="rect">
                      <a:avLst/>
                    </a:prstGeom>
                  </pic:spPr>
                </pic:pic>
              </a:graphicData>
            </a:graphic>
          </wp:inline>
        </w:drawing>
      </w:r>
    </w:p>
    <w:p w14:paraId="7678BCC1" w14:textId="77777777" w:rsidR="00A57295" w:rsidRDefault="00A57295" w:rsidP="00A57295">
      <w:pPr>
        <w:spacing w:after="0" w:line="480" w:lineRule="auto"/>
        <w:rPr>
          <w:rFonts w:ascii="Arial" w:eastAsia="Calibri" w:hAnsi="Arial" w:cs="Arial"/>
          <w:b/>
          <w:lang w:val="en-US"/>
        </w:rPr>
      </w:pPr>
      <w:r>
        <w:rPr>
          <w:rFonts w:ascii="Arial" w:hAnsi="Arial" w:cs="Arial"/>
          <w:b/>
          <w:lang w:val="en-US"/>
        </w:rPr>
        <w:br w:type="page"/>
      </w:r>
      <w:r>
        <w:rPr>
          <w:rFonts w:ascii="Arial" w:hAnsi="Arial" w:cs="Arial"/>
          <w:b/>
          <w:lang w:val="en-US"/>
        </w:rPr>
        <w:lastRenderedPageBreak/>
        <w:t xml:space="preserve">Supplementary </w:t>
      </w:r>
      <w:r w:rsidRPr="000861F1">
        <w:rPr>
          <w:rFonts w:ascii="Arial" w:hAnsi="Arial" w:cs="Arial"/>
          <w:b/>
          <w:lang w:val="en-US"/>
        </w:rPr>
        <w:t xml:space="preserve">Figure </w:t>
      </w:r>
      <w:r>
        <w:rPr>
          <w:rFonts w:ascii="Arial" w:hAnsi="Arial" w:cs="Arial"/>
          <w:b/>
          <w:lang w:val="en-US"/>
        </w:rPr>
        <w:t>3</w:t>
      </w:r>
      <w:r w:rsidRPr="000861F1">
        <w:rPr>
          <w:rFonts w:ascii="Arial" w:hAnsi="Arial" w:cs="Arial"/>
          <w:b/>
          <w:lang w:val="en-US"/>
        </w:rPr>
        <w:t xml:space="preserve">: </w:t>
      </w:r>
      <w:r>
        <w:rPr>
          <w:rFonts w:ascii="Arial" w:eastAsia="Calibri" w:hAnsi="Arial" w:cs="Arial"/>
          <w:b/>
          <w:lang w:val="en-US"/>
        </w:rPr>
        <w:t>Linear spline esti</w:t>
      </w:r>
      <w:r w:rsidRPr="00EF2710">
        <w:rPr>
          <w:rFonts w:ascii="Arial" w:eastAsia="Calibri" w:hAnsi="Arial" w:cs="Arial"/>
          <w:b/>
          <w:lang w:val="en-US"/>
        </w:rPr>
        <w:t>m</w:t>
      </w:r>
      <w:r>
        <w:rPr>
          <w:rFonts w:ascii="Arial" w:eastAsia="Calibri" w:hAnsi="Arial" w:cs="Arial"/>
          <w:b/>
          <w:lang w:val="en-US"/>
        </w:rPr>
        <w:t>a</w:t>
      </w:r>
      <w:r w:rsidRPr="00EF2710">
        <w:rPr>
          <w:rFonts w:ascii="Arial" w:eastAsia="Calibri" w:hAnsi="Arial" w:cs="Arial"/>
          <w:b/>
          <w:lang w:val="en-US"/>
        </w:rPr>
        <w:t xml:space="preserve">tes for CSF Aβ42 vs. </w:t>
      </w:r>
      <w:r>
        <w:rPr>
          <w:rFonts w:ascii="Arial" w:eastAsia="Calibri" w:hAnsi="Arial" w:cs="Arial"/>
          <w:b/>
          <w:lang w:val="en-US"/>
        </w:rPr>
        <w:t>18F-Florbetapir</w:t>
      </w:r>
      <w:r w:rsidRPr="00EF2710">
        <w:rPr>
          <w:rFonts w:ascii="Arial" w:eastAsia="Calibri" w:hAnsi="Arial" w:cs="Arial"/>
          <w:b/>
          <w:lang w:val="en-US"/>
        </w:rPr>
        <w:t>-PET SUVR</w:t>
      </w:r>
      <w:r>
        <w:rPr>
          <w:rFonts w:ascii="Arial" w:eastAsia="Calibri" w:hAnsi="Arial" w:cs="Arial"/>
          <w:b/>
          <w:lang w:val="en-US"/>
        </w:rPr>
        <w:t xml:space="preserve"> in the replication sample</w:t>
      </w:r>
    </w:p>
    <w:p w14:paraId="10EE2CA1" w14:textId="77777777" w:rsidR="00A57295" w:rsidRDefault="00A57295" w:rsidP="00A57295">
      <w:pPr>
        <w:spacing w:after="160" w:line="259" w:lineRule="auto"/>
        <w:rPr>
          <w:rFonts w:ascii="Arial" w:hAnsi="Arial" w:cs="Arial"/>
          <w:b/>
          <w:lang w:val="en-US"/>
        </w:rPr>
      </w:pPr>
    </w:p>
    <w:p w14:paraId="1C32E15A" w14:textId="77777777" w:rsidR="00A57295" w:rsidRDefault="00A57295" w:rsidP="00A57295">
      <w:pPr>
        <w:spacing w:after="160" w:line="259" w:lineRule="auto"/>
        <w:rPr>
          <w:rFonts w:ascii="Arial" w:hAnsi="Arial" w:cs="Arial"/>
          <w:b/>
          <w:lang w:val="en-US"/>
        </w:rPr>
      </w:pPr>
      <w:r>
        <w:rPr>
          <w:rFonts w:ascii="Arial" w:hAnsi="Arial" w:cs="Arial"/>
          <w:b/>
          <w:noProof/>
          <w:lang w:eastAsia="de-DE"/>
        </w:rPr>
        <w:drawing>
          <wp:inline distT="0" distB="0" distL="0" distR="0" wp14:anchorId="1FE32B34" wp14:editId="68FD2BE6">
            <wp:extent cx="5759450" cy="375412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SIGHT_noPVC_CSF.tiff"/>
                    <pic:cNvPicPr/>
                  </pic:nvPicPr>
                  <pic:blipFill>
                    <a:blip r:embed="rId6">
                      <a:extLst>
                        <a:ext uri="{28A0092B-C50C-407E-A947-70E740481C1C}">
                          <a14:useLocalDpi xmlns:a14="http://schemas.microsoft.com/office/drawing/2010/main" val="0"/>
                        </a:ext>
                      </a:extLst>
                    </a:blip>
                    <a:stretch>
                      <a:fillRect/>
                    </a:stretch>
                  </pic:blipFill>
                  <pic:spPr>
                    <a:xfrm>
                      <a:off x="0" y="0"/>
                      <a:ext cx="5759450" cy="3754120"/>
                    </a:xfrm>
                    <a:prstGeom prst="rect">
                      <a:avLst/>
                    </a:prstGeom>
                  </pic:spPr>
                </pic:pic>
              </a:graphicData>
            </a:graphic>
          </wp:inline>
        </w:drawing>
      </w:r>
    </w:p>
    <w:p w14:paraId="66FBEA66" w14:textId="77777777" w:rsidR="004D4005" w:rsidRPr="00842EA0" w:rsidRDefault="00A57295" w:rsidP="00842EA0">
      <w:pPr>
        <w:spacing w:after="160" w:line="259" w:lineRule="auto"/>
        <w:rPr>
          <w:rFonts w:ascii="Arial" w:hAnsi="Arial" w:cs="Arial"/>
          <w:b/>
          <w:lang w:val="en-US"/>
        </w:rPr>
      </w:pPr>
      <w:r>
        <w:rPr>
          <w:rFonts w:ascii="Arial" w:hAnsi="Arial" w:cs="Arial"/>
          <w:b/>
          <w:noProof/>
          <w:lang w:eastAsia="de-DE"/>
        </w:rPr>
        <w:drawing>
          <wp:inline distT="0" distB="0" distL="0" distR="0" wp14:anchorId="538A17BB" wp14:editId="73BD4077">
            <wp:extent cx="5759450" cy="375412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SIGHT_PVC3_CSF.tiff"/>
                    <pic:cNvPicPr/>
                  </pic:nvPicPr>
                  <pic:blipFill>
                    <a:blip r:embed="rId7">
                      <a:extLst>
                        <a:ext uri="{28A0092B-C50C-407E-A947-70E740481C1C}">
                          <a14:useLocalDpi xmlns:a14="http://schemas.microsoft.com/office/drawing/2010/main" val="0"/>
                        </a:ext>
                      </a:extLst>
                    </a:blip>
                    <a:stretch>
                      <a:fillRect/>
                    </a:stretch>
                  </pic:blipFill>
                  <pic:spPr>
                    <a:xfrm>
                      <a:off x="0" y="0"/>
                      <a:ext cx="5759450" cy="3754120"/>
                    </a:xfrm>
                    <a:prstGeom prst="rect">
                      <a:avLst/>
                    </a:prstGeom>
                  </pic:spPr>
                </pic:pic>
              </a:graphicData>
            </a:graphic>
          </wp:inline>
        </w:drawing>
      </w:r>
    </w:p>
    <w:sectPr w:rsidR="004D4005" w:rsidRPr="00842E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D8"/>
    <w:rsid w:val="000A56C2"/>
    <w:rsid w:val="001637B6"/>
    <w:rsid w:val="00230D01"/>
    <w:rsid w:val="002358C5"/>
    <w:rsid w:val="00277C2E"/>
    <w:rsid w:val="004F6C3D"/>
    <w:rsid w:val="005344D6"/>
    <w:rsid w:val="006663BE"/>
    <w:rsid w:val="006D0DF3"/>
    <w:rsid w:val="00743952"/>
    <w:rsid w:val="0075693F"/>
    <w:rsid w:val="00757E25"/>
    <w:rsid w:val="008403A6"/>
    <w:rsid w:val="00842EA0"/>
    <w:rsid w:val="00894FC8"/>
    <w:rsid w:val="00931FD8"/>
    <w:rsid w:val="009C3CDD"/>
    <w:rsid w:val="00A57295"/>
    <w:rsid w:val="00D25AF5"/>
    <w:rsid w:val="00D856AF"/>
    <w:rsid w:val="00DA7ADC"/>
    <w:rsid w:val="00DC4F82"/>
    <w:rsid w:val="00EA2DE5"/>
    <w:rsid w:val="00F35342"/>
    <w:rsid w:val="00F40CCE"/>
    <w:rsid w:val="00F50C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BA0E"/>
  <w15:docId w15:val="{83A22288-C57D-4345-AC1A-FD54A9A1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1FD8"/>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31FD8"/>
    <w:rPr>
      <w:sz w:val="16"/>
      <w:szCs w:val="16"/>
    </w:rPr>
  </w:style>
  <w:style w:type="paragraph" w:styleId="Kommentartext">
    <w:name w:val="annotation text"/>
    <w:basedOn w:val="Standard"/>
    <w:link w:val="KommentartextZchn"/>
    <w:uiPriority w:val="99"/>
    <w:unhideWhenUsed/>
    <w:rsid w:val="00931FD8"/>
    <w:pPr>
      <w:spacing w:line="240" w:lineRule="auto"/>
    </w:pPr>
    <w:rPr>
      <w:sz w:val="20"/>
      <w:szCs w:val="20"/>
    </w:rPr>
  </w:style>
  <w:style w:type="character" w:customStyle="1" w:styleId="KommentartextZchn">
    <w:name w:val="Kommentartext Zchn"/>
    <w:basedOn w:val="Absatz-Standardschriftart"/>
    <w:link w:val="Kommentartext"/>
    <w:uiPriority w:val="99"/>
    <w:rsid w:val="00931FD8"/>
    <w:rPr>
      <w:sz w:val="20"/>
      <w:szCs w:val="20"/>
    </w:rPr>
  </w:style>
  <w:style w:type="paragraph" w:styleId="Sprechblasentext">
    <w:name w:val="Balloon Text"/>
    <w:basedOn w:val="Standard"/>
    <w:link w:val="SprechblasentextZchn"/>
    <w:uiPriority w:val="99"/>
    <w:semiHidden/>
    <w:unhideWhenUsed/>
    <w:rsid w:val="00931F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1FD8"/>
    <w:rPr>
      <w:rFonts w:ascii="Segoe UI" w:hAnsi="Segoe UI" w:cs="Segoe UI"/>
      <w:sz w:val="18"/>
      <w:szCs w:val="18"/>
    </w:rPr>
  </w:style>
  <w:style w:type="table" w:styleId="Tabellenraster">
    <w:name w:val="Table Grid"/>
    <w:basedOn w:val="NormaleTabelle"/>
    <w:uiPriority w:val="39"/>
    <w:rsid w:val="00A57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57E25"/>
    <w:rPr>
      <w:b/>
      <w:bCs/>
    </w:rPr>
  </w:style>
  <w:style w:type="character" w:customStyle="1" w:styleId="KommentarthemaZchn">
    <w:name w:val="Kommentarthema Zchn"/>
    <w:basedOn w:val="KommentartextZchn"/>
    <w:link w:val="Kommentarthema"/>
    <w:uiPriority w:val="99"/>
    <w:semiHidden/>
    <w:rsid w:val="00757E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593</Words>
  <Characters>3738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AHP License</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Teipel, Stefan</dc:creator>
  <cp:lastModifiedBy>Teipel, Stefan</cp:lastModifiedBy>
  <cp:revision>2</cp:revision>
  <dcterms:created xsi:type="dcterms:W3CDTF">2021-07-27T12:20:00Z</dcterms:created>
  <dcterms:modified xsi:type="dcterms:W3CDTF">2021-07-27T12:20:00Z</dcterms:modified>
</cp:coreProperties>
</file>