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54194236" w14:textId="77777777" w:rsidR="008B3B53" w:rsidRDefault="00994A3D" w:rsidP="008B3B53">
      <w:pPr>
        <w:pStyle w:val="Heading2"/>
      </w:pPr>
      <w:r w:rsidRPr="0001436A">
        <w:t>Supplementary</w:t>
      </w:r>
      <w:r w:rsidRPr="001549D3">
        <w:t xml:space="preserve"> Figures</w:t>
      </w:r>
    </w:p>
    <w:p w14:paraId="7B65BC41" w14:textId="0750E421" w:rsidR="00DE23E8" w:rsidRDefault="00C6103F" w:rsidP="008B3B53">
      <w:pPr>
        <w:pStyle w:val="Heading2"/>
        <w:numPr>
          <w:ilvl w:val="0"/>
          <w:numId w:val="0"/>
        </w:numPr>
        <w:rPr>
          <w:b w:val="0"/>
          <w:bCs/>
        </w:rPr>
      </w:pPr>
      <w:r>
        <w:rPr>
          <w:bCs/>
          <w:noProof/>
        </w:rPr>
        <w:drawing>
          <wp:inline distT="0" distB="0" distL="0" distR="0" wp14:anchorId="454C7352" wp14:editId="6B7D5D97">
            <wp:extent cx="6208395" cy="4062095"/>
            <wp:effectExtent l="0" t="0" r="1905" b="1905"/>
            <wp:docPr id="2" name="Picture 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9E5" w:rsidRPr="008B3B53">
        <w:rPr>
          <w:bCs/>
        </w:rPr>
        <w:t>Supplementary Figure 1</w:t>
      </w:r>
      <w:r w:rsidR="00D669E5" w:rsidRPr="008B3B53">
        <w:t xml:space="preserve">. </w:t>
      </w:r>
      <w:r w:rsidR="00D669E5" w:rsidRPr="008B3B53">
        <w:rPr>
          <w:b w:val="0"/>
          <w:bCs/>
        </w:rPr>
        <w:t>No adverse reactions to repRNA-CoV2S in pigtail macaques. (A) Body weight. (B) Rectal body temperature in Fahrenheit. (C) Serum chemistries. (D) Blood complete blood counts (CBC). (A-D) Grey shaded areas indicate normal ranges for pigtail macaques.</w:t>
      </w:r>
    </w:p>
    <w:p w14:paraId="3564F355" w14:textId="7ECC2434" w:rsidR="00457930" w:rsidRPr="00457930" w:rsidRDefault="00457930" w:rsidP="00457930">
      <w:r w:rsidRPr="00457930">
        <w:rPr>
          <w:b/>
          <w:noProof/>
        </w:rPr>
        <w:lastRenderedPageBreak/>
        <w:drawing>
          <wp:inline distT="0" distB="0" distL="0" distR="0" wp14:anchorId="394F132D" wp14:editId="299F80E9">
            <wp:extent cx="5575300" cy="373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930">
        <w:rPr>
          <w:b/>
        </w:rPr>
        <w:t xml:space="preserve">Supplementary Figure </w:t>
      </w:r>
      <w:r>
        <w:rPr>
          <w:b/>
        </w:rPr>
        <w:t>2</w:t>
      </w:r>
      <w:r w:rsidRPr="008B3B53">
        <w:t xml:space="preserve">. </w:t>
      </w:r>
      <w:r w:rsidR="00902724">
        <w:rPr>
          <w:bCs/>
        </w:rPr>
        <w:t xml:space="preserve">Measurements of gut </w:t>
      </w:r>
      <w:r w:rsidR="00F72BDD">
        <w:rPr>
          <w:bCs/>
        </w:rPr>
        <w:t>barrier dysfunction</w:t>
      </w:r>
      <w:r w:rsidRPr="008B3B53">
        <w:rPr>
          <w:bCs/>
        </w:rPr>
        <w:t>.</w:t>
      </w:r>
      <w:r w:rsidR="006D25BD">
        <w:rPr>
          <w:bCs/>
        </w:rPr>
        <w:t xml:space="preserve"> Markers of microbial translocation</w:t>
      </w:r>
      <w:r w:rsidR="00047560">
        <w:rPr>
          <w:bCs/>
        </w:rPr>
        <w:t xml:space="preserve"> were measured in the plasma by ELI</w:t>
      </w:r>
      <w:r w:rsidR="00AD1DE0">
        <w:rPr>
          <w:bCs/>
        </w:rPr>
        <w:t>S</w:t>
      </w:r>
      <w:r w:rsidR="00047560">
        <w:rPr>
          <w:bCs/>
        </w:rPr>
        <w:t>A</w:t>
      </w:r>
      <w:r w:rsidR="00633CBE">
        <w:rPr>
          <w:bCs/>
        </w:rPr>
        <w:t>:</w:t>
      </w:r>
      <w:r w:rsidRPr="008B3B53">
        <w:rPr>
          <w:bCs/>
        </w:rPr>
        <w:t xml:space="preserve"> (A) </w:t>
      </w:r>
      <w:r w:rsidR="00047560">
        <w:rPr>
          <w:bCs/>
        </w:rPr>
        <w:t>soluble CD14 (sCD14)</w:t>
      </w:r>
      <w:r w:rsidRPr="008B3B53">
        <w:rPr>
          <w:bCs/>
        </w:rPr>
        <w:t xml:space="preserve">. </w:t>
      </w:r>
      <w:r w:rsidRPr="006F33B1">
        <w:rPr>
          <w:bCs/>
          <w:lang w:val="nl-NL"/>
        </w:rPr>
        <w:t xml:space="preserve">(B) </w:t>
      </w:r>
      <w:r w:rsidR="00047560" w:rsidRPr="006F33B1">
        <w:rPr>
          <w:bCs/>
          <w:lang w:val="nl-NL"/>
        </w:rPr>
        <w:t>C-reactive protein (CRP)</w:t>
      </w:r>
      <w:r w:rsidRPr="006F33B1">
        <w:rPr>
          <w:bCs/>
          <w:lang w:val="nl-NL"/>
        </w:rPr>
        <w:t xml:space="preserve">. (C) </w:t>
      </w:r>
      <w:r w:rsidR="00047560" w:rsidRPr="006F33B1">
        <w:rPr>
          <w:bCs/>
          <w:lang w:val="nl-NL"/>
        </w:rPr>
        <w:t>LPS binding protein (LBP)</w:t>
      </w:r>
      <w:r w:rsidRPr="006F33B1">
        <w:rPr>
          <w:bCs/>
          <w:lang w:val="nl-NL"/>
        </w:rPr>
        <w:t xml:space="preserve">. </w:t>
      </w:r>
      <w:r w:rsidRPr="008B3B53">
        <w:rPr>
          <w:bCs/>
        </w:rPr>
        <w:t xml:space="preserve">(D) </w:t>
      </w:r>
      <w:r w:rsidR="00047560">
        <w:rPr>
          <w:bCs/>
        </w:rPr>
        <w:t>Fatty acid binding protein 2 (FABP2)</w:t>
      </w:r>
      <w:r w:rsidRPr="008B3B53">
        <w:rPr>
          <w:bCs/>
        </w:rPr>
        <w:t>. (A</w:t>
      </w:r>
      <w:r w:rsidR="00047560">
        <w:rPr>
          <w:bCs/>
        </w:rPr>
        <w:t>,B,</w:t>
      </w:r>
      <w:r w:rsidRPr="008B3B53">
        <w:rPr>
          <w:bCs/>
        </w:rPr>
        <w:t xml:space="preserve">D) </w:t>
      </w:r>
      <w:r w:rsidR="00047560">
        <w:rPr>
          <w:bCs/>
        </w:rPr>
        <w:t>Dotted line</w:t>
      </w:r>
      <w:r w:rsidR="007C0950">
        <w:rPr>
          <w:bCs/>
        </w:rPr>
        <w:t>s</w:t>
      </w:r>
      <w:r w:rsidR="00047560">
        <w:rPr>
          <w:bCs/>
        </w:rPr>
        <w:t xml:space="preserve"> indicate lower limit</w:t>
      </w:r>
      <w:r w:rsidR="007C0950">
        <w:rPr>
          <w:bCs/>
        </w:rPr>
        <w:t>s</w:t>
      </w:r>
      <w:r w:rsidR="00047560">
        <w:rPr>
          <w:bCs/>
        </w:rPr>
        <w:t xml:space="preserve"> of detection for </w:t>
      </w:r>
      <w:r w:rsidR="007C0950">
        <w:rPr>
          <w:bCs/>
        </w:rPr>
        <w:t>each</w:t>
      </w:r>
      <w:r w:rsidR="00047560">
        <w:rPr>
          <w:bCs/>
        </w:rPr>
        <w:t xml:space="preserve"> assay</w:t>
      </w:r>
      <w:r w:rsidRPr="008B3B53">
        <w:rPr>
          <w:bCs/>
        </w:rPr>
        <w:t>.</w:t>
      </w:r>
    </w:p>
    <w:p w14:paraId="7C6F461E" w14:textId="3992A4D0" w:rsidR="00457930" w:rsidRPr="00457930" w:rsidRDefault="00457930" w:rsidP="00457930"/>
    <w:p w14:paraId="48C0D892" w14:textId="78FACA0A" w:rsidR="008B3B53" w:rsidRDefault="00773868" w:rsidP="00D669E5">
      <w:pPr>
        <w:spacing w:before="240"/>
        <w:rPr>
          <w:rFonts w:cs="Times New Roman"/>
          <w:b/>
          <w:bCs/>
          <w:szCs w:val="24"/>
        </w:rPr>
      </w:pPr>
      <w:r w:rsidRPr="00773868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4825E3EF" wp14:editId="70A61CDD">
            <wp:extent cx="3530600" cy="561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D353" w14:textId="51E10726" w:rsidR="00377C15" w:rsidRPr="00377C15" w:rsidRDefault="00377C15" w:rsidP="00377C15">
      <w:pPr>
        <w:spacing w:before="240"/>
        <w:rPr>
          <w:rFonts w:cs="Times New Roman"/>
          <w:szCs w:val="24"/>
        </w:rPr>
      </w:pPr>
      <w:r w:rsidRPr="00377C15">
        <w:rPr>
          <w:rFonts w:cs="Times New Roman"/>
          <w:b/>
          <w:bCs/>
          <w:szCs w:val="24"/>
        </w:rPr>
        <w:t xml:space="preserve">Supplementary Figure </w:t>
      </w:r>
      <w:r w:rsidR="00457930">
        <w:rPr>
          <w:rFonts w:cs="Times New Roman"/>
          <w:b/>
          <w:bCs/>
          <w:szCs w:val="24"/>
        </w:rPr>
        <w:t>3</w:t>
      </w:r>
      <w:r w:rsidRPr="00377C15">
        <w:rPr>
          <w:rFonts w:cs="Times New Roman"/>
          <w:b/>
          <w:bCs/>
          <w:szCs w:val="24"/>
        </w:rPr>
        <w:t xml:space="preserve">. </w:t>
      </w:r>
      <w:r w:rsidRPr="00BE3B01">
        <w:rPr>
          <w:rFonts w:cs="Times New Roman"/>
          <w:szCs w:val="24"/>
        </w:rPr>
        <w:t>repRNA-CoV2S immunogenicity by vaccine group.</w:t>
      </w:r>
      <w:r w:rsidRPr="00377C15">
        <w:rPr>
          <w:rFonts w:cs="Times New Roman"/>
          <w:b/>
          <w:bCs/>
          <w:szCs w:val="24"/>
        </w:rPr>
        <w:t xml:space="preserve"> </w:t>
      </w:r>
      <w:r w:rsidRPr="00377C15">
        <w:rPr>
          <w:rFonts w:cs="Times New Roman"/>
          <w:szCs w:val="24"/>
        </w:rPr>
        <w:t xml:space="preserve">(A) Magnitude of IFN-γ T-cell analysis responses measured in PBMCs following 48-hour stimulation with 11 peptide pools encompassing the SARS-CoV-2 spike (S) protein evaluated by dual IFN-γ/IL-4 ELISpot assay. Number of spot forming cells (SFCs) are indicated. (B) Serum anti-S IgG enzyme linked immunosorbent assays (ELISAs) and (C) 80% plaque-reduction neutralizing antibody titers (PRNT80) against the SARS-CoV2/WA/2020 isolate were. (A-C) Medians with interquartile ranges are shown. </w:t>
      </w:r>
      <w:r>
        <w:rPr>
          <w:rFonts w:cs="Times New Roman"/>
          <w:szCs w:val="24"/>
        </w:rPr>
        <w:t xml:space="preserve">No significant differences between groups, as </w:t>
      </w:r>
      <w:r w:rsidRPr="00377C15">
        <w:rPr>
          <w:rFonts w:cs="Times New Roman"/>
          <w:szCs w:val="24"/>
        </w:rPr>
        <w:t>determined by Mann–Whitney test.</w:t>
      </w:r>
    </w:p>
    <w:p w14:paraId="6FB3BD7F" w14:textId="40DC0D34" w:rsidR="00D669E5" w:rsidRPr="00D669E5" w:rsidRDefault="00121878" w:rsidP="00D669E5">
      <w:pPr>
        <w:spacing w:before="240"/>
        <w:rPr>
          <w:rFonts w:cs="Times New Roman"/>
          <w:szCs w:val="24"/>
        </w:rPr>
      </w:pPr>
      <w:r w:rsidRPr="00121878">
        <w:rPr>
          <w:rFonts w:ascii="Arial" w:hAnsi="Arial" w:cs="Arial"/>
          <w:b/>
          <w:bCs/>
          <w:noProof/>
          <w:color w:val="000000"/>
          <w:spacing w:val="-4"/>
          <w:kern w:val="1"/>
          <w:szCs w:val="24"/>
        </w:rPr>
        <w:lastRenderedPageBreak/>
        <w:drawing>
          <wp:inline distT="0" distB="0" distL="0" distR="0" wp14:anchorId="7A5AEC24" wp14:editId="0D222927">
            <wp:extent cx="5232400" cy="660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C15" w:rsidRPr="00377C15">
        <w:rPr>
          <w:rFonts w:ascii="Arial" w:hAnsi="Arial" w:cs="Arial"/>
          <w:b/>
          <w:bCs/>
          <w:color w:val="000000"/>
          <w:spacing w:val="-4"/>
          <w:kern w:val="1"/>
          <w:szCs w:val="24"/>
        </w:rPr>
        <w:t xml:space="preserve"> </w:t>
      </w:r>
      <w:r w:rsidR="00377C15" w:rsidRPr="00377C15">
        <w:rPr>
          <w:rFonts w:cs="Times New Roman"/>
          <w:b/>
          <w:bCs/>
          <w:szCs w:val="24"/>
        </w:rPr>
        <w:t xml:space="preserve">Supplementary Figure </w:t>
      </w:r>
      <w:r w:rsidR="00457930">
        <w:rPr>
          <w:rFonts w:cs="Times New Roman"/>
          <w:b/>
          <w:bCs/>
          <w:szCs w:val="24"/>
        </w:rPr>
        <w:t>4</w:t>
      </w:r>
      <w:r w:rsidR="00377C15" w:rsidRPr="00377C15">
        <w:rPr>
          <w:rFonts w:cs="Times New Roman"/>
          <w:b/>
          <w:bCs/>
          <w:szCs w:val="24"/>
        </w:rPr>
        <w:t xml:space="preserve">. </w:t>
      </w:r>
      <w:r w:rsidR="00377C15" w:rsidRPr="00377C15">
        <w:rPr>
          <w:rFonts w:cs="Times New Roman"/>
          <w:szCs w:val="24"/>
        </w:rPr>
        <w:t>Magnitude and breadth of T-cell response. SIV+ or naïve pigtail macaques were vaccinated with a single dose of repRNA-CoV2S. PBMCs were isolated from blood pre-vaccination and on days 28 and 42</w:t>
      </w:r>
      <w:r w:rsidR="00377C15">
        <w:rPr>
          <w:rFonts w:cs="Times New Roman"/>
          <w:szCs w:val="24"/>
        </w:rPr>
        <w:t>/44</w:t>
      </w:r>
      <w:r w:rsidR="00377C15" w:rsidRPr="00377C15">
        <w:rPr>
          <w:rFonts w:cs="Times New Roman"/>
          <w:szCs w:val="24"/>
        </w:rPr>
        <w:t xml:space="preserve"> DPI for T-cell analysis. Shown are magnitudes of (A) IFN-γ and (B) IL-4 T cell responses measured in PBMCs by ELISpot assay following 48-hour stimulation with 11 peptide pools encompassing the full-length spike (S).  Shown are the cumulative responses against different peptide pools within the S1 (red shades), S2 (blue shades) and RBD regions (red, P3-P5) of the Spike protein. Data are presented as spot forming cells (SFCs) per 1 million PBMCs.</w:t>
      </w:r>
    </w:p>
    <w:p w14:paraId="54533777" w14:textId="54F359E8" w:rsidR="00D669E5" w:rsidRDefault="00B42771" w:rsidP="00D669E5">
      <w:pPr>
        <w:spacing w:before="240"/>
        <w:rPr>
          <w:rFonts w:cs="Times New Roman"/>
          <w:szCs w:val="24"/>
        </w:rPr>
      </w:pPr>
      <w:r w:rsidRPr="00B42771">
        <w:rPr>
          <w:rFonts w:ascii="Arial" w:hAnsi="Arial" w:cs="Arial"/>
          <w:b/>
          <w:bCs/>
          <w:noProof/>
          <w:color w:val="000000"/>
          <w:spacing w:val="-4"/>
          <w:kern w:val="1"/>
          <w:szCs w:val="24"/>
        </w:rPr>
        <w:lastRenderedPageBreak/>
        <w:drawing>
          <wp:inline distT="0" distB="0" distL="0" distR="0" wp14:anchorId="0428BE55" wp14:editId="7F3618D9">
            <wp:extent cx="6208395" cy="2284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C15" w:rsidRPr="00377C15">
        <w:rPr>
          <w:rFonts w:ascii="Arial" w:hAnsi="Arial" w:cs="Arial"/>
          <w:b/>
          <w:bCs/>
          <w:color w:val="000000"/>
          <w:spacing w:val="-4"/>
          <w:kern w:val="1"/>
          <w:szCs w:val="24"/>
        </w:rPr>
        <w:t xml:space="preserve"> </w:t>
      </w:r>
      <w:r w:rsidR="00377C15" w:rsidRPr="00377C15">
        <w:rPr>
          <w:rFonts w:cs="Times New Roman"/>
          <w:b/>
          <w:bCs/>
          <w:szCs w:val="24"/>
        </w:rPr>
        <w:t xml:space="preserve">Supplementary Figure </w:t>
      </w:r>
      <w:r w:rsidR="00457930">
        <w:rPr>
          <w:rFonts w:cs="Times New Roman"/>
          <w:b/>
          <w:bCs/>
          <w:szCs w:val="24"/>
        </w:rPr>
        <w:t>5</w:t>
      </w:r>
      <w:r w:rsidR="00377C15" w:rsidRPr="00377C15">
        <w:rPr>
          <w:rFonts w:cs="Times New Roman"/>
          <w:b/>
          <w:bCs/>
          <w:szCs w:val="24"/>
        </w:rPr>
        <w:t xml:space="preserve">. </w:t>
      </w:r>
      <w:r w:rsidR="00377C15" w:rsidRPr="00377C15">
        <w:rPr>
          <w:rFonts w:cs="Times New Roman"/>
          <w:szCs w:val="24"/>
        </w:rPr>
        <w:t>Relationship between vaccine immunogenicity and peripheral CD4 decline. Correlations between percent decline in peripheral CD4 counts relative to pre-SIV baseline and magnitude of SARS-CoV-2 Spike-specific IFN-γ T-cell responses measured by ELISPOT (left panel), binding antibody responses measured by ELISA (middle panel) or neutralizing antibody responses measured by PRNT</w:t>
      </w:r>
      <w:r w:rsidR="00306257" w:rsidRPr="006F33B1">
        <w:rPr>
          <w:rFonts w:cs="Times New Roman"/>
          <w:szCs w:val="24"/>
          <w:vertAlign w:val="subscript"/>
        </w:rPr>
        <w:t>80</w:t>
      </w:r>
      <w:r w:rsidR="00377C15" w:rsidRPr="00377C15">
        <w:rPr>
          <w:rFonts w:cs="Times New Roman"/>
          <w:szCs w:val="24"/>
        </w:rPr>
        <w:t xml:space="preserve"> (right panel) at 42/44 days following a single immunization with</w:t>
      </w:r>
      <w:r w:rsidR="00377C15">
        <w:rPr>
          <w:rFonts w:cs="Times New Roman"/>
          <w:szCs w:val="24"/>
        </w:rPr>
        <w:t xml:space="preserve"> </w:t>
      </w:r>
      <w:r w:rsidR="00377C15" w:rsidRPr="00377C15">
        <w:rPr>
          <w:rFonts w:cs="Times New Roman"/>
          <w:szCs w:val="24"/>
        </w:rPr>
        <w:t>repRNA-CoV2S. Spearman’s rank correlation is shown, with p-values ≤ 0.05 considered significant.</w:t>
      </w:r>
    </w:p>
    <w:p w14:paraId="6A4A0B8F" w14:textId="1799437C" w:rsidR="008B3B53" w:rsidRDefault="00394D62" w:rsidP="00D669E5">
      <w:pPr>
        <w:spacing w:before="240"/>
        <w:rPr>
          <w:rFonts w:cs="Times New Roman"/>
          <w:szCs w:val="24"/>
        </w:rPr>
      </w:pPr>
      <w:r w:rsidRPr="00394D62">
        <w:rPr>
          <w:rFonts w:cs="Times New Roman"/>
          <w:noProof/>
          <w:szCs w:val="24"/>
        </w:rPr>
        <w:lastRenderedPageBreak/>
        <w:drawing>
          <wp:inline distT="0" distB="0" distL="0" distR="0" wp14:anchorId="44242076" wp14:editId="707D7DB2">
            <wp:extent cx="6208395" cy="660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C15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6</w:t>
      </w:r>
      <w:r w:rsidRPr="00377C15">
        <w:rPr>
          <w:rFonts w:cs="Times New Roman"/>
          <w:b/>
          <w:bCs/>
          <w:szCs w:val="24"/>
        </w:rPr>
        <w:t xml:space="preserve">. </w:t>
      </w:r>
      <w:r w:rsidRPr="00377C15">
        <w:rPr>
          <w:rFonts w:cs="Times New Roman"/>
          <w:szCs w:val="24"/>
        </w:rPr>
        <w:t xml:space="preserve">Relationship between vaccine immunogenicity and </w:t>
      </w:r>
      <w:r w:rsidR="00047560">
        <w:rPr>
          <w:rFonts w:cs="Times New Roman"/>
          <w:szCs w:val="24"/>
        </w:rPr>
        <w:t>measurements of gut barrier dysfunction</w:t>
      </w:r>
      <w:r w:rsidRPr="00377C15">
        <w:rPr>
          <w:rFonts w:cs="Times New Roman"/>
          <w:szCs w:val="24"/>
        </w:rPr>
        <w:t xml:space="preserve">. Correlations between </w:t>
      </w:r>
      <w:r w:rsidR="00AE2894">
        <w:rPr>
          <w:rFonts w:cs="Times New Roman"/>
          <w:szCs w:val="24"/>
        </w:rPr>
        <w:t>plasma concentrations of (A) sCD14, (B) LBP, and (C) FABP2</w:t>
      </w:r>
      <w:r w:rsidR="007A1494">
        <w:rPr>
          <w:rFonts w:cs="Times New Roman"/>
          <w:szCs w:val="24"/>
        </w:rPr>
        <w:t xml:space="preserve"> prior to vaccination and </w:t>
      </w:r>
      <w:r w:rsidRPr="00377C15">
        <w:rPr>
          <w:rFonts w:cs="Times New Roman"/>
          <w:szCs w:val="24"/>
        </w:rPr>
        <w:t>magnitude of SARS-CoV-2 Spike-specific IFN-γ T-cell responses measured by ELISPOT (left panel), binding antibody responses measured by ELISA (middle panel) or neutralizing antibody responses measured by PRNT (right panel) at 42/44 days following a single immunization with</w:t>
      </w:r>
      <w:r>
        <w:rPr>
          <w:rFonts w:cs="Times New Roman"/>
          <w:szCs w:val="24"/>
        </w:rPr>
        <w:t xml:space="preserve"> </w:t>
      </w:r>
      <w:r w:rsidRPr="00377C15">
        <w:rPr>
          <w:rFonts w:cs="Times New Roman"/>
          <w:szCs w:val="24"/>
        </w:rPr>
        <w:t>repRNA-CoV2S. Spearman’s rank correlation is shown, with p-values ≤ 0.05 considered significant</w:t>
      </w:r>
    </w:p>
    <w:p w14:paraId="4CA35C17" w14:textId="77777777" w:rsidR="008B3B53" w:rsidRDefault="008B3B53" w:rsidP="00D669E5">
      <w:pPr>
        <w:spacing w:before="240"/>
        <w:rPr>
          <w:rFonts w:cs="Times New Roman"/>
          <w:szCs w:val="24"/>
        </w:rPr>
        <w:sectPr w:rsidR="008B3B53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A3CE4A8" w14:textId="3982984D" w:rsidR="008B3B53" w:rsidRPr="00AA4ABC" w:rsidRDefault="00AA4ABC" w:rsidP="00AA4ABC">
      <w:pPr>
        <w:pStyle w:val="Heading2"/>
        <w:numPr>
          <w:ilvl w:val="0"/>
          <w:numId w:val="0"/>
        </w:numPr>
      </w:pPr>
      <w:r>
        <w:lastRenderedPageBreak/>
        <w:t xml:space="preserve">1.2 </w:t>
      </w:r>
      <w:r w:rsidR="008B3B53" w:rsidRPr="0001436A">
        <w:t>Supplementary</w:t>
      </w:r>
      <w:r w:rsidR="008B3B53" w:rsidRPr="001549D3">
        <w:t xml:space="preserve"> </w:t>
      </w:r>
      <w:r w:rsidR="008B3B53">
        <w:t>Tables</w:t>
      </w:r>
    </w:p>
    <w:tbl>
      <w:tblPr>
        <w:tblStyle w:val="PlainTable1"/>
        <w:tblW w:w="14544" w:type="dxa"/>
        <w:tblLayout w:type="fixed"/>
        <w:tblLook w:val="04A0" w:firstRow="1" w:lastRow="0" w:firstColumn="1" w:lastColumn="0" w:noHBand="0" w:noVBand="1"/>
      </w:tblPr>
      <w:tblGrid>
        <w:gridCol w:w="900"/>
        <w:gridCol w:w="810"/>
        <w:gridCol w:w="630"/>
        <w:gridCol w:w="759"/>
        <w:gridCol w:w="859"/>
        <w:gridCol w:w="1028"/>
        <w:gridCol w:w="943"/>
        <w:gridCol w:w="1534"/>
        <w:gridCol w:w="1281"/>
        <w:gridCol w:w="1872"/>
        <w:gridCol w:w="1366"/>
        <w:gridCol w:w="1338"/>
        <w:gridCol w:w="1224"/>
      </w:tblGrid>
      <w:tr w:rsidR="008B3B53" w:rsidRPr="00AA4ABC" w14:paraId="588CFC4E" w14:textId="77777777" w:rsidTr="008B3B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4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6B56913" w14:textId="77777777" w:rsidR="008B3B53" w:rsidRPr="00AA4ABC" w:rsidRDefault="008B3B53" w:rsidP="00AA4ABC">
            <w:pPr>
              <w:spacing w:before="0" w:after="0"/>
              <w:jc w:val="center"/>
              <w:rPr>
                <w:rFonts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Supplemental Table 1. Animal characteristics, treatment history and repRNA-CoV2S vaccine dosing regimen</w:t>
            </w:r>
          </w:p>
        </w:tc>
      </w:tr>
      <w:tr w:rsidR="008B3B53" w:rsidRPr="00AA4ABC" w14:paraId="76F32477" w14:textId="77777777" w:rsidTr="008B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3B82696" w14:textId="77777777" w:rsidR="008B3B53" w:rsidRPr="00AA4ABC" w:rsidRDefault="008B3B53" w:rsidP="00AA4ABC">
            <w:pPr>
              <w:spacing w:before="0" w:after="0"/>
              <w:jc w:val="center"/>
              <w:rPr>
                <w:rFonts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3AAD11B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repRNA-SARS-CoV2S vaccine</w:t>
            </w:r>
          </w:p>
        </w:tc>
        <w:tc>
          <w:tcPr>
            <w:tcW w:w="46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C8CC54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SIV parameters at the time of immunization</w:t>
            </w:r>
          </w:p>
        </w:tc>
        <w:tc>
          <w:tcPr>
            <w:tcW w:w="27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A42C23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MHC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14:paraId="5E22C52C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AA4ABC" w:rsidRPr="00AA4ABC" w14:paraId="02F42E55" w14:textId="77777777" w:rsidTr="00BC286F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CAD041" w14:textId="77777777" w:rsidR="008B3B53" w:rsidRPr="00AA4ABC" w:rsidRDefault="008B3B53" w:rsidP="00AA4ABC">
            <w:pPr>
              <w:spacing w:before="0" w:after="0"/>
              <w:jc w:val="center"/>
              <w:rPr>
                <w:rFonts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/>
                <w:sz w:val="20"/>
                <w:szCs w:val="20"/>
              </w:rPr>
              <w:t>Animal ID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7A4448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Group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3E5ACA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D1CA88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Age (</w:t>
            </w:r>
            <w:proofErr w:type="spellStart"/>
            <w:r w:rsidRPr="00AA4ABC">
              <w:rPr>
                <w:rFonts w:cs="Times New Roman"/>
                <w:color w:val="000000"/>
                <w:sz w:val="20"/>
                <w:szCs w:val="20"/>
              </w:rPr>
              <w:t>yrs</w:t>
            </w:r>
            <w:proofErr w:type="spellEnd"/>
            <w:r w:rsidRPr="00AA4ABC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F7A2F8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Weight (Kg)</w:t>
            </w:r>
          </w:p>
        </w:tc>
        <w:tc>
          <w:tcPr>
            <w:tcW w:w="10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984EC38" w14:textId="77777777" w:rsidR="004B0986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Dose</w:t>
            </w:r>
          </w:p>
          <w:p w14:paraId="3D7E9B92" w14:textId="4B66DC3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4B0986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="004B0986">
              <w:rPr>
                <w:rFonts w:ascii="greek" w:hAnsi="greek" w:cs="Times New Roman"/>
                <w:color w:val="000000"/>
                <w:sz w:val="20"/>
                <w:szCs w:val="20"/>
              </w:rPr>
              <w:sym w:font="Symbol" w:char="F06D"/>
            </w:r>
            <w:r w:rsidRPr="00AA4ABC">
              <w:rPr>
                <w:rFonts w:cs="Times New Roman"/>
                <w:color w:val="000000"/>
                <w:sz w:val="20"/>
                <w:szCs w:val="20"/>
              </w:rPr>
              <w:t>g)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D23132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color w:val="000000"/>
                <w:sz w:val="20"/>
                <w:szCs w:val="20"/>
              </w:rPr>
              <w:t>i.m.</w:t>
            </w:r>
            <w:proofErr w:type="spellEnd"/>
            <w:r w:rsidRPr="00AA4ABC">
              <w:rPr>
                <w:rFonts w:cs="Times New Roman"/>
                <w:color w:val="000000"/>
                <w:sz w:val="20"/>
                <w:szCs w:val="20"/>
              </w:rPr>
              <w:t xml:space="preserve"> Sites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5A33E61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Plasma SIV RNA copies/mL (Log</w:t>
            </w:r>
            <w:r w:rsidRPr="00AA4ABC">
              <w:rPr>
                <w:rFonts w:cs="Times New Roman"/>
                <w:color w:val="000000"/>
                <w:sz w:val="20"/>
                <w:szCs w:val="20"/>
                <w:vertAlign w:val="subscript"/>
              </w:rPr>
              <w:t>10</w:t>
            </w:r>
            <w:r w:rsidRPr="00AA4ABC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29CB5F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#CD3</w:t>
            </w:r>
            <w:r w:rsidRPr="00AA4AB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A4ABC">
              <w:rPr>
                <w:rFonts w:cs="Times New Roman"/>
                <w:color w:val="000000"/>
                <w:sz w:val="20"/>
                <w:szCs w:val="20"/>
              </w:rPr>
              <w:t>CD4</w:t>
            </w:r>
            <w:r w:rsidRPr="00AA4AB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A4ABC">
              <w:rPr>
                <w:rFonts w:cs="Times New Roman"/>
                <w:color w:val="000000"/>
                <w:sz w:val="20"/>
                <w:szCs w:val="20"/>
              </w:rPr>
              <w:t xml:space="preserve"> cells/mL of blood </w:t>
            </w:r>
          </w:p>
        </w:tc>
        <w:tc>
          <w:tcPr>
            <w:tcW w:w="1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0FE0E24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CD3</w:t>
            </w:r>
            <w:r w:rsidRPr="00AA4AB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A4ABC">
              <w:rPr>
                <w:rFonts w:cs="Times New Roman"/>
                <w:color w:val="000000"/>
                <w:sz w:val="20"/>
                <w:szCs w:val="20"/>
              </w:rPr>
              <w:t>CD4</w:t>
            </w:r>
            <w:r w:rsidRPr="00AA4AB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+</w:t>
            </w:r>
            <w:r w:rsidRPr="00AA4ABC">
              <w:rPr>
                <w:rFonts w:cs="Times New Roman"/>
                <w:color w:val="000000"/>
                <w:sz w:val="20"/>
                <w:szCs w:val="20"/>
              </w:rPr>
              <w:t xml:space="preserve"> cells/mL of blood (% relative to pre-SIV)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D71382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Haplotype A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B83BEB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>Haplotype B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837E25F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A4ABC">
              <w:rPr>
                <w:rFonts w:cs="Times New Roman"/>
                <w:color w:val="000000"/>
                <w:sz w:val="20"/>
                <w:szCs w:val="20"/>
              </w:rPr>
              <w:t xml:space="preserve">HBV </w:t>
            </w:r>
            <w:proofErr w:type="spellStart"/>
            <w:r w:rsidRPr="00AA4ABC">
              <w:rPr>
                <w:rFonts w:cs="Times New Roman"/>
                <w:color w:val="000000"/>
                <w:sz w:val="20"/>
                <w:szCs w:val="20"/>
              </w:rPr>
              <w:t>Vaccine</w:t>
            </w:r>
            <w:r w:rsidRPr="00AA4AB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8B3B53" w:rsidRPr="00AA4ABC" w14:paraId="291829C1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6CA221DB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Z16041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22F9CA7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63DA1EF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41E29F6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2E09282D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1028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30571B5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18BFCB85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EF5FAC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6.17</w:t>
            </w: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A35FF5C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 xml:space="preserve">773 </w:t>
            </w:r>
          </w:p>
        </w:tc>
        <w:tc>
          <w:tcPr>
            <w:tcW w:w="1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9236E7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40.5</w:t>
            </w:r>
          </w:p>
        </w:tc>
        <w:tc>
          <w:tcPr>
            <w:tcW w:w="13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51048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Mane-A019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Mane-A031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72762E4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Mane-B052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Mane-B069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hideMark/>
          </w:tcPr>
          <w:p w14:paraId="6D09B957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DNA +Protein</w:t>
            </w:r>
          </w:p>
        </w:tc>
      </w:tr>
      <w:tr w:rsidR="008B3B53" w:rsidRPr="00AA4ABC" w14:paraId="1CDD560F" w14:textId="77777777" w:rsidTr="00BC286F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6A15D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Z15329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934DD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DF872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1186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25CAC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9F4DE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3E64D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7A67095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4.44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5DDE21A0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 xml:space="preserve">402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2DBCDAD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41.0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124D45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Mane-A019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Mane-A032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CF29360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Mane-B028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Mane-B052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CA331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DNA +Protein</w:t>
            </w:r>
          </w:p>
        </w:tc>
      </w:tr>
      <w:tr w:rsidR="008B3B53" w:rsidRPr="00AA4ABC" w14:paraId="2BF43AD1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B4D52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Z14362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234C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EB49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2F4F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BDDED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8.8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DAA29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D5B14C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50FF989C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88E770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650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0C78558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24.7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7F74FE5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Mane-A006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Mane-A032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464D5C1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Mane-B118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1CEB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Engerix</w:t>
            </w:r>
            <w:proofErr w:type="spellEnd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-B</w:t>
            </w:r>
          </w:p>
        </w:tc>
      </w:tr>
      <w:tr w:rsidR="008B3B53" w:rsidRPr="00AA4ABC" w14:paraId="3BF47CC2" w14:textId="77777777" w:rsidTr="00BC286F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8132D3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Z15291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7ACC2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B5BBA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FAD2D4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6C3D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8.4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3EB1F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FB9D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0CA91BB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E98EE3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953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5BF73FF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55.1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75DE95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Mane-A019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Mane-A052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28CD2C5C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Mane-B016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Mane-B089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2B8E0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Engerix</w:t>
            </w:r>
            <w:proofErr w:type="spellEnd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-B</w:t>
            </w:r>
          </w:p>
        </w:tc>
      </w:tr>
      <w:tr w:rsidR="008B3B53" w:rsidRPr="00AA4ABC" w14:paraId="3041330E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2ECA1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Z14302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1CA14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3CA8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D7D8C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66244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7.7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48EAA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B1DFE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6FE894E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3.87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8A68F1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945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38CCE96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116.7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8240D0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Mane-A018</w:t>
            </w:r>
          </w:p>
          <w:p w14:paraId="0A13DCB9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Mane-A082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707544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Mane-B015</w:t>
            </w:r>
          </w:p>
          <w:p w14:paraId="2F386AE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Mane-B047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8F9B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DNA +Protein</w:t>
            </w:r>
          </w:p>
        </w:tc>
      </w:tr>
      <w:tr w:rsidR="008B3B53" w:rsidRPr="00AA4ABC" w14:paraId="343E69EA" w14:textId="77777777" w:rsidTr="00BC286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07BCC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Z15182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A278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B983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CB9A4D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B3C6A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9.6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96A1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74441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06323414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1.61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F049B2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 xml:space="preserve">1029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7EC16110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62.7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5BB5959A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Mane-A009</w:t>
            </w:r>
          </w:p>
          <w:p w14:paraId="6039194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Mane-A019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098B749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U.D.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47662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Engerix</w:t>
            </w:r>
            <w:proofErr w:type="spellEnd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-B</w:t>
            </w:r>
          </w:p>
        </w:tc>
      </w:tr>
      <w:tr w:rsidR="008B3B53" w:rsidRPr="00AA4ABC" w14:paraId="746AB03D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20774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Z15268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94D7FE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EDF80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0FC20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55487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6.9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8B774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2B30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281A33B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2.86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103E9AB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 xml:space="preserve">1030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4CC34BC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68.0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7B3E180E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Mane-A006</w:t>
            </w:r>
          </w:p>
          <w:p w14:paraId="182DD55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Mane-A031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15E0EA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Mane-B118</w:t>
            </w:r>
          </w:p>
          <w:p w14:paraId="0064B7F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Mane-B120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176E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DNA +Protein</w:t>
            </w:r>
          </w:p>
        </w:tc>
      </w:tr>
      <w:tr w:rsidR="008B3B53" w:rsidRPr="00AA4ABC" w14:paraId="724A07BB" w14:textId="77777777" w:rsidTr="00BC286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81137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Z15374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94AF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DB35A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68ACA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7546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6.2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DD84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EBBA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14E13DA0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2005DBB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 xml:space="preserve">681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1BCA1AD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53.4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373DE5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Mane-A006</w:t>
            </w:r>
          </w:p>
          <w:p w14:paraId="7F260A64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7169AD8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Cannot Call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27F4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Engerix</w:t>
            </w:r>
            <w:proofErr w:type="spellEnd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-B</w:t>
            </w:r>
          </w:p>
        </w:tc>
      </w:tr>
      <w:tr w:rsidR="008B3B53" w:rsidRPr="00AA4ABC" w14:paraId="0DED7507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786A6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Z15032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54F9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SIV+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A4F8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9F6CA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2D69D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4146E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8D1F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1DAB113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3.01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6BF94BD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1046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3EB9EDE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37.8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7DE794B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Mane-A006</w:t>
            </w: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br/>
              <w:t>Mane-A031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38406734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Cannot Call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3F72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Engerix</w:t>
            </w:r>
            <w:proofErr w:type="spellEnd"/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-B</w:t>
            </w:r>
          </w:p>
        </w:tc>
      </w:tr>
      <w:tr w:rsidR="008B3B53" w:rsidRPr="00AA4ABC" w14:paraId="7291791F" w14:textId="77777777" w:rsidTr="00BC286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AF498F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Z15015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5DFC0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Naïve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5725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01FD1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14ED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9.5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A9DF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9B035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56DC0F0C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533A35AC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7B29DA0D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F9F2B5F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Mane-A052</w:t>
            </w:r>
          </w:p>
          <w:p w14:paraId="684F9EB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Mane-A084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5188F66C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Cannot Call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27790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None</w:t>
            </w:r>
          </w:p>
        </w:tc>
      </w:tr>
      <w:tr w:rsidR="008B3B53" w:rsidRPr="00AA4ABC" w14:paraId="6CA2A574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081BD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Z15389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DE03A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Naïve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3F0F4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93EE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EFB4A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7.6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AF19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21D8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40F448F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6A08A7D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07EDDE4A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B75808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Mane-A007b</w:t>
            </w:r>
          </w:p>
          <w:p w14:paraId="75D12F2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Mane-A115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750B097D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Cannot Call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7F945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None</w:t>
            </w:r>
          </w:p>
        </w:tc>
      </w:tr>
      <w:tr w:rsidR="008B3B53" w:rsidRPr="00AA4ABC" w14:paraId="758D0C94" w14:textId="77777777" w:rsidTr="00BC286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247BB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Z16293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69CAF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Naïve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65D7E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90D0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61B16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7.7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A0EC1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4F44E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3D0D274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3CA8D1E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3389F944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F2C77D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Mane-A032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77FDB67C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Cannot Call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EB54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None</w:t>
            </w:r>
          </w:p>
        </w:tc>
      </w:tr>
      <w:tr w:rsidR="008B3B53" w:rsidRPr="00AA4ABC" w14:paraId="46FFE2AD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874EA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Z16270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A054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Naïve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87D0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2783F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BF3E3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5.0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80DA0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F9BE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50CBB7D1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3257A5C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6780208E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96DD030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44D88AC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160E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None</w:t>
            </w:r>
          </w:p>
        </w:tc>
      </w:tr>
      <w:tr w:rsidR="008B3B53" w:rsidRPr="00AA4ABC" w14:paraId="7758446F" w14:textId="77777777" w:rsidTr="00BC286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7CF60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Z18113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B8F7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Naïve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C5A52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1C05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CF7E3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EAC55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6362A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05289159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005CBDA1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00E3891B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40F8C74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14:paraId="538C1678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6CDF7" w14:textId="77777777" w:rsidR="008B3B53" w:rsidRPr="00AA4ABC" w:rsidRDefault="008B3B53" w:rsidP="00AA4AB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None</w:t>
            </w:r>
          </w:p>
        </w:tc>
      </w:tr>
      <w:tr w:rsidR="008B3B53" w:rsidRPr="00AA4ABC" w14:paraId="680A3D14" w14:textId="77777777" w:rsidTr="00BC2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10465003" w14:textId="77777777" w:rsidR="008B3B53" w:rsidRPr="00AA4ABC" w:rsidRDefault="008B3B53" w:rsidP="00AA4ABC">
            <w:pPr>
              <w:spacing w:before="0" w:after="0"/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b w:val="0"/>
                <w:bCs w:val="0"/>
                <w:color w:val="000000" w:themeColor="text1"/>
                <w:sz w:val="20"/>
                <w:szCs w:val="20"/>
              </w:rPr>
              <w:t>Z17046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747835F7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Naïve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42BB2B62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17C22C0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324DD28D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4.0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6E934AE7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23AD7E6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D6D9E8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7284B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N.D.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5ABF8A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_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730784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Mane-A004</w:t>
            </w:r>
          </w:p>
          <w:p w14:paraId="41F452D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Mane-A019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1B77CB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Mane-B118</w:t>
            </w:r>
          </w:p>
          <w:p w14:paraId="19CF9797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Mane-B122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14:paraId="4BF74476" w14:textId="77777777" w:rsidR="008B3B53" w:rsidRPr="00AA4ABC" w:rsidRDefault="008B3B53" w:rsidP="00AA4AB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AA4ABC">
              <w:rPr>
                <w:rFonts w:cs="Times New Roman"/>
                <w:color w:val="000000" w:themeColor="text1"/>
                <w:sz w:val="20"/>
                <w:szCs w:val="20"/>
              </w:rPr>
              <w:t>None</w:t>
            </w:r>
          </w:p>
        </w:tc>
      </w:tr>
    </w:tbl>
    <w:p w14:paraId="2214412C" w14:textId="77777777" w:rsidR="00AA4ABC" w:rsidRPr="00AA4ABC" w:rsidRDefault="00AA4ABC" w:rsidP="00AA4ABC">
      <w:pPr>
        <w:spacing w:before="0" w:after="0"/>
        <w:rPr>
          <w:rFonts w:cs="Times New Roman"/>
          <w:bCs/>
          <w:sz w:val="20"/>
          <w:szCs w:val="20"/>
        </w:rPr>
      </w:pPr>
      <w:r w:rsidRPr="00AA4ABC">
        <w:rPr>
          <w:rFonts w:cs="Times New Roman"/>
          <w:sz w:val="20"/>
          <w:szCs w:val="20"/>
        </w:rPr>
        <w:t xml:space="preserve">Abbreviations: </w:t>
      </w:r>
      <w:r w:rsidRPr="00AA4ABC">
        <w:rPr>
          <w:rFonts w:cs="Times New Roman"/>
          <w:bCs/>
          <w:sz w:val="20"/>
          <w:szCs w:val="20"/>
        </w:rPr>
        <w:t xml:space="preserve">ID, identification; </w:t>
      </w:r>
      <w:proofErr w:type="spellStart"/>
      <w:r w:rsidRPr="00AA4ABC">
        <w:rPr>
          <w:rFonts w:cs="Times New Roman"/>
          <w:bCs/>
          <w:sz w:val="20"/>
          <w:szCs w:val="20"/>
        </w:rPr>
        <w:t>i.m.</w:t>
      </w:r>
      <w:proofErr w:type="spellEnd"/>
      <w:r w:rsidRPr="00AA4ABC">
        <w:rPr>
          <w:rFonts w:cs="Times New Roman"/>
          <w:bCs/>
          <w:sz w:val="20"/>
          <w:szCs w:val="20"/>
        </w:rPr>
        <w:t>, intramuscular; M, male; N.D., not determined; U.D., undetermined</w:t>
      </w:r>
    </w:p>
    <w:p w14:paraId="7E14E7DB" w14:textId="36C23D1C" w:rsidR="00AA4ABC" w:rsidRDefault="00AA4ABC" w:rsidP="00AA4ABC">
      <w:pPr>
        <w:spacing w:before="0" w:after="0"/>
        <w:rPr>
          <w:rFonts w:cs="Times New Roman"/>
          <w:bCs/>
          <w:sz w:val="20"/>
          <w:szCs w:val="20"/>
        </w:rPr>
      </w:pPr>
      <w:r w:rsidRPr="00AA4ABC">
        <w:rPr>
          <w:rFonts w:cs="Times New Roman"/>
          <w:bCs/>
          <w:sz w:val="20"/>
          <w:szCs w:val="20"/>
          <w:vertAlign w:val="superscript"/>
        </w:rPr>
        <w:lastRenderedPageBreak/>
        <w:t xml:space="preserve">a </w:t>
      </w:r>
      <w:r w:rsidRPr="00AA4ABC">
        <w:rPr>
          <w:rFonts w:cs="Times New Roman"/>
          <w:bCs/>
          <w:sz w:val="20"/>
          <w:szCs w:val="20"/>
        </w:rPr>
        <w:t>DNA and protein vaccine regimen comprised of HBV core and surface antigens and anti-CD180</w:t>
      </w:r>
    </w:p>
    <w:p w14:paraId="54AF24C0" w14:textId="77777777" w:rsidR="00AA4ABC" w:rsidRPr="00AA4ABC" w:rsidRDefault="00AA4ABC" w:rsidP="00AA4ABC">
      <w:pPr>
        <w:spacing w:before="0" w:after="0"/>
        <w:rPr>
          <w:rFonts w:cs="Times New Roman"/>
          <w:bCs/>
          <w:sz w:val="20"/>
          <w:szCs w:val="20"/>
        </w:rPr>
      </w:pPr>
    </w:p>
    <w:tbl>
      <w:tblPr>
        <w:tblStyle w:val="TableGrid"/>
        <w:tblW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530"/>
        <w:gridCol w:w="270"/>
        <w:gridCol w:w="990"/>
      </w:tblGrid>
      <w:tr w:rsidR="00AA4ABC" w:rsidRPr="00AA4ABC" w14:paraId="14B1A7AD" w14:textId="77777777" w:rsidTr="00BC286F">
        <w:trPr>
          <w:trHeight w:val="249"/>
        </w:trPr>
        <w:tc>
          <w:tcPr>
            <w:tcW w:w="621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7A6BCD58" w14:textId="61B9B31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A4ABC">
              <w:rPr>
                <w:rFonts w:cs="Times New Roman"/>
                <w:b/>
                <w:sz w:val="20"/>
                <w:szCs w:val="20"/>
              </w:rPr>
              <w:t xml:space="preserve">Supplemental Table 2. </w:t>
            </w:r>
            <w:r w:rsidR="00674F88">
              <w:rPr>
                <w:rFonts w:cs="Times New Roman"/>
                <w:b/>
                <w:sz w:val="20"/>
                <w:szCs w:val="20"/>
              </w:rPr>
              <w:t>Comparison</w:t>
            </w:r>
            <w:r w:rsidRPr="00AA4ABC">
              <w:rPr>
                <w:rFonts w:cs="Times New Roman"/>
                <w:b/>
                <w:sz w:val="20"/>
                <w:szCs w:val="20"/>
              </w:rPr>
              <w:t xml:space="preserve"> of immunogenicity </w:t>
            </w:r>
            <w:r w:rsidR="00674F88">
              <w:rPr>
                <w:rFonts w:cs="Times New Roman"/>
                <w:b/>
                <w:sz w:val="20"/>
                <w:szCs w:val="20"/>
              </w:rPr>
              <w:t>based on</w:t>
            </w:r>
            <w:r w:rsidRPr="00AA4ABC">
              <w:rPr>
                <w:rFonts w:cs="Times New Roman"/>
                <w:b/>
                <w:sz w:val="20"/>
                <w:szCs w:val="20"/>
              </w:rPr>
              <w:t xml:space="preserve"> vaccine dose, number of sites, or vaccine history</w:t>
            </w:r>
          </w:p>
        </w:tc>
      </w:tr>
      <w:tr w:rsidR="00AA4ABC" w:rsidRPr="00AA4ABC" w14:paraId="612A53C2" w14:textId="77777777" w:rsidTr="00BC286F">
        <w:trPr>
          <w:trHeight w:val="269"/>
        </w:trPr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 w14:paraId="7E7A5150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58E767B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Medians ± Interquartile Ranges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</w:tcPr>
          <w:p w14:paraId="35640F72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14:paraId="5AB15C2F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i/>
                <w:iCs/>
                <w:sz w:val="20"/>
                <w:szCs w:val="20"/>
              </w:rPr>
              <w:t>p</w:t>
            </w:r>
            <w:r w:rsidRPr="00AA4ABC">
              <w:rPr>
                <w:rFonts w:cs="Times New Roman"/>
                <w:bCs/>
                <w:sz w:val="20"/>
                <w:szCs w:val="20"/>
              </w:rPr>
              <w:t>-</w:t>
            </w: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value</w:t>
            </w:r>
            <w:r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</w:tr>
      <w:tr w:rsidR="00AA4ABC" w:rsidRPr="00AA4ABC" w14:paraId="5FEE4892" w14:textId="77777777" w:rsidTr="00BC286F">
        <w:trPr>
          <w:trHeight w:val="236"/>
        </w:trPr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DC2DC4" w14:textId="77777777" w:rsidR="00AA4ABC" w:rsidRPr="00AA4ABC" w:rsidRDefault="00AA4ABC" w:rsidP="00AA4ABC">
            <w:pPr>
              <w:spacing w:before="0" w:after="0"/>
              <w:ind w:hanging="24"/>
              <w:rPr>
                <w:rFonts w:cs="Times New Roman"/>
                <w:bCs/>
                <w:sz w:val="20"/>
                <w:szCs w:val="20"/>
              </w:rPr>
            </w:pPr>
          </w:p>
          <w:p w14:paraId="2CD48E72" w14:textId="77777777" w:rsidR="00AA4ABC" w:rsidRPr="00AA4ABC" w:rsidRDefault="00AA4ABC" w:rsidP="00AA4ABC">
            <w:pPr>
              <w:spacing w:before="0" w:after="0"/>
              <w:ind w:hanging="24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Vaccine Dose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16987DF" w14:textId="02DF30FD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 xml:space="preserve">25 </w:t>
            </w:r>
            <w:r w:rsidR="004B0986">
              <w:rPr>
                <w:rFonts w:ascii="greek" w:hAnsi="greek" w:cs="Times New Roman"/>
                <w:color w:val="000000"/>
                <w:sz w:val="20"/>
                <w:szCs w:val="20"/>
              </w:rPr>
              <w:sym w:font="Symbol" w:char="F06D"/>
            </w:r>
            <w:r w:rsidRPr="00AA4ABC">
              <w:rPr>
                <w:rFonts w:cs="Times New Roman"/>
                <w:bCs/>
                <w:sz w:val="20"/>
                <w:szCs w:val="20"/>
              </w:rPr>
              <w:t>g</w:t>
            </w:r>
          </w:p>
          <w:p w14:paraId="788E7BC1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  <w:highlight w:val="yellow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(n=6)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2EA429" w14:textId="593F8C34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 xml:space="preserve">5 </w:t>
            </w:r>
            <w:r w:rsidR="004B0986">
              <w:rPr>
                <w:rFonts w:ascii="greek" w:hAnsi="greek" w:cs="Times New Roman"/>
                <w:color w:val="000000"/>
                <w:sz w:val="20"/>
                <w:szCs w:val="20"/>
              </w:rPr>
              <w:sym w:font="Symbol" w:char="F06D"/>
            </w:r>
            <w:r w:rsidRPr="00AA4ABC">
              <w:rPr>
                <w:rFonts w:cs="Times New Roman"/>
                <w:bCs/>
                <w:sz w:val="20"/>
                <w:szCs w:val="20"/>
              </w:rPr>
              <w:t>g</w:t>
            </w:r>
          </w:p>
          <w:p w14:paraId="515C74E9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  <w:highlight w:val="yellow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(n=9)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2FDFB70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A3EE00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AA4ABC" w:rsidRPr="00AA4ABC" w14:paraId="56CDB542" w14:textId="77777777" w:rsidTr="00BC286F">
        <w:trPr>
          <w:trHeight w:val="236"/>
        </w:trPr>
        <w:tc>
          <w:tcPr>
            <w:tcW w:w="1890" w:type="dxa"/>
            <w:tcBorders>
              <w:top w:val="single" w:sz="4" w:space="0" w:color="000000"/>
            </w:tcBorders>
            <w:shd w:val="clear" w:color="auto" w:fill="auto"/>
          </w:tcPr>
          <w:p w14:paraId="5362E952" w14:textId="23E223BA" w:rsidR="00AA4ABC" w:rsidRPr="00AA4ABC" w:rsidRDefault="00674F88" w:rsidP="00AA4ABC">
            <w:pPr>
              <w:spacing w:before="0" w:after="0"/>
              <w:ind w:firstLine="156"/>
              <w:rPr>
                <w:rFonts w:cs="Times New Roman"/>
                <w:bCs/>
                <w:sz w:val="20"/>
                <w:szCs w:val="20"/>
              </w:rPr>
            </w:pPr>
            <w:r w:rsidRPr="00674F88">
              <w:rPr>
                <w:rFonts w:cs="Times New Roman"/>
                <w:bCs/>
                <w:sz w:val="20"/>
                <w:szCs w:val="20"/>
              </w:rPr>
              <w:t xml:space="preserve">IFN-γ </w:t>
            </w:r>
            <w:r>
              <w:rPr>
                <w:rFonts w:cs="Times New Roman"/>
                <w:bCs/>
                <w:sz w:val="20"/>
                <w:szCs w:val="20"/>
              </w:rPr>
              <w:t>+ T-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cells</w:t>
            </w:r>
            <w:r w:rsidR="00AA4ABC"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</w:tcBorders>
            <w:shd w:val="clear" w:color="auto" w:fill="auto"/>
          </w:tcPr>
          <w:p w14:paraId="149DD84B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25.0 ± 160</w:t>
            </w:r>
          </w:p>
        </w:tc>
        <w:tc>
          <w:tcPr>
            <w:tcW w:w="1530" w:type="dxa"/>
            <w:tcBorders>
              <w:top w:val="single" w:sz="4" w:space="0" w:color="000000"/>
            </w:tcBorders>
            <w:shd w:val="clear" w:color="auto" w:fill="auto"/>
          </w:tcPr>
          <w:p w14:paraId="067F5F23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 ± 69.8</w:t>
            </w:r>
          </w:p>
        </w:tc>
        <w:tc>
          <w:tcPr>
            <w:tcW w:w="270" w:type="dxa"/>
            <w:tcBorders>
              <w:top w:val="single" w:sz="4" w:space="0" w:color="000000"/>
            </w:tcBorders>
            <w:shd w:val="clear" w:color="auto" w:fill="auto"/>
          </w:tcPr>
          <w:p w14:paraId="5F71636E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uto"/>
          </w:tcPr>
          <w:p w14:paraId="1C006920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0.096</w:t>
            </w:r>
          </w:p>
        </w:tc>
      </w:tr>
      <w:tr w:rsidR="00AA4ABC" w:rsidRPr="00AA4ABC" w14:paraId="4E4F1228" w14:textId="77777777" w:rsidTr="00BC286F">
        <w:trPr>
          <w:trHeight w:val="236"/>
        </w:trPr>
        <w:tc>
          <w:tcPr>
            <w:tcW w:w="1890" w:type="dxa"/>
            <w:shd w:val="clear" w:color="auto" w:fill="auto"/>
          </w:tcPr>
          <w:p w14:paraId="2CAF8D81" w14:textId="77777777" w:rsidR="00AA4ABC" w:rsidRPr="00AA4ABC" w:rsidRDefault="00AA4ABC" w:rsidP="00AA4ABC">
            <w:pPr>
              <w:spacing w:before="0" w:after="0"/>
              <w:ind w:firstLine="156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bAb</w:t>
            </w:r>
            <w:r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530" w:type="dxa"/>
            <w:shd w:val="clear" w:color="auto" w:fill="auto"/>
          </w:tcPr>
          <w:p w14:paraId="65D4503F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15.4 ± 251</w:t>
            </w:r>
          </w:p>
        </w:tc>
        <w:tc>
          <w:tcPr>
            <w:tcW w:w="1530" w:type="dxa"/>
            <w:shd w:val="clear" w:color="auto" w:fill="auto"/>
          </w:tcPr>
          <w:p w14:paraId="1D177E8B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5.49 ± 21.7</w:t>
            </w:r>
          </w:p>
        </w:tc>
        <w:tc>
          <w:tcPr>
            <w:tcW w:w="270" w:type="dxa"/>
            <w:shd w:val="clear" w:color="auto" w:fill="auto"/>
          </w:tcPr>
          <w:p w14:paraId="295E656D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shd w:val="clear" w:color="auto" w:fill="auto"/>
          </w:tcPr>
          <w:p w14:paraId="2565D2A7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0.145</w:t>
            </w:r>
          </w:p>
        </w:tc>
      </w:tr>
      <w:tr w:rsidR="00AA4ABC" w:rsidRPr="00AA4ABC" w14:paraId="1049DCBF" w14:textId="77777777" w:rsidTr="00BC286F">
        <w:trPr>
          <w:trHeight w:val="236"/>
        </w:trPr>
        <w:tc>
          <w:tcPr>
            <w:tcW w:w="1890" w:type="dxa"/>
            <w:tcBorders>
              <w:bottom w:val="single" w:sz="4" w:space="0" w:color="000000"/>
            </w:tcBorders>
            <w:shd w:val="clear" w:color="auto" w:fill="auto"/>
          </w:tcPr>
          <w:p w14:paraId="4A7858EE" w14:textId="77777777" w:rsidR="00AA4ABC" w:rsidRPr="00AA4ABC" w:rsidRDefault="00AA4ABC" w:rsidP="00AA4ABC">
            <w:pPr>
              <w:spacing w:before="0" w:after="0"/>
              <w:ind w:firstLine="156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nAb</w:t>
            </w:r>
            <w:r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</w:tcPr>
          <w:p w14:paraId="05F8787C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25.0 ± 75.0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</w:tcPr>
          <w:p w14:paraId="2832CE3E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5.0 ± 15.0</w:t>
            </w:r>
          </w:p>
        </w:tc>
        <w:tc>
          <w:tcPr>
            <w:tcW w:w="270" w:type="dxa"/>
            <w:tcBorders>
              <w:bottom w:val="single" w:sz="4" w:space="0" w:color="000000"/>
            </w:tcBorders>
            <w:shd w:val="clear" w:color="auto" w:fill="auto"/>
          </w:tcPr>
          <w:p w14:paraId="401EE5E8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7C66D6C2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i/>
                <w:iCs/>
                <w:sz w:val="20"/>
                <w:szCs w:val="20"/>
              </w:rPr>
            </w:pPr>
            <w:r w:rsidRPr="00AA4ABC">
              <w:rPr>
                <w:rFonts w:cs="Times New Roman"/>
                <w:bCs/>
                <w:i/>
                <w:iCs/>
                <w:sz w:val="20"/>
                <w:szCs w:val="20"/>
              </w:rPr>
              <w:t>0.049</w:t>
            </w:r>
          </w:p>
        </w:tc>
      </w:tr>
      <w:tr w:rsidR="00AA4ABC" w:rsidRPr="00AA4ABC" w14:paraId="316FA2A3" w14:textId="77777777" w:rsidTr="00BC286F">
        <w:trPr>
          <w:trHeight w:val="236"/>
        </w:trPr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A6400F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</w:rPr>
            </w:pPr>
          </w:p>
          <w:p w14:paraId="10F473E4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i.m.</w:t>
            </w:r>
            <w:proofErr w:type="spellEnd"/>
            <w:r w:rsidRPr="00AA4ABC">
              <w:rPr>
                <w:rFonts w:cs="Times New Roman"/>
                <w:bCs/>
                <w:sz w:val="20"/>
                <w:szCs w:val="20"/>
              </w:rPr>
              <w:t xml:space="preserve"> Sites 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0EAFCC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Multiple</w:t>
            </w:r>
          </w:p>
          <w:p w14:paraId="077AE0E8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(n=12)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12D5D0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SS</w:t>
            </w:r>
          </w:p>
          <w:p w14:paraId="3DA14283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(n=3)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816D09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40DD1D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AA4ABC" w:rsidRPr="00AA4ABC" w14:paraId="63B3A876" w14:textId="77777777" w:rsidTr="00BC286F">
        <w:trPr>
          <w:trHeight w:val="236"/>
        </w:trPr>
        <w:tc>
          <w:tcPr>
            <w:tcW w:w="1890" w:type="dxa"/>
            <w:tcBorders>
              <w:top w:val="single" w:sz="4" w:space="0" w:color="000000"/>
            </w:tcBorders>
            <w:shd w:val="clear" w:color="auto" w:fill="auto"/>
          </w:tcPr>
          <w:p w14:paraId="22BF1FDB" w14:textId="5F02ABD3" w:rsidR="00AA4ABC" w:rsidRPr="00AA4ABC" w:rsidRDefault="00674F88" w:rsidP="00AA4ABC">
            <w:pPr>
              <w:spacing w:before="0" w:after="0"/>
              <w:ind w:firstLine="156"/>
              <w:rPr>
                <w:rFonts w:cs="Times New Roman"/>
                <w:bCs/>
                <w:sz w:val="20"/>
                <w:szCs w:val="20"/>
              </w:rPr>
            </w:pPr>
            <w:r w:rsidRPr="00674F88">
              <w:rPr>
                <w:rFonts w:cs="Times New Roman"/>
                <w:bCs/>
                <w:sz w:val="20"/>
                <w:szCs w:val="20"/>
              </w:rPr>
              <w:t xml:space="preserve">IFN-γ </w:t>
            </w:r>
            <w:r>
              <w:rPr>
                <w:rFonts w:cs="Times New Roman"/>
                <w:bCs/>
                <w:sz w:val="20"/>
                <w:szCs w:val="20"/>
              </w:rPr>
              <w:t>+ T-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cells</w:t>
            </w:r>
            <w:r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</w:tcBorders>
            <w:shd w:val="clear" w:color="auto" w:fill="auto"/>
          </w:tcPr>
          <w:p w14:paraId="1935E9D4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 ± 160</w:t>
            </w:r>
          </w:p>
        </w:tc>
        <w:tc>
          <w:tcPr>
            <w:tcW w:w="1530" w:type="dxa"/>
            <w:tcBorders>
              <w:top w:val="single" w:sz="4" w:space="0" w:color="000000"/>
            </w:tcBorders>
            <w:shd w:val="clear" w:color="auto" w:fill="auto"/>
          </w:tcPr>
          <w:p w14:paraId="4458389E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 ± 27.08</w:t>
            </w:r>
          </w:p>
        </w:tc>
        <w:tc>
          <w:tcPr>
            <w:tcW w:w="270" w:type="dxa"/>
            <w:tcBorders>
              <w:top w:val="single" w:sz="4" w:space="0" w:color="000000"/>
            </w:tcBorders>
            <w:shd w:val="clear" w:color="auto" w:fill="auto"/>
          </w:tcPr>
          <w:p w14:paraId="0780CDA2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uto"/>
          </w:tcPr>
          <w:p w14:paraId="735D7739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0.664</w:t>
            </w:r>
          </w:p>
        </w:tc>
      </w:tr>
      <w:tr w:rsidR="00AA4ABC" w:rsidRPr="00AA4ABC" w14:paraId="1BC5D585" w14:textId="77777777" w:rsidTr="00BC286F">
        <w:trPr>
          <w:trHeight w:val="236"/>
        </w:trPr>
        <w:tc>
          <w:tcPr>
            <w:tcW w:w="1890" w:type="dxa"/>
            <w:shd w:val="clear" w:color="auto" w:fill="auto"/>
          </w:tcPr>
          <w:p w14:paraId="7E52A04A" w14:textId="77777777" w:rsidR="00AA4ABC" w:rsidRPr="00AA4ABC" w:rsidRDefault="00AA4ABC" w:rsidP="00AA4ABC">
            <w:pPr>
              <w:spacing w:before="0" w:after="0"/>
              <w:ind w:firstLine="156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bAb</w:t>
            </w:r>
            <w:proofErr w:type="spellEnd"/>
          </w:p>
        </w:tc>
        <w:tc>
          <w:tcPr>
            <w:tcW w:w="1530" w:type="dxa"/>
            <w:shd w:val="clear" w:color="auto" w:fill="auto"/>
          </w:tcPr>
          <w:p w14:paraId="42DC2687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6.5 ± 254</w:t>
            </w:r>
          </w:p>
        </w:tc>
        <w:tc>
          <w:tcPr>
            <w:tcW w:w="1530" w:type="dxa"/>
            <w:shd w:val="clear" w:color="auto" w:fill="auto"/>
          </w:tcPr>
          <w:p w14:paraId="12BED566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9.59 ± 20.7</w:t>
            </w:r>
          </w:p>
        </w:tc>
        <w:tc>
          <w:tcPr>
            <w:tcW w:w="270" w:type="dxa"/>
            <w:shd w:val="clear" w:color="auto" w:fill="auto"/>
          </w:tcPr>
          <w:p w14:paraId="3E0D610D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shd w:val="clear" w:color="auto" w:fill="auto"/>
          </w:tcPr>
          <w:p w14:paraId="22511600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0.945</w:t>
            </w:r>
          </w:p>
        </w:tc>
      </w:tr>
      <w:tr w:rsidR="00AA4ABC" w:rsidRPr="00AA4ABC" w14:paraId="30B38774" w14:textId="77777777" w:rsidTr="00BC286F">
        <w:trPr>
          <w:trHeight w:val="236"/>
        </w:trPr>
        <w:tc>
          <w:tcPr>
            <w:tcW w:w="1890" w:type="dxa"/>
            <w:tcBorders>
              <w:bottom w:val="single" w:sz="4" w:space="0" w:color="000000"/>
            </w:tcBorders>
            <w:shd w:val="clear" w:color="auto" w:fill="auto"/>
          </w:tcPr>
          <w:p w14:paraId="0F9D08CA" w14:textId="77777777" w:rsidR="00AA4ABC" w:rsidRPr="00AA4ABC" w:rsidRDefault="00AA4ABC" w:rsidP="00AA4ABC">
            <w:pPr>
              <w:spacing w:before="0" w:after="0"/>
              <w:ind w:firstLine="156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nAb</w:t>
            </w:r>
            <w:proofErr w:type="spellEnd"/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</w:tcPr>
          <w:p w14:paraId="1666ED13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5.0 ± 75.0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</w:tcPr>
          <w:p w14:paraId="05A1B484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10.0 ± 15.0</w:t>
            </w:r>
          </w:p>
        </w:tc>
        <w:tc>
          <w:tcPr>
            <w:tcW w:w="270" w:type="dxa"/>
            <w:tcBorders>
              <w:bottom w:val="single" w:sz="4" w:space="0" w:color="000000"/>
            </w:tcBorders>
            <w:shd w:val="clear" w:color="auto" w:fill="auto"/>
          </w:tcPr>
          <w:p w14:paraId="2796F1CA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64C690F2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0.664</w:t>
            </w:r>
          </w:p>
        </w:tc>
      </w:tr>
      <w:tr w:rsidR="00AA4ABC" w:rsidRPr="00AA4ABC" w14:paraId="25AF5ED4" w14:textId="77777777" w:rsidTr="00BC286F">
        <w:trPr>
          <w:trHeight w:val="236"/>
        </w:trPr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2604A6C" w14:textId="1DBE76CC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Pre-</w:t>
            </w:r>
            <w:r w:rsidR="00674F88">
              <w:rPr>
                <w:rFonts w:cs="Times New Roman"/>
                <w:bCs/>
                <w:sz w:val="20"/>
                <w:szCs w:val="20"/>
              </w:rPr>
              <w:t>vaccination</w:t>
            </w:r>
            <w:r w:rsidRPr="00AA4ABC">
              <w:rPr>
                <w:rFonts w:cs="Times New Roman"/>
                <w:bCs/>
                <w:sz w:val="20"/>
                <w:szCs w:val="20"/>
              </w:rPr>
              <w:t xml:space="preserve"> with</w:t>
            </w:r>
          </w:p>
          <w:p w14:paraId="731416E7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HBV Vaccine</w:t>
            </w:r>
            <w:r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 xml:space="preserve">e 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4BF9DEB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DNA +Protein (n=4)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61A1FE8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bCs/>
                <w:sz w:val="20"/>
                <w:szCs w:val="20"/>
              </w:rPr>
              <w:t>Engerix</w:t>
            </w:r>
            <w:proofErr w:type="spellEnd"/>
            <w:r w:rsidRPr="00AA4ABC">
              <w:rPr>
                <w:rFonts w:cs="Times New Roman"/>
                <w:bCs/>
                <w:sz w:val="20"/>
                <w:szCs w:val="20"/>
              </w:rPr>
              <w:t>-B</w:t>
            </w:r>
          </w:p>
          <w:p w14:paraId="5346D176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(n=5)</w:t>
            </w:r>
          </w:p>
        </w:tc>
        <w:tc>
          <w:tcPr>
            <w:tcW w:w="2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EDE6EF6" w14:textId="77777777" w:rsidR="00AA4ABC" w:rsidRPr="00AA4ABC" w:rsidRDefault="00AA4ABC" w:rsidP="00AA4ABC">
            <w:pPr>
              <w:spacing w:before="0" w:after="0"/>
              <w:rPr>
                <w:rFonts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653BE11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AA4ABC" w:rsidRPr="00AA4ABC" w14:paraId="1187B974" w14:textId="77777777" w:rsidTr="00BC286F">
        <w:trPr>
          <w:trHeight w:val="236"/>
        </w:trPr>
        <w:tc>
          <w:tcPr>
            <w:tcW w:w="1890" w:type="dxa"/>
            <w:tcBorders>
              <w:top w:val="single" w:sz="4" w:space="0" w:color="000000"/>
            </w:tcBorders>
            <w:shd w:val="clear" w:color="auto" w:fill="auto"/>
          </w:tcPr>
          <w:p w14:paraId="53D5BDE3" w14:textId="3C293A88" w:rsidR="00AA4ABC" w:rsidRPr="00AA4ABC" w:rsidRDefault="00674F88" w:rsidP="00AA4ABC">
            <w:pPr>
              <w:spacing w:before="0" w:after="0"/>
              <w:ind w:left="720" w:hanging="564"/>
              <w:rPr>
                <w:rFonts w:cs="Times New Roman"/>
                <w:b/>
                <w:sz w:val="20"/>
                <w:szCs w:val="20"/>
              </w:rPr>
            </w:pPr>
            <w:r w:rsidRPr="00674F88">
              <w:rPr>
                <w:rFonts w:cs="Times New Roman"/>
                <w:bCs/>
                <w:sz w:val="20"/>
                <w:szCs w:val="20"/>
              </w:rPr>
              <w:t xml:space="preserve">IFN-γ </w:t>
            </w:r>
            <w:r>
              <w:rPr>
                <w:rFonts w:cs="Times New Roman"/>
                <w:bCs/>
                <w:sz w:val="20"/>
                <w:szCs w:val="20"/>
              </w:rPr>
              <w:t>+ T-</w:t>
            </w:r>
            <w:proofErr w:type="spellStart"/>
            <w:r>
              <w:rPr>
                <w:rFonts w:cs="Times New Roman"/>
                <w:bCs/>
                <w:sz w:val="20"/>
                <w:szCs w:val="20"/>
              </w:rPr>
              <w:t>cells</w:t>
            </w:r>
            <w:r w:rsidRPr="00AA4ABC">
              <w:rPr>
                <w:rFonts w:cs="Times New Roman"/>
                <w:b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</w:tcBorders>
            <w:shd w:val="clear" w:color="auto" w:fill="auto"/>
          </w:tcPr>
          <w:p w14:paraId="49E28342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6.67 ± 69.8</w:t>
            </w:r>
          </w:p>
        </w:tc>
        <w:tc>
          <w:tcPr>
            <w:tcW w:w="1530" w:type="dxa"/>
            <w:tcBorders>
              <w:top w:val="single" w:sz="4" w:space="0" w:color="000000"/>
            </w:tcBorders>
            <w:shd w:val="clear" w:color="auto" w:fill="auto"/>
          </w:tcPr>
          <w:p w14:paraId="11D253FF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0 ± 36.7</w:t>
            </w:r>
          </w:p>
        </w:tc>
        <w:tc>
          <w:tcPr>
            <w:tcW w:w="270" w:type="dxa"/>
            <w:tcBorders>
              <w:top w:val="single" w:sz="4" w:space="0" w:color="000000"/>
            </w:tcBorders>
            <w:shd w:val="clear" w:color="auto" w:fill="auto"/>
          </w:tcPr>
          <w:p w14:paraId="4CED0905" w14:textId="77777777" w:rsidR="00AA4ABC" w:rsidRPr="00AA4ABC" w:rsidRDefault="00AA4ABC" w:rsidP="00AA4ABC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uto"/>
          </w:tcPr>
          <w:p w14:paraId="3C7FE52D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0.921</w:t>
            </w:r>
          </w:p>
        </w:tc>
      </w:tr>
      <w:tr w:rsidR="00AA4ABC" w:rsidRPr="00AA4ABC" w14:paraId="6103E147" w14:textId="77777777" w:rsidTr="00BC286F">
        <w:trPr>
          <w:trHeight w:val="77"/>
        </w:trPr>
        <w:tc>
          <w:tcPr>
            <w:tcW w:w="1890" w:type="dxa"/>
            <w:shd w:val="clear" w:color="auto" w:fill="auto"/>
          </w:tcPr>
          <w:p w14:paraId="1EE26345" w14:textId="77777777" w:rsidR="00AA4ABC" w:rsidRPr="00AA4ABC" w:rsidRDefault="00AA4ABC" w:rsidP="00AA4ABC">
            <w:pPr>
              <w:spacing w:before="0" w:after="0"/>
              <w:ind w:left="720" w:hanging="564"/>
              <w:rPr>
                <w:rFonts w:cs="Times New Roman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sz w:val="20"/>
                <w:szCs w:val="20"/>
              </w:rPr>
              <w:t>bAb</w:t>
            </w:r>
            <w:proofErr w:type="spellEnd"/>
          </w:p>
        </w:tc>
        <w:tc>
          <w:tcPr>
            <w:tcW w:w="1530" w:type="dxa"/>
            <w:shd w:val="clear" w:color="auto" w:fill="auto"/>
          </w:tcPr>
          <w:p w14:paraId="6E071685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20.7 ± 251</w:t>
            </w:r>
          </w:p>
        </w:tc>
        <w:tc>
          <w:tcPr>
            <w:tcW w:w="1530" w:type="dxa"/>
            <w:shd w:val="clear" w:color="auto" w:fill="auto"/>
          </w:tcPr>
          <w:p w14:paraId="20F7DEF5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4.65 ± 9.55</w:t>
            </w:r>
          </w:p>
        </w:tc>
        <w:tc>
          <w:tcPr>
            <w:tcW w:w="270" w:type="dxa"/>
            <w:shd w:val="clear" w:color="auto" w:fill="auto"/>
          </w:tcPr>
          <w:p w14:paraId="6031338B" w14:textId="77777777" w:rsidR="00AA4ABC" w:rsidRPr="00AA4ABC" w:rsidRDefault="00AA4ABC" w:rsidP="00AA4ABC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shd w:val="clear" w:color="auto" w:fill="auto"/>
          </w:tcPr>
          <w:p w14:paraId="5A9353D4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0.111</w:t>
            </w:r>
          </w:p>
        </w:tc>
      </w:tr>
      <w:tr w:rsidR="00AA4ABC" w:rsidRPr="00AA4ABC" w14:paraId="7FB1535D" w14:textId="77777777" w:rsidTr="00BC286F">
        <w:trPr>
          <w:trHeight w:val="236"/>
        </w:trPr>
        <w:tc>
          <w:tcPr>
            <w:tcW w:w="1890" w:type="dxa"/>
            <w:tcBorders>
              <w:bottom w:val="single" w:sz="4" w:space="0" w:color="000000"/>
            </w:tcBorders>
            <w:shd w:val="clear" w:color="auto" w:fill="auto"/>
          </w:tcPr>
          <w:p w14:paraId="6CE644E5" w14:textId="77777777" w:rsidR="00AA4ABC" w:rsidRPr="00AA4ABC" w:rsidRDefault="00AA4ABC" w:rsidP="00AA4ABC">
            <w:pPr>
              <w:spacing w:before="0" w:after="0"/>
              <w:ind w:left="720" w:hanging="564"/>
              <w:rPr>
                <w:rFonts w:cs="Times New Roman"/>
                <w:sz w:val="20"/>
                <w:szCs w:val="20"/>
              </w:rPr>
            </w:pPr>
            <w:proofErr w:type="spellStart"/>
            <w:r w:rsidRPr="00AA4ABC">
              <w:rPr>
                <w:rFonts w:cs="Times New Roman"/>
                <w:sz w:val="20"/>
                <w:szCs w:val="20"/>
              </w:rPr>
              <w:t>nAb</w:t>
            </w:r>
            <w:proofErr w:type="spellEnd"/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</w:tcPr>
          <w:p w14:paraId="58EDF8CE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15.0 ± 75.0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</w:tcPr>
          <w:p w14:paraId="3C6EDB2A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AA4ABC">
              <w:rPr>
                <w:rFonts w:cs="Times New Roman"/>
                <w:sz w:val="20"/>
                <w:szCs w:val="20"/>
              </w:rPr>
              <w:t>5.0 ± 5.0</w:t>
            </w:r>
          </w:p>
        </w:tc>
        <w:tc>
          <w:tcPr>
            <w:tcW w:w="270" w:type="dxa"/>
            <w:tcBorders>
              <w:bottom w:val="single" w:sz="4" w:space="0" w:color="000000"/>
            </w:tcBorders>
            <w:shd w:val="clear" w:color="auto" w:fill="auto"/>
          </w:tcPr>
          <w:p w14:paraId="03DABC6B" w14:textId="77777777" w:rsidR="00AA4ABC" w:rsidRPr="00AA4ABC" w:rsidRDefault="00AA4ABC" w:rsidP="00AA4ABC">
            <w:pPr>
              <w:spacing w:before="0" w:after="0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797B0665" w14:textId="77777777" w:rsidR="00AA4ABC" w:rsidRPr="00AA4ABC" w:rsidRDefault="00AA4ABC" w:rsidP="00AA4ABC">
            <w:pPr>
              <w:spacing w:before="0" w:after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A4ABC">
              <w:rPr>
                <w:rFonts w:cs="Times New Roman"/>
                <w:bCs/>
                <w:sz w:val="20"/>
                <w:szCs w:val="20"/>
              </w:rPr>
              <w:t>0.127</w:t>
            </w:r>
          </w:p>
        </w:tc>
      </w:tr>
    </w:tbl>
    <w:p w14:paraId="50D80E98" w14:textId="77777777" w:rsidR="00AA4ABC" w:rsidRPr="00AA4ABC" w:rsidRDefault="00AA4ABC" w:rsidP="00AA4ABC">
      <w:pPr>
        <w:spacing w:before="0" w:after="0"/>
        <w:rPr>
          <w:rFonts w:cs="Times New Roman"/>
          <w:sz w:val="20"/>
          <w:szCs w:val="20"/>
        </w:rPr>
      </w:pPr>
      <w:r w:rsidRPr="00AA4ABC">
        <w:rPr>
          <w:rFonts w:cs="Times New Roman"/>
          <w:sz w:val="20"/>
          <w:szCs w:val="20"/>
        </w:rPr>
        <w:t xml:space="preserve">Abbreviations: </w:t>
      </w:r>
      <w:proofErr w:type="spellStart"/>
      <w:r w:rsidRPr="00AA4ABC">
        <w:rPr>
          <w:rFonts w:cs="Times New Roman"/>
          <w:sz w:val="20"/>
          <w:szCs w:val="20"/>
        </w:rPr>
        <w:t>bAb</w:t>
      </w:r>
      <w:proofErr w:type="spellEnd"/>
      <w:r w:rsidRPr="00AA4ABC">
        <w:rPr>
          <w:rFonts w:cs="Times New Roman"/>
          <w:sz w:val="20"/>
          <w:szCs w:val="20"/>
        </w:rPr>
        <w:t>, binding antibody;</w:t>
      </w:r>
      <w:r w:rsidRPr="00AA4ABC">
        <w:rPr>
          <w:rFonts w:cs="Times New Roman"/>
          <w:bCs/>
          <w:sz w:val="20"/>
          <w:szCs w:val="20"/>
        </w:rPr>
        <w:t xml:space="preserve"> </w:t>
      </w:r>
      <w:proofErr w:type="spellStart"/>
      <w:r w:rsidRPr="00AA4ABC">
        <w:rPr>
          <w:rFonts w:cs="Times New Roman"/>
          <w:bCs/>
          <w:sz w:val="20"/>
          <w:szCs w:val="20"/>
        </w:rPr>
        <w:t>i.m.</w:t>
      </w:r>
      <w:proofErr w:type="spellEnd"/>
      <w:r w:rsidRPr="00AA4ABC">
        <w:rPr>
          <w:rFonts w:cs="Times New Roman"/>
          <w:bCs/>
          <w:sz w:val="20"/>
          <w:szCs w:val="20"/>
        </w:rPr>
        <w:t xml:space="preserve">, intramuscular; </w:t>
      </w:r>
      <w:proofErr w:type="spellStart"/>
      <w:r w:rsidRPr="00AA4ABC">
        <w:rPr>
          <w:rFonts w:cs="Times New Roman"/>
          <w:sz w:val="20"/>
          <w:szCs w:val="20"/>
        </w:rPr>
        <w:t>nAb</w:t>
      </w:r>
      <w:proofErr w:type="spellEnd"/>
      <w:r w:rsidRPr="00AA4ABC">
        <w:rPr>
          <w:rFonts w:cs="Times New Roman"/>
          <w:sz w:val="20"/>
          <w:szCs w:val="20"/>
        </w:rPr>
        <w:t>, neutralizing antibody; SS, single site</w:t>
      </w:r>
    </w:p>
    <w:p w14:paraId="0BB4C825" w14:textId="77777777" w:rsidR="00AA4ABC" w:rsidRPr="00AA4ABC" w:rsidRDefault="00AA4ABC" w:rsidP="00AA4ABC">
      <w:pPr>
        <w:spacing w:before="0" w:after="0"/>
        <w:rPr>
          <w:rFonts w:cs="Times New Roman"/>
          <w:sz w:val="20"/>
          <w:szCs w:val="20"/>
        </w:rPr>
      </w:pPr>
      <w:r w:rsidRPr="00AA4ABC">
        <w:rPr>
          <w:rFonts w:cs="Times New Roman"/>
          <w:bCs/>
          <w:sz w:val="20"/>
          <w:szCs w:val="20"/>
          <w:vertAlign w:val="superscript"/>
        </w:rPr>
        <w:t>a</w:t>
      </w:r>
      <w:r w:rsidRPr="00AA4ABC">
        <w:rPr>
          <w:rFonts w:cs="Times New Roman"/>
          <w:b/>
          <w:sz w:val="20"/>
          <w:szCs w:val="20"/>
          <w:vertAlign w:val="superscript"/>
        </w:rPr>
        <w:t xml:space="preserve"> </w:t>
      </w:r>
      <w:r w:rsidRPr="00AA4ABC">
        <w:rPr>
          <w:rFonts w:cs="Times New Roman"/>
          <w:sz w:val="20"/>
          <w:szCs w:val="20"/>
        </w:rPr>
        <w:t xml:space="preserve">Mann-Whitney test was used to generate </w:t>
      </w:r>
      <w:r w:rsidRPr="00AA4ABC">
        <w:rPr>
          <w:rFonts w:cs="Times New Roman"/>
          <w:i/>
          <w:iCs/>
          <w:sz w:val="20"/>
          <w:szCs w:val="20"/>
        </w:rPr>
        <w:t>p</w:t>
      </w:r>
      <w:r w:rsidRPr="00AA4ABC">
        <w:rPr>
          <w:rFonts w:cs="Times New Roman"/>
          <w:sz w:val="20"/>
          <w:szCs w:val="20"/>
        </w:rPr>
        <w:t xml:space="preserve">-values; </w:t>
      </w:r>
      <w:r w:rsidRPr="00AA4ABC">
        <w:rPr>
          <w:rFonts w:cs="Times New Roman"/>
          <w:i/>
          <w:iCs/>
          <w:sz w:val="20"/>
          <w:szCs w:val="20"/>
        </w:rPr>
        <w:t xml:space="preserve">p </w:t>
      </w:r>
      <w:r w:rsidRPr="00AA4ABC">
        <w:rPr>
          <w:rFonts w:cs="Times New Roman"/>
          <w:sz w:val="20"/>
          <w:szCs w:val="20"/>
        </w:rPr>
        <w:t>&lt; 0.05 is considered significant and indicated by italicized text.</w:t>
      </w:r>
    </w:p>
    <w:p w14:paraId="316EEEA3" w14:textId="4F23C0F8" w:rsidR="00AA4ABC" w:rsidRPr="00AA4ABC" w:rsidRDefault="00AA4ABC" w:rsidP="00AA4ABC">
      <w:pPr>
        <w:spacing w:before="0" w:after="0"/>
        <w:rPr>
          <w:rFonts w:cs="Times New Roman"/>
          <w:sz w:val="20"/>
          <w:szCs w:val="20"/>
        </w:rPr>
      </w:pPr>
      <w:r w:rsidRPr="00AA4ABC">
        <w:rPr>
          <w:rFonts w:cs="Times New Roman"/>
          <w:sz w:val="20"/>
          <w:szCs w:val="20"/>
          <w:vertAlign w:val="superscript"/>
        </w:rPr>
        <w:t>b</w:t>
      </w:r>
      <w:r w:rsidRPr="00AA4ABC">
        <w:rPr>
          <w:rFonts w:cs="Times New Roman"/>
          <w:sz w:val="20"/>
          <w:szCs w:val="20"/>
        </w:rPr>
        <w:t xml:space="preserve"> </w:t>
      </w:r>
      <w:r w:rsidR="00674F88" w:rsidRPr="00674F88">
        <w:rPr>
          <w:rFonts w:cs="Times New Roman"/>
          <w:sz w:val="20"/>
          <w:szCs w:val="20"/>
        </w:rPr>
        <w:t xml:space="preserve">IFN-γ </w:t>
      </w:r>
      <w:r w:rsidRPr="00AA4ABC">
        <w:rPr>
          <w:rFonts w:cs="Times New Roman"/>
          <w:sz w:val="20"/>
          <w:szCs w:val="20"/>
        </w:rPr>
        <w:t>SFC/10</w:t>
      </w:r>
      <w:r w:rsidRPr="00AA4ABC">
        <w:rPr>
          <w:rFonts w:cs="Times New Roman"/>
          <w:sz w:val="20"/>
          <w:szCs w:val="20"/>
          <w:vertAlign w:val="superscript"/>
        </w:rPr>
        <w:t xml:space="preserve">6 </w:t>
      </w:r>
      <w:r w:rsidRPr="00AA4ABC">
        <w:rPr>
          <w:rFonts w:cs="Times New Roman"/>
          <w:sz w:val="20"/>
          <w:szCs w:val="20"/>
        </w:rPr>
        <w:t>PBMCs</w:t>
      </w:r>
    </w:p>
    <w:p w14:paraId="07C5A9BA" w14:textId="704CBFF5" w:rsidR="00AA4ABC" w:rsidRPr="00AA4ABC" w:rsidRDefault="00AA4ABC" w:rsidP="00AA4ABC">
      <w:pPr>
        <w:spacing w:before="0" w:after="0"/>
        <w:rPr>
          <w:rFonts w:cs="Times New Roman"/>
          <w:sz w:val="20"/>
          <w:szCs w:val="20"/>
        </w:rPr>
      </w:pPr>
      <w:r w:rsidRPr="00AA4ABC">
        <w:rPr>
          <w:rFonts w:cs="Times New Roman"/>
          <w:sz w:val="20"/>
          <w:szCs w:val="20"/>
          <w:vertAlign w:val="superscript"/>
        </w:rPr>
        <w:t>c</w:t>
      </w:r>
      <w:r w:rsidRPr="00AA4ABC">
        <w:rPr>
          <w:rFonts w:cs="Times New Roman"/>
          <w:sz w:val="20"/>
          <w:szCs w:val="20"/>
        </w:rPr>
        <w:t xml:space="preserve"> </w:t>
      </w:r>
      <w:r w:rsidR="000705B8">
        <w:rPr>
          <w:rFonts w:cs="Times New Roman"/>
          <w:sz w:val="20"/>
          <w:szCs w:val="20"/>
        </w:rPr>
        <w:t>I</w:t>
      </w:r>
      <w:r w:rsidRPr="00AA4ABC">
        <w:rPr>
          <w:rFonts w:cs="Times New Roman"/>
          <w:sz w:val="20"/>
          <w:szCs w:val="20"/>
        </w:rPr>
        <w:t xml:space="preserve">gG </w:t>
      </w:r>
      <w:proofErr w:type="spellStart"/>
      <w:r w:rsidRPr="00AA4ABC">
        <w:rPr>
          <w:rFonts w:cs="Times New Roman"/>
          <w:sz w:val="20"/>
          <w:szCs w:val="20"/>
        </w:rPr>
        <w:t>μg</w:t>
      </w:r>
      <w:proofErr w:type="spellEnd"/>
      <w:r w:rsidRPr="00AA4ABC">
        <w:rPr>
          <w:rFonts w:cs="Times New Roman"/>
          <w:sz w:val="20"/>
          <w:szCs w:val="20"/>
        </w:rPr>
        <w:t>/ml</w:t>
      </w:r>
    </w:p>
    <w:p w14:paraId="450CF520" w14:textId="77777777" w:rsidR="00AA4ABC" w:rsidRPr="00AA4ABC" w:rsidRDefault="00AA4ABC" w:rsidP="00AA4ABC">
      <w:pPr>
        <w:spacing w:before="0" w:after="0"/>
        <w:rPr>
          <w:rFonts w:cs="Times New Roman"/>
          <w:sz w:val="20"/>
          <w:szCs w:val="20"/>
        </w:rPr>
      </w:pPr>
      <w:r w:rsidRPr="00AA4ABC">
        <w:rPr>
          <w:rFonts w:cs="Times New Roman"/>
          <w:sz w:val="20"/>
          <w:szCs w:val="20"/>
          <w:vertAlign w:val="superscript"/>
        </w:rPr>
        <w:t>d</w:t>
      </w:r>
      <w:r w:rsidRPr="00AA4ABC">
        <w:rPr>
          <w:rFonts w:cs="Times New Roman"/>
          <w:sz w:val="20"/>
          <w:szCs w:val="20"/>
        </w:rPr>
        <w:t xml:space="preserve"> PRNT</w:t>
      </w:r>
      <w:r w:rsidRPr="00AA4ABC">
        <w:rPr>
          <w:rFonts w:cs="Times New Roman"/>
          <w:sz w:val="20"/>
          <w:szCs w:val="20"/>
          <w:vertAlign w:val="subscript"/>
        </w:rPr>
        <w:t xml:space="preserve">80 </w:t>
      </w:r>
      <w:r w:rsidRPr="00AA4ABC">
        <w:rPr>
          <w:rFonts w:cs="Times New Roman"/>
          <w:sz w:val="20"/>
          <w:szCs w:val="20"/>
        </w:rPr>
        <w:t>reciprocal titer</w:t>
      </w:r>
    </w:p>
    <w:p w14:paraId="1D249B14" w14:textId="77777777" w:rsidR="00AA4ABC" w:rsidRPr="00AA4ABC" w:rsidRDefault="00AA4ABC" w:rsidP="00AA4ABC">
      <w:pPr>
        <w:spacing w:before="0" w:after="0"/>
        <w:rPr>
          <w:rFonts w:cs="Times New Roman"/>
          <w:bCs/>
          <w:sz w:val="20"/>
          <w:szCs w:val="20"/>
        </w:rPr>
      </w:pPr>
      <w:r w:rsidRPr="00AA4ABC">
        <w:rPr>
          <w:rFonts w:cs="Times New Roman"/>
          <w:sz w:val="20"/>
          <w:szCs w:val="20"/>
          <w:vertAlign w:val="superscript"/>
        </w:rPr>
        <w:t>e</w:t>
      </w:r>
      <w:r w:rsidRPr="00AA4ABC">
        <w:rPr>
          <w:rFonts w:cs="Times New Roman"/>
          <w:sz w:val="20"/>
          <w:szCs w:val="20"/>
        </w:rPr>
        <w:t xml:space="preserve"> SIV+ animals only; </w:t>
      </w:r>
      <w:r w:rsidRPr="00AA4ABC">
        <w:rPr>
          <w:rFonts w:cs="Times New Roman"/>
          <w:bCs/>
          <w:sz w:val="20"/>
          <w:szCs w:val="20"/>
        </w:rPr>
        <w:t>DNA and protein vaccine regimen comprised of HBV core and surface antigens and anti-CD180</w:t>
      </w:r>
    </w:p>
    <w:p w14:paraId="35C711C6" w14:textId="77777777" w:rsidR="008B3B53" w:rsidRPr="00000637" w:rsidRDefault="008B3B53" w:rsidP="008B3B53">
      <w:pPr>
        <w:rPr>
          <w:rFonts w:ascii="Arial" w:hAnsi="Arial" w:cs="Arial"/>
          <w:sz w:val="20"/>
          <w:szCs w:val="20"/>
        </w:rPr>
      </w:pPr>
    </w:p>
    <w:p w14:paraId="3101B851" w14:textId="77777777" w:rsidR="008B3B53" w:rsidRPr="00000637" w:rsidRDefault="008B3B53" w:rsidP="008B3B53">
      <w:pPr>
        <w:rPr>
          <w:rFonts w:ascii="Arial" w:hAnsi="Arial" w:cs="Arial"/>
          <w:sz w:val="20"/>
          <w:szCs w:val="20"/>
        </w:rPr>
      </w:pPr>
    </w:p>
    <w:p w14:paraId="2A08B7AB" w14:textId="77777777" w:rsidR="008B3B53" w:rsidRPr="00000637" w:rsidRDefault="008B3B53" w:rsidP="008B3B53">
      <w:pPr>
        <w:rPr>
          <w:rFonts w:ascii="Arial" w:hAnsi="Arial" w:cs="Arial"/>
          <w:sz w:val="20"/>
          <w:szCs w:val="20"/>
        </w:rPr>
      </w:pPr>
    </w:p>
    <w:p w14:paraId="2B7AF676" w14:textId="77777777" w:rsidR="008B3B53" w:rsidRDefault="008B3B53" w:rsidP="008B3B53"/>
    <w:p w14:paraId="274DD074" w14:textId="77777777" w:rsidR="008B3B53" w:rsidRPr="002759CA" w:rsidRDefault="008B3B53" w:rsidP="008B3B53"/>
    <w:p w14:paraId="7336D957" w14:textId="77777777" w:rsidR="008B3B53" w:rsidRPr="008B3B53" w:rsidRDefault="008B3B53" w:rsidP="008B3B53"/>
    <w:p w14:paraId="696C02C9" w14:textId="77777777" w:rsidR="00D669E5" w:rsidRPr="00D669E5" w:rsidRDefault="00D669E5" w:rsidP="00D669E5">
      <w:pPr>
        <w:spacing w:before="240"/>
        <w:rPr>
          <w:rFonts w:cs="Times New Roman"/>
          <w:szCs w:val="24"/>
        </w:rPr>
      </w:pPr>
    </w:p>
    <w:p w14:paraId="11DC843E" w14:textId="77777777" w:rsidR="00D669E5" w:rsidRPr="00D669E5" w:rsidRDefault="00D669E5" w:rsidP="00654E8F">
      <w:pPr>
        <w:spacing w:before="240"/>
      </w:pPr>
    </w:p>
    <w:sectPr w:rsidR="00D669E5" w:rsidRPr="00D669E5" w:rsidSect="008B3B53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4B6D8" w14:textId="77777777" w:rsidR="00D91ECD" w:rsidRDefault="00D91ECD" w:rsidP="00117666">
      <w:pPr>
        <w:spacing w:after="0"/>
      </w:pPr>
      <w:r>
        <w:separator/>
      </w:r>
    </w:p>
  </w:endnote>
  <w:endnote w:type="continuationSeparator" w:id="0">
    <w:p w14:paraId="4D8B1605" w14:textId="77777777" w:rsidR="00D91ECD" w:rsidRDefault="00D91E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eek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8ED58" w14:textId="77777777" w:rsidR="00D91ECD" w:rsidRDefault="00D91ECD" w:rsidP="00117666">
      <w:pPr>
        <w:spacing w:after="0"/>
      </w:pPr>
      <w:r>
        <w:separator/>
      </w:r>
    </w:p>
  </w:footnote>
  <w:footnote w:type="continuationSeparator" w:id="0">
    <w:p w14:paraId="72B34EFC" w14:textId="77777777" w:rsidR="00D91ECD" w:rsidRDefault="00D91E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9" name="Picture 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7560"/>
    <w:rsid w:val="00052A14"/>
    <w:rsid w:val="000705B8"/>
    <w:rsid w:val="00077D53"/>
    <w:rsid w:val="00105FD9"/>
    <w:rsid w:val="00117666"/>
    <w:rsid w:val="00121878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26E7"/>
    <w:rsid w:val="002C74CA"/>
    <w:rsid w:val="002F091A"/>
    <w:rsid w:val="00306257"/>
    <w:rsid w:val="003123F4"/>
    <w:rsid w:val="003544FB"/>
    <w:rsid w:val="00377C15"/>
    <w:rsid w:val="00394D62"/>
    <w:rsid w:val="003D2F2D"/>
    <w:rsid w:val="00401590"/>
    <w:rsid w:val="00447801"/>
    <w:rsid w:val="00452E9C"/>
    <w:rsid w:val="00457930"/>
    <w:rsid w:val="004735C8"/>
    <w:rsid w:val="004947A6"/>
    <w:rsid w:val="004961FF"/>
    <w:rsid w:val="004B0986"/>
    <w:rsid w:val="00517A89"/>
    <w:rsid w:val="005250F2"/>
    <w:rsid w:val="005437DE"/>
    <w:rsid w:val="0059011F"/>
    <w:rsid w:val="00593EEA"/>
    <w:rsid w:val="005A5EEE"/>
    <w:rsid w:val="00633CBE"/>
    <w:rsid w:val="006375C7"/>
    <w:rsid w:val="00654E8F"/>
    <w:rsid w:val="00660D05"/>
    <w:rsid w:val="00674F88"/>
    <w:rsid w:val="006820B1"/>
    <w:rsid w:val="006B7D14"/>
    <w:rsid w:val="006D25BD"/>
    <w:rsid w:val="006F33B1"/>
    <w:rsid w:val="00701727"/>
    <w:rsid w:val="0070566C"/>
    <w:rsid w:val="00714C50"/>
    <w:rsid w:val="00725A7D"/>
    <w:rsid w:val="007501BE"/>
    <w:rsid w:val="00773868"/>
    <w:rsid w:val="00790BB3"/>
    <w:rsid w:val="007A1494"/>
    <w:rsid w:val="007C0950"/>
    <w:rsid w:val="007C206C"/>
    <w:rsid w:val="00817DD6"/>
    <w:rsid w:val="00836BC1"/>
    <w:rsid w:val="0083759F"/>
    <w:rsid w:val="00885156"/>
    <w:rsid w:val="008B3B53"/>
    <w:rsid w:val="00902724"/>
    <w:rsid w:val="009151AA"/>
    <w:rsid w:val="0093429D"/>
    <w:rsid w:val="00943573"/>
    <w:rsid w:val="00964134"/>
    <w:rsid w:val="00970F7D"/>
    <w:rsid w:val="00994A3D"/>
    <w:rsid w:val="009C2B12"/>
    <w:rsid w:val="00A174D9"/>
    <w:rsid w:val="00AA4ABC"/>
    <w:rsid w:val="00AA4D24"/>
    <w:rsid w:val="00AB6715"/>
    <w:rsid w:val="00AD1DE0"/>
    <w:rsid w:val="00AE2894"/>
    <w:rsid w:val="00B1671E"/>
    <w:rsid w:val="00B25EB8"/>
    <w:rsid w:val="00B37F4D"/>
    <w:rsid w:val="00B42771"/>
    <w:rsid w:val="00BC569E"/>
    <w:rsid w:val="00BE3B01"/>
    <w:rsid w:val="00C52A7B"/>
    <w:rsid w:val="00C56BAF"/>
    <w:rsid w:val="00C6103F"/>
    <w:rsid w:val="00C679AA"/>
    <w:rsid w:val="00C75972"/>
    <w:rsid w:val="00CD066B"/>
    <w:rsid w:val="00CE4FEE"/>
    <w:rsid w:val="00D060CF"/>
    <w:rsid w:val="00D669E5"/>
    <w:rsid w:val="00D865F8"/>
    <w:rsid w:val="00D91ECD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1">
    <w:name w:val="Plain Table 1"/>
    <w:basedOn w:val="TableNormal"/>
    <w:uiPriority w:val="41"/>
    <w:rsid w:val="008B3B53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457930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CD2DADEF4EC4A962F60241CA80D3D" ma:contentTypeVersion="4" ma:contentTypeDescription="Create a new document." ma:contentTypeScope="" ma:versionID="f084a403d46363c97d6acb08eb315e61">
  <xsd:schema xmlns:xsd="http://www.w3.org/2001/XMLSchema" xmlns:xs="http://www.w3.org/2001/XMLSchema" xmlns:p="http://schemas.microsoft.com/office/2006/metadata/properties" xmlns:ns2="01f59684-7f48-4277-8917-de998b5ff8e7" targetNamespace="http://schemas.microsoft.com/office/2006/metadata/properties" ma:root="true" ma:fieldsID="c6ea5e08df2b1dedef77ea105b9c4303" ns2:_="">
    <xsd:import namespace="01f59684-7f48-4277-8917-de998b5ff8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9684-7f48-4277-8917-de998b5ff8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CEB2B0E-521B-4E26-A5D8-B2998A85D7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8CB78D-594A-456D-92F6-9B8D61659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f59684-7f48-4277-8917-de998b5ff8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8FDA30-50B5-4433-B230-9A8A3080DE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2021-12-16T13:50:00Z</dcterms:created>
  <dcterms:modified xsi:type="dcterms:W3CDTF">2021-12-16T13:50:00Z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0x010100B38CD2DADEF4EC4A962F60241CA80D3D</vt:lpwstr>
  </property>
</Properties>
</file>