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D4" w:rsidRPr="009D5C57" w:rsidRDefault="008473D4" w:rsidP="008473D4">
      <w:pPr>
        <w:pStyle w:val="Geenafstand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Table S2</w:t>
      </w:r>
      <w:r w:rsidRPr="004C2067">
        <w:rPr>
          <w:rFonts w:ascii="Times New Roman" w:hAnsi="Times New Roman" w:cs="Times New Roman"/>
          <w:b/>
          <w:lang w:val="en-US"/>
        </w:rPr>
        <w:t>.</w:t>
      </w:r>
      <w:r w:rsidRPr="004C20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Basic </w:t>
      </w:r>
      <w:r w:rsidRPr="009D5C57">
        <w:rPr>
          <w:rFonts w:ascii="Times New Roman" w:hAnsi="Times New Roman" w:cs="Times New Roman"/>
          <w:lang w:val="en-US"/>
        </w:rPr>
        <w:t xml:space="preserve">characteristics of study cohort </w:t>
      </w:r>
    </w:p>
    <w:p w:rsidR="008473D4" w:rsidRPr="00F4128C" w:rsidRDefault="008473D4" w:rsidP="008473D4">
      <w:pPr>
        <w:pStyle w:val="Geenafstand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raster"/>
        <w:tblW w:w="1042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0"/>
        <w:gridCol w:w="1680"/>
      </w:tblGrid>
      <w:tr w:rsidR="008473D4" w:rsidRPr="006825C8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473D4" w:rsidRPr="00F4128C" w:rsidRDefault="008473D4" w:rsidP="00BA5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Segoe UI" w:hAnsi="Segoe UI" w:cs="Segoe UI"/>
                <w:lang w:val="en-US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473D4" w:rsidRPr="00F4128C" w:rsidRDefault="008473D4" w:rsidP="00BA57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</w:pPr>
            <w:r w:rsidRPr="00F412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Total (N=165)</w:t>
            </w:r>
          </w:p>
        </w:tc>
      </w:tr>
      <w:tr w:rsidR="008473D4" w:rsidRPr="000E507D" w:rsidTr="008473D4">
        <w:trPr>
          <w:trHeight w:val="330"/>
          <w:jc w:val="center"/>
        </w:trPr>
        <w:tc>
          <w:tcPr>
            <w:tcW w:w="874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ED648F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Median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</w:t>
            </w: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ge at first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consultation for  of IEI (IQR)</w:t>
            </w: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, years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473D4" w:rsidRPr="00395E4E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21 (38)</w:t>
            </w:r>
          </w:p>
        </w:tc>
      </w:tr>
      <w:tr w:rsidR="008473D4" w:rsidRPr="00395E4E" w:rsidTr="008473D4">
        <w:trPr>
          <w:trHeight w:val="330"/>
          <w:jc w:val="center"/>
        </w:trPr>
        <w:tc>
          <w:tcPr>
            <w:tcW w:w="8740" w:type="dxa"/>
            <w:tcBorders>
              <w:right w:val="nil"/>
            </w:tcBorders>
            <w:noWrap/>
            <w:hideMark/>
          </w:tcPr>
          <w:p w:rsidR="008473D4" w:rsidRPr="00395E4E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395E4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Male sex, n (%)</w:t>
            </w:r>
          </w:p>
        </w:tc>
        <w:tc>
          <w:tcPr>
            <w:tcW w:w="1680" w:type="dxa"/>
            <w:tcBorders>
              <w:left w:val="nil"/>
            </w:tcBorders>
            <w:noWrap/>
            <w:hideMark/>
          </w:tcPr>
          <w:p w:rsidR="008473D4" w:rsidRPr="00395E4E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395E4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74 (44,8)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395E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 xml:space="preserve">NGS-method, </w:t>
            </w:r>
            <w:r w:rsidRPr="0060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n (%)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bottom w:val="nil"/>
              <w:right w:val="nil"/>
            </w:tcBorders>
            <w:noWrap/>
            <w:hideMark/>
          </w:tcPr>
          <w:p w:rsidR="008473D4" w:rsidRPr="00FD45DC" w:rsidRDefault="008473D4" w:rsidP="00BA57D9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FD45DC">
              <w:rPr>
                <w:rFonts w:ascii="Times New Roman" w:hAnsi="Times New Roman" w:cs="Times New Roman"/>
                <w:lang w:eastAsia="nl-NL"/>
              </w:rPr>
              <w:t>Whole-genome</w:t>
            </w:r>
            <w:proofErr w:type="spellEnd"/>
            <w:r w:rsidRPr="00FD45DC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FD45DC">
              <w:rPr>
                <w:rFonts w:ascii="Times New Roman" w:hAnsi="Times New Roman" w:cs="Times New Roman"/>
                <w:lang w:eastAsia="nl-NL"/>
              </w:rPr>
              <w:t>sequencing</w:t>
            </w:r>
            <w:proofErr w:type="spellEnd"/>
          </w:p>
        </w:tc>
        <w:tc>
          <w:tcPr>
            <w:tcW w:w="1680" w:type="dxa"/>
            <w:tcBorders>
              <w:left w:val="nil"/>
              <w:bottom w:val="nil"/>
            </w:tcBorders>
            <w:noWrap/>
            <w:hideMark/>
          </w:tcPr>
          <w:p w:rsidR="008473D4" w:rsidRPr="00FD45DC" w:rsidRDefault="008473D4" w:rsidP="00BA57D9">
            <w:pPr>
              <w:rPr>
                <w:rFonts w:ascii="Times New Roman" w:hAnsi="Times New Roman" w:cs="Times New Roman"/>
                <w:lang w:eastAsia="nl-NL"/>
              </w:rPr>
            </w:pPr>
            <w:r w:rsidRPr="00FD45DC">
              <w:rPr>
                <w:rFonts w:ascii="Times New Roman" w:hAnsi="Times New Roman" w:cs="Times New Roman"/>
                <w:lang w:eastAsia="nl-NL"/>
              </w:rPr>
              <w:t>65 (39,4)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Whole-exome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sequencing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 (60,6)</w:t>
            </w: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</w:tr>
      <w:tr w:rsidR="008473D4" w:rsidRPr="001F51C5" w:rsidTr="008473D4">
        <w:trPr>
          <w:trHeight w:val="330"/>
          <w:jc w:val="center"/>
        </w:trPr>
        <w:tc>
          <w:tcPr>
            <w:tcW w:w="874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lang w:val="en-US" w:eastAsia="nl-NL"/>
              </w:rPr>
              <w:t>Clinical diagnosis at inclusion based on IUIS classification, n (%)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lang w:val="en-US" w:eastAsia="nl-NL"/>
              </w:rPr>
            </w:pP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Combined B- and T-cell deficiencies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 (6,7)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Combined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immunodeficiencies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with associated or syndromic features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 (15,2)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Predominantly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antibody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deficiencies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 (28,5)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Diseases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of immune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dysregulation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35 (21,2)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Phagocyte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diseases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 (6,1)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Defects in intrinsic and innate immunity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 (4,8)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Autoinflammatory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diseases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 (8,5)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Complement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deficiencies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 (1,2)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Bone </w:t>
            </w: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marrow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failure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 (0,0)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nil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Positive family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history</w:t>
            </w: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with clinical laboratory abnormalities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 (6,7)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Other</w:t>
            </w:r>
            <w:proofErr w:type="spellEnd"/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Pr="0060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 (1,2)</w:t>
            </w:r>
          </w:p>
        </w:tc>
      </w:tr>
      <w:tr w:rsidR="008473D4" w:rsidRPr="006011C5" w:rsidTr="008473D4">
        <w:trPr>
          <w:trHeight w:val="330"/>
          <w:jc w:val="center"/>
        </w:trPr>
        <w:tc>
          <w:tcPr>
            <w:tcW w:w="8740" w:type="dxa"/>
            <w:tcBorders>
              <w:top w:val="single" w:sz="4" w:space="0" w:color="auto"/>
              <w:right w:val="nil"/>
            </w:tcBorders>
            <w:noWrap/>
          </w:tcPr>
          <w:p w:rsidR="008473D4" w:rsidRPr="00B8764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Time between first visit and diagnosis (median, IQR), days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</w:tcBorders>
            <w:noWrap/>
          </w:tcPr>
          <w:p w:rsidR="008473D4" w:rsidRPr="006011C5" w:rsidRDefault="008473D4" w:rsidP="00BA57D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11C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121 (282)</w:t>
            </w:r>
          </w:p>
        </w:tc>
      </w:tr>
    </w:tbl>
    <w:p w:rsidR="008473D4" w:rsidRDefault="008473D4" w:rsidP="008473D4">
      <w:pPr>
        <w:pStyle w:val="Geenafstand"/>
        <w:rPr>
          <w:rFonts w:ascii="Times New Roman" w:hAnsi="Times New Roman" w:cs="Times New Roman"/>
          <w:b/>
          <w:lang w:val="en-US"/>
        </w:rPr>
      </w:pPr>
    </w:p>
    <w:p w:rsidR="008473D4" w:rsidRDefault="008473D4" w:rsidP="008473D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D4"/>
    <w:rsid w:val="0006286E"/>
    <w:rsid w:val="003F2CDA"/>
    <w:rsid w:val="006F142D"/>
    <w:rsid w:val="008473D4"/>
    <w:rsid w:val="008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48DE-0DEA-462C-AAD4-D7586A6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3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185A-5EDA-456A-8B75-659AD69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Elsink-2, K. (Kim)</dc:creator>
  <cp:keywords/>
  <dc:description/>
  <cp:lastModifiedBy>Elsink-2, K. (Kim)</cp:lastModifiedBy>
  <cp:revision>1</cp:revision>
  <dcterms:created xsi:type="dcterms:W3CDTF">2021-11-26T13:46:00Z</dcterms:created>
  <dcterms:modified xsi:type="dcterms:W3CDTF">2021-11-26T14:13:00Z</dcterms:modified>
</cp:coreProperties>
</file>