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48E74" w14:textId="43429590" w:rsidR="00E11EA1" w:rsidRPr="00ED3612" w:rsidRDefault="00ED3612" w:rsidP="00E11EA1">
      <w:pPr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ED3612">
        <w:rPr>
          <w:rFonts w:ascii="Times New Roman" w:hAnsi="Times New Roman" w:cs="Times New Roman"/>
          <w:b/>
          <w:bCs/>
          <w:color w:val="000000" w:themeColor="text1"/>
        </w:rPr>
        <w:t>MATERIALS AND METHODS</w:t>
      </w:r>
    </w:p>
    <w:p w14:paraId="5629DE91" w14:textId="77777777" w:rsidR="00E11EA1" w:rsidRPr="00ED3612" w:rsidRDefault="00E11EA1" w:rsidP="00E11EA1">
      <w:pPr>
        <w:rPr>
          <w:color w:val="000000" w:themeColor="text1"/>
        </w:rPr>
      </w:pPr>
    </w:p>
    <w:p w14:paraId="1F4C4622" w14:textId="66919E72" w:rsidR="00E11EA1" w:rsidRPr="00ED3612" w:rsidRDefault="00E11EA1" w:rsidP="00E11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D3612">
        <w:rPr>
          <w:rFonts w:ascii="Times New Roman" w:eastAsia="Times New Roman" w:hAnsi="Times New Roman" w:cs="Times New Roman"/>
          <w:b/>
          <w:bCs/>
          <w:color w:val="000000" w:themeColor="text1"/>
        </w:rPr>
        <w:t>Wholemount</w:t>
      </w:r>
      <w:r w:rsidR="00EA32E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AoV</w:t>
      </w:r>
      <w:r w:rsidRPr="00ED361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immunofluorescence and quantification:</w:t>
      </w:r>
    </w:p>
    <w:p w14:paraId="4C2B3794" w14:textId="77777777" w:rsidR="00E11EA1" w:rsidRPr="00ED3612" w:rsidRDefault="00E11EA1" w:rsidP="00E11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1000F92" w14:textId="78A1C2BA" w:rsidR="00E11EA1" w:rsidRPr="00ED3612" w:rsidRDefault="00E11EA1" w:rsidP="00E11EA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ED3612">
        <w:rPr>
          <w:rFonts w:ascii="Times New Roman" w:eastAsia="Times New Roman" w:hAnsi="Times New Roman" w:cs="Times New Roman"/>
          <w:color w:val="000000" w:themeColor="text1"/>
        </w:rPr>
        <w:t>AoVs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D3612" w:rsidRPr="00ED3612">
        <w:rPr>
          <w:rFonts w:ascii="Times New Roman" w:eastAsia="Times New Roman" w:hAnsi="Times New Roman" w:cs="Times New Roman"/>
          <w:color w:val="000000" w:themeColor="text1"/>
        </w:rPr>
        <w:t>(N=3)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were obtained and fixed in 4% </w:t>
      </w:r>
      <w:r w:rsidR="00ED3612">
        <w:rPr>
          <w:rFonts w:ascii="Times New Roman" w:eastAsia="Times New Roman" w:hAnsi="Times New Roman" w:cs="Times New Roman"/>
          <w:color w:val="000000" w:themeColor="text1"/>
        </w:rPr>
        <w:t>paraformaldehyde (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PFA</w:t>
      </w:r>
      <w:r w:rsidR="00ED3612">
        <w:rPr>
          <w:rFonts w:ascii="Times New Roman" w:eastAsia="Times New Roman" w:hAnsi="Times New Roman" w:cs="Times New Roman"/>
          <w:color w:val="000000" w:themeColor="text1"/>
        </w:rPr>
        <w:t>)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for 30-45 minutes at room temperature and washed in 1X PBS twice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Tissues were then pigment bleached using 10% H</w:t>
      </w:r>
      <w:r w:rsidRPr="00ED3612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O</w:t>
      </w:r>
      <w:r w:rsidRPr="00ED3612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overnight in 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1X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PBS. </w:t>
      </w:r>
      <w:r w:rsidR="00ED3612">
        <w:rPr>
          <w:rFonts w:ascii="Times New Roman" w:eastAsia="Times New Roman" w:hAnsi="Times New Roman" w:cs="Times New Roman"/>
          <w:color w:val="000000" w:themeColor="text1"/>
        </w:rPr>
        <w:t>All the l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ight microscope images were taken before </w:t>
      </w:r>
      <w:r w:rsidR="00EA32E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pigment bleach. Tissues were then washed and processed for wholemount antibody staining. In brief, tissues were permeabilized in 1% Triton X-100 in PBS for 45 minutes, blocked (10% goat serum, 0.3% Triton X-100, 1%BSA) for 2 hours at room temperature on a shaker followed by primary antibody (rabbit polyclonal 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to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anti-alpha smooth muscle actin, 1:100, Abcam, Cat#ab5694) incubation at 4°C overnight on a shaker. The primary antibody was diluted in a dilution buffer containing 1% goat serum, 0.3%TritonX-100, and 1% bovine serum albumin (BSA). Tissues were thoroughly washed for 2 hours with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 1X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PBS at room temperature, before secondary antibody staining (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goat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anti</w:t>
      </w:r>
      <w:r w:rsidR="00ED3612">
        <w:rPr>
          <w:rFonts w:ascii="Times New Roman" w:eastAsia="Times New Roman" w:hAnsi="Times New Roman" w:cs="Times New Roman"/>
          <w:color w:val="000000" w:themeColor="text1"/>
        </w:rPr>
        <w:t>-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rabbit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 IgG, Alexa Fluor 594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; 1:200; Invitrogen; Cat#A11012) for 1.5 hours. Lastly, tissues were washed for 2 hours with</w:t>
      </w:r>
      <w:r w:rsidR="00ED3612">
        <w:rPr>
          <w:rFonts w:ascii="Times New Roman" w:eastAsia="Times New Roman" w:hAnsi="Times New Roman" w:cs="Times New Roman"/>
          <w:color w:val="000000" w:themeColor="text1"/>
        </w:rPr>
        <w:t xml:space="preserve"> 1X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PBS at room temperature</w:t>
      </w:r>
      <w:r w:rsidR="00EA32E4">
        <w:rPr>
          <w:rFonts w:ascii="Times New Roman" w:eastAsia="Times New Roman" w:hAnsi="Times New Roman" w:cs="Times New Roman"/>
          <w:color w:val="000000" w:themeColor="text1"/>
        </w:rPr>
        <w:t>,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incubated in DAPI for 1-2 </w:t>
      </w:r>
      <w:r w:rsidR="00EA32E4" w:rsidRPr="00ED3612">
        <w:rPr>
          <w:rFonts w:ascii="Times New Roman" w:eastAsia="Times New Roman" w:hAnsi="Times New Roman" w:cs="Times New Roman"/>
          <w:color w:val="000000" w:themeColor="text1"/>
        </w:rPr>
        <w:t>minutes</w:t>
      </w:r>
      <w:r w:rsidR="00EA32E4">
        <w:rPr>
          <w:rFonts w:ascii="Times New Roman" w:eastAsia="Times New Roman" w:hAnsi="Times New Roman" w:cs="Times New Roman"/>
          <w:color w:val="000000" w:themeColor="text1"/>
        </w:rPr>
        <w:t>, and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mounted with a mounting medium. The AoV cusps were positioned such that the valve leaflets were faced upward as z-stack images were obtained using an upright Olympus Confocal BX61 microscope. All z-stacks were 3D reconstructed, and images were quantified using NIH ImageJ. For quantification, a threshold was applied to all the images to remove background noise. Watershed tool in ImageJ was used to separate individual nuclei and </w:t>
      </w:r>
      <w:r w:rsidR="00EA32E4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‘Analyze particle’ toolbox was used to quantify selected either DAPI or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sym w:font="Symbol" w:char="F061"/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SMA positive cells. All the data </w:t>
      </w:r>
      <w:r w:rsidR="00EA32E4">
        <w:rPr>
          <w:rFonts w:ascii="Times New Roman" w:eastAsia="Times New Roman" w:hAnsi="Times New Roman" w:cs="Times New Roman"/>
          <w:color w:val="000000" w:themeColor="text1"/>
        </w:rPr>
        <w:t>were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normalized to all the DAPI</w:t>
      </w:r>
      <w:r w:rsidR="00ED3612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 </w:t>
      </w:r>
      <w:r w:rsidR="00EA32E4">
        <w:rPr>
          <w:rFonts w:ascii="Times New Roman" w:eastAsia="Times New Roman" w:hAnsi="Times New Roman" w:cs="Times New Roman"/>
          <w:color w:val="000000" w:themeColor="text1"/>
        </w:rPr>
        <w:t>positive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 xml:space="preserve"> counts in the respective region. </w:t>
      </w:r>
    </w:p>
    <w:p w14:paraId="018BD4F1" w14:textId="5507777A" w:rsidR="00873208" w:rsidRPr="00ED3612" w:rsidRDefault="00873208">
      <w:pPr>
        <w:rPr>
          <w:color w:val="000000" w:themeColor="text1"/>
        </w:rPr>
      </w:pPr>
    </w:p>
    <w:p w14:paraId="1A7F6AB9" w14:textId="252E0829" w:rsidR="00873208" w:rsidRPr="00ED3612" w:rsidRDefault="00873208">
      <w:pPr>
        <w:rPr>
          <w:color w:val="000000" w:themeColor="text1"/>
        </w:rPr>
      </w:pPr>
    </w:p>
    <w:p w14:paraId="71FBD546" w14:textId="6531CA1A" w:rsidR="00873208" w:rsidRPr="00ED3612" w:rsidRDefault="00873208">
      <w:pPr>
        <w:rPr>
          <w:color w:val="000000" w:themeColor="text1"/>
        </w:rPr>
      </w:pPr>
    </w:p>
    <w:p w14:paraId="42232209" w14:textId="58DD7DE6" w:rsidR="00873208" w:rsidRPr="00ED3612" w:rsidRDefault="00873208">
      <w:pPr>
        <w:rPr>
          <w:color w:val="000000" w:themeColor="text1"/>
        </w:rPr>
      </w:pPr>
    </w:p>
    <w:p w14:paraId="4433B719" w14:textId="0F040C0F" w:rsidR="00873208" w:rsidRPr="00ED3612" w:rsidRDefault="00873208">
      <w:pPr>
        <w:rPr>
          <w:color w:val="000000" w:themeColor="text1"/>
        </w:rPr>
      </w:pPr>
    </w:p>
    <w:p w14:paraId="294F43FD" w14:textId="60EFFEA6" w:rsidR="00873208" w:rsidRPr="00ED3612" w:rsidRDefault="00873208">
      <w:pPr>
        <w:rPr>
          <w:color w:val="000000" w:themeColor="text1"/>
        </w:rPr>
      </w:pPr>
    </w:p>
    <w:p w14:paraId="720919EB" w14:textId="623430A0" w:rsidR="00873208" w:rsidRPr="00ED3612" w:rsidRDefault="00873208">
      <w:pPr>
        <w:rPr>
          <w:color w:val="000000" w:themeColor="text1"/>
        </w:rPr>
      </w:pPr>
    </w:p>
    <w:p w14:paraId="073A4577" w14:textId="6187A9D0" w:rsidR="00873208" w:rsidRPr="00ED3612" w:rsidRDefault="00873208">
      <w:pPr>
        <w:rPr>
          <w:color w:val="000000" w:themeColor="text1"/>
        </w:rPr>
      </w:pPr>
    </w:p>
    <w:p w14:paraId="2C8A8A9F" w14:textId="59F4CB7A" w:rsidR="00873208" w:rsidRPr="00ED3612" w:rsidRDefault="00873208">
      <w:pPr>
        <w:rPr>
          <w:color w:val="000000" w:themeColor="text1"/>
        </w:rPr>
      </w:pPr>
    </w:p>
    <w:p w14:paraId="1F2EFFBB" w14:textId="69157ECD" w:rsidR="00873208" w:rsidRPr="00ED3612" w:rsidRDefault="00873208">
      <w:pPr>
        <w:rPr>
          <w:color w:val="000000" w:themeColor="text1"/>
        </w:rPr>
      </w:pPr>
    </w:p>
    <w:p w14:paraId="78AE5E74" w14:textId="546A7C21" w:rsidR="00873208" w:rsidRPr="00ED3612" w:rsidRDefault="00873208">
      <w:pPr>
        <w:rPr>
          <w:color w:val="000000" w:themeColor="text1"/>
        </w:rPr>
      </w:pPr>
    </w:p>
    <w:p w14:paraId="1428DEB9" w14:textId="7EF525C9" w:rsidR="00873208" w:rsidRPr="00ED3612" w:rsidRDefault="00873208">
      <w:pPr>
        <w:rPr>
          <w:color w:val="000000" w:themeColor="text1"/>
        </w:rPr>
      </w:pPr>
    </w:p>
    <w:p w14:paraId="1DB79445" w14:textId="26BFE579" w:rsidR="00873208" w:rsidRPr="00ED3612" w:rsidRDefault="00873208">
      <w:pPr>
        <w:rPr>
          <w:color w:val="000000" w:themeColor="text1"/>
        </w:rPr>
      </w:pPr>
    </w:p>
    <w:p w14:paraId="2AD31499" w14:textId="7EC9E98D" w:rsidR="00873208" w:rsidRPr="00ED3612" w:rsidRDefault="00873208">
      <w:pPr>
        <w:rPr>
          <w:color w:val="000000" w:themeColor="text1"/>
        </w:rPr>
      </w:pPr>
    </w:p>
    <w:p w14:paraId="2311BA5D" w14:textId="7A274A3D" w:rsidR="00873208" w:rsidRPr="00ED3612" w:rsidRDefault="00873208">
      <w:pPr>
        <w:rPr>
          <w:color w:val="000000" w:themeColor="text1"/>
        </w:rPr>
      </w:pPr>
    </w:p>
    <w:p w14:paraId="5057F8CD" w14:textId="59F0A703" w:rsidR="00873208" w:rsidRPr="00ED3612" w:rsidRDefault="00873208">
      <w:pPr>
        <w:rPr>
          <w:color w:val="000000" w:themeColor="text1"/>
        </w:rPr>
      </w:pPr>
    </w:p>
    <w:p w14:paraId="0044166E" w14:textId="4F1D227F" w:rsidR="00873208" w:rsidRPr="00ED3612" w:rsidRDefault="00873208">
      <w:pPr>
        <w:rPr>
          <w:color w:val="000000" w:themeColor="text1"/>
        </w:rPr>
      </w:pPr>
    </w:p>
    <w:p w14:paraId="2BC1463E" w14:textId="30B09429" w:rsidR="00873208" w:rsidRPr="00ED3612" w:rsidRDefault="00873208">
      <w:pPr>
        <w:rPr>
          <w:color w:val="000000" w:themeColor="text1"/>
        </w:rPr>
      </w:pPr>
    </w:p>
    <w:p w14:paraId="0130C85B" w14:textId="47830E45" w:rsidR="00873208" w:rsidRPr="00ED3612" w:rsidRDefault="00873208">
      <w:pPr>
        <w:rPr>
          <w:color w:val="000000" w:themeColor="text1"/>
        </w:rPr>
      </w:pPr>
    </w:p>
    <w:p w14:paraId="2C941142" w14:textId="6CC64B55" w:rsidR="00873208" w:rsidRPr="00ED3612" w:rsidRDefault="00873208">
      <w:pPr>
        <w:rPr>
          <w:color w:val="000000" w:themeColor="text1"/>
        </w:rPr>
      </w:pPr>
    </w:p>
    <w:p w14:paraId="0E44DFE9" w14:textId="77777777" w:rsidR="00873208" w:rsidRPr="00ED3612" w:rsidRDefault="00873208">
      <w:pPr>
        <w:rPr>
          <w:color w:val="000000" w:themeColor="text1"/>
        </w:rPr>
      </w:pPr>
    </w:p>
    <w:tbl>
      <w:tblPr>
        <w:tblW w:w="9236" w:type="dxa"/>
        <w:tblLook w:val="04A0" w:firstRow="1" w:lastRow="0" w:firstColumn="1" w:lastColumn="0" w:noHBand="0" w:noVBand="1"/>
      </w:tblPr>
      <w:tblGrid>
        <w:gridCol w:w="1083"/>
        <w:gridCol w:w="2881"/>
        <w:gridCol w:w="1096"/>
        <w:gridCol w:w="1059"/>
        <w:gridCol w:w="1162"/>
        <w:gridCol w:w="1081"/>
        <w:gridCol w:w="874"/>
      </w:tblGrid>
      <w:tr w:rsidR="00ED3612" w:rsidRPr="00ED3612" w14:paraId="4E7EA706" w14:textId="77777777" w:rsidTr="001C02D4">
        <w:trPr>
          <w:trHeight w:val="60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92D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DF3A3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Image view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8836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Image Depth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E4AD8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Image Width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2864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Frame Rate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8222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Gate Depth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2B4C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Gate Size</w:t>
            </w:r>
          </w:p>
        </w:tc>
      </w:tr>
      <w:tr w:rsidR="00ED3612" w:rsidRPr="00ED3612" w14:paraId="0C136AE6" w14:textId="77777777" w:rsidTr="00ED3612">
        <w:trPr>
          <w:trHeight w:val="70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A75A8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 xml:space="preserve">B-mode 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9E20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Longitudinal-axis (LAX) view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F0146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12-15 mm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0B77D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9-12 mm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C272E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 xml:space="preserve">200-250 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159" w14:textId="46215487" w:rsidR="00E11EA1" w:rsidRPr="00ED3612" w:rsidRDefault="00ED3612" w:rsidP="00ED3612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721AC" w14:textId="074C04D4" w:rsidR="00E11EA1" w:rsidRPr="00ED3612" w:rsidRDefault="00ED3612" w:rsidP="00ED3612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-</w:t>
            </w:r>
          </w:p>
        </w:tc>
      </w:tr>
      <w:tr w:rsidR="00ED3612" w:rsidRPr="00ED3612" w14:paraId="45C19FAF" w14:textId="77777777" w:rsidTr="001C02D4">
        <w:trPr>
          <w:trHeight w:val="60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8C1DC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 xml:space="preserve">M-mode 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F9A0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 xml:space="preserve">Parasternal Short-axis (SAX) view at the level of papillary muscles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4DC2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10-15 mm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DF521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6-8 mm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1AAD0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250-350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AD67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8 -14 mm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18F8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6-8 mm</w:t>
            </w:r>
          </w:p>
        </w:tc>
      </w:tr>
      <w:tr w:rsidR="00ED3612" w:rsidRPr="00ED3612" w14:paraId="1F4F9DC0" w14:textId="77777777" w:rsidTr="001C02D4">
        <w:trPr>
          <w:trHeight w:val="403"/>
        </w:trPr>
        <w:tc>
          <w:tcPr>
            <w:tcW w:w="923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E241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</w:p>
        </w:tc>
      </w:tr>
      <w:tr w:rsidR="00ED3612" w:rsidRPr="00ED3612" w14:paraId="12C7298D" w14:textId="77777777" w:rsidTr="001C02D4">
        <w:trPr>
          <w:trHeight w:val="91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382D3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PW Doppler-mode</w:t>
            </w:r>
          </w:p>
        </w:tc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BBB6" w14:textId="77777777" w:rsidR="00E11EA1" w:rsidRPr="00ED3612" w:rsidRDefault="00E11EA1" w:rsidP="001C02D4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3ED8B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Sample Volume Depth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C985B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Gate Size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DB101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b/>
                <w:bCs/>
                <w:color w:val="000000" w:themeColor="text1"/>
              </w:rPr>
              <w:t>Doppler Angle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33F4" w14:textId="77777777" w:rsidR="00E11EA1" w:rsidRPr="00ED3612" w:rsidRDefault="00E11EA1" w:rsidP="001C02D4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 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E125" w14:textId="77777777" w:rsidR="00E11EA1" w:rsidRPr="00ED3612" w:rsidRDefault="00E11EA1" w:rsidP="001C02D4">
            <w:pPr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 </w:t>
            </w:r>
          </w:p>
        </w:tc>
      </w:tr>
      <w:tr w:rsidR="00ED3612" w:rsidRPr="00ED3612" w14:paraId="313BABE9" w14:textId="77777777" w:rsidTr="001C02D4">
        <w:trPr>
          <w:trHeight w:val="504"/>
        </w:trPr>
        <w:tc>
          <w:tcPr>
            <w:tcW w:w="10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C948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Aorta</w:t>
            </w: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BECC" w14:textId="2C8264F3" w:rsidR="00E11EA1" w:rsidRPr="00ED3612" w:rsidRDefault="00ED3612" w:rsidP="00ED3612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8AD4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8-11 mm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99E03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0.85 mm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BF5E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 w:rsidRPr="00ED3612">
              <w:rPr>
                <w:rFonts w:ascii="Times" w:eastAsia="Times New Roman" w:hAnsi="Times" w:cs="Times New Roman"/>
                <w:color w:val="000000" w:themeColor="text1"/>
              </w:rPr>
              <w:t>45-60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○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D50AB" w14:textId="7EA10F0F" w:rsidR="00E11EA1" w:rsidRPr="00ED3612" w:rsidRDefault="00ED3612" w:rsidP="00ED3612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6998" w14:textId="03CBC191" w:rsidR="00E11EA1" w:rsidRPr="00ED3612" w:rsidRDefault="00ED3612" w:rsidP="00ED3612">
            <w:pPr>
              <w:jc w:val="center"/>
              <w:rPr>
                <w:rFonts w:ascii="Times" w:eastAsia="Times New Roman" w:hAnsi="Times" w:cs="Times New Roman"/>
                <w:color w:val="000000" w:themeColor="text1"/>
              </w:rPr>
            </w:pPr>
            <w:r>
              <w:rPr>
                <w:rFonts w:ascii="Times" w:eastAsia="Times New Roman" w:hAnsi="Times" w:cs="Times New Roman"/>
                <w:color w:val="000000" w:themeColor="text1"/>
              </w:rPr>
              <w:t>-</w:t>
            </w:r>
          </w:p>
        </w:tc>
      </w:tr>
      <w:tr w:rsidR="00E11EA1" w:rsidRPr="00ED3612" w14:paraId="667F7409" w14:textId="77777777" w:rsidTr="001C02D4">
        <w:trPr>
          <w:trHeight w:val="504"/>
        </w:trPr>
        <w:tc>
          <w:tcPr>
            <w:tcW w:w="10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ECC42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 w:rsidRPr="00ED3612">
              <w:rPr>
                <w:rFonts w:ascii="Times" w:eastAsia="Times New Roman" w:hAnsi="Times" w:cs="Calibri"/>
                <w:color w:val="000000" w:themeColor="text1"/>
              </w:rPr>
              <w:t>Mitral</w:t>
            </w:r>
          </w:p>
        </w:tc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DCD0" w14:textId="554E687D" w:rsidR="00E11EA1" w:rsidRPr="00ED3612" w:rsidRDefault="00E11EA1" w:rsidP="001C02D4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 w:rsidRPr="00ED3612">
              <w:rPr>
                <w:rFonts w:ascii="Times" w:eastAsia="Times New Roman" w:hAnsi="Times" w:cs="Calibri"/>
                <w:color w:val="000000" w:themeColor="text1"/>
              </w:rPr>
              <w:t xml:space="preserve">Apical </w:t>
            </w:r>
            <w:r w:rsidR="00EA32E4">
              <w:rPr>
                <w:rFonts w:ascii="Times" w:eastAsia="Times New Roman" w:hAnsi="Times" w:cs="Calibri"/>
                <w:color w:val="000000" w:themeColor="text1"/>
              </w:rPr>
              <w:t>four-chamber</w:t>
            </w:r>
            <w:r w:rsidRPr="00ED3612">
              <w:rPr>
                <w:rFonts w:ascii="Times" w:eastAsia="Times New Roman" w:hAnsi="Times" w:cs="Calibri"/>
                <w:color w:val="000000" w:themeColor="text1"/>
              </w:rPr>
              <w:t xml:space="preserve"> view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F36C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 w:rsidRPr="00ED3612">
              <w:rPr>
                <w:rFonts w:ascii="Times" w:eastAsia="Times New Roman" w:hAnsi="Times" w:cs="Calibri"/>
                <w:color w:val="000000" w:themeColor="text1"/>
              </w:rPr>
              <w:t>7-11 mm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6A99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 w:rsidRPr="00ED3612">
              <w:rPr>
                <w:rFonts w:ascii="Times" w:eastAsia="Times New Roman" w:hAnsi="Times" w:cs="Calibri"/>
                <w:color w:val="000000" w:themeColor="text1"/>
              </w:rPr>
              <w:t>0.85 mm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4CDF" w14:textId="77777777" w:rsidR="00E11EA1" w:rsidRPr="00ED3612" w:rsidRDefault="00E11EA1" w:rsidP="001C02D4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 w:rsidRPr="00ED3612">
              <w:rPr>
                <w:rFonts w:ascii="Times" w:eastAsia="Times New Roman" w:hAnsi="Times" w:cs="Calibri"/>
                <w:color w:val="000000" w:themeColor="text1"/>
              </w:rPr>
              <w:t>3-16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○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BFF6" w14:textId="3ACD88C1" w:rsidR="00E11EA1" w:rsidRPr="00ED3612" w:rsidRDefault="00ED3612" w:rsidP="00ED3612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>
              <w:rPr>
                <w:rFonts w:ascii="Times" w:eastAsia="Times New Roman" w:hAnsi="Times" w:cs="Calibri"/>
                <w:color w:val="000000" w:themeColor="text1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FF5A4" w14:textId="7A042CFA" w:rsidR="00E11EA1" w:rsidRPr="00ED3612" w:rsidRDefault="00ED3612" w:rsidP="00ED3612">
            <w:pPr>
              <w:jc w:val="center"/>
              <w:rPr>
                <w:rFonts w:ascii="Times" w:eastAsia="Times New Roman" w:hAnsi="Times" w:cs="Calibri"/>
                <w:color w:val="000000" w:themeColor="text1"/>
              </w:rPr>
            </w:pPr>
            <w:r>
              <w:rPr>
                <w:rFonts w:ascii="Times" w:eastAsia="Times New Roman" w:hAnsi="Times" w:cs="Calibri"/>
                <w:color w:val="000000" w:themeColor="text1"/>
              </w:rPr>
              <w:t>-</w:t>
            </w:r>
          </w:p>
        </w:tc>
      </w:tr>
    </w:tbl>
    <w:p w14:paraId="429366D8" w14:textId="77777777" w:rsidR="00E11EA1" w:rsidRPr="00ED3612" w:rsidRDefault="00E11EA1" w:rsidP="00E11EA1">
      <w:pPr>
        <w:jc w:val="both"/>
        <w:rPr>
          <w:rFonts w:ascii="Times" w:hAnsi="Times"/>
          <w:color w:val="000000" w:themeColor="text1"/>
        </w:rPr>
      </w:pPr>
    </w:p>
    <w:p w14:paraId="2BDD43B0" w14:textId="77777777" w:rsidR="00E11EA1" w:rsidRPr="00ED3612" w:rsidRDefault="00E11EA1" w:rsidP="00E11EA1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D3612">
        <w:rPr>
          <w:rFonts w:ascii="Times" w:hAnsi="Times"/>
          <w:color w:val="000000" w:themeColor="text1"/>
        </w:rPr>
        <w:t>Supplementary Table 1</w:t>
      </w:r>
      <w:r w:rsidRPr="00ED3612">
        <w:rPr>
          <w:rFonts w:ascii="Times New Roman" w:hAnsi="Times New Roman" w:cs="Times New Roman"/>
          <w:color w:val="000000" w:themeColor="text1"/>
        </w:rPr>
        <w:t xml:space="preserve">. 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Cardiac imaging settings for B-mode, M-mode, and PW Doppler-mode measurements</w:t>
      </w:r>
    </w:p>
    <w:p w14:paraId="0A9DA47E" w14:textId="5CBC38FC" w:rsidR="00ED73D3" w:rsidRPr="00ED3612" w:rsidRDefault="00ED73D3">
      <w:pPr>
        <w:rPr>
          <w:color w:val="000000" w:themeColor="text1"/>
        </w:rPr>
      </w:pPr>
    </w:p>
    <w:tbl>
      <w:tblPr>
        <w:tblW w:w="9200" w:type="dxa"/>
        <w:tblLook w:val="04A0" w:firstRow="1" w:lastRow="0" w:firstColumn="1" w:lastColumn="0" w:noHBand="0" w:noVBand="1"/>
      </w:tblPr>
      <w:tblGrid>
        <w:gridCol w:w="2717"/>
        <w:gridCol w:w="2174"/>
        <w:gridCol w:w="2093"/>
        <w:gridCol w:w="2216"/>
      </w:tblGrid>
      <w:tr w:rsidR="00ED3612" w:rsidRPr="00ED3612" w14:paraId="193ECA84" w14:textId="77777777" w:rsidTr="00B07030">
        <w:trPr>
          <w:trHeight w:val="320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55273" w14:textId="77777777" w:rsidR="00B07030" w:rsidRPr="00ED3612" w:rsidRDefault="00B07030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D18BE06" w14:textId="584FC13E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Cardiac functional parameters</w:t>
            </w:r>
          </w:p>
        </w:tc>
      </w:tr>
      <w:tr w:rsidR="00ED3612" w:rsidRPr="00ED3612" w14:paraId="2A42A206" w14:textId="77777777" w:rsidTr="00ED3612"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7B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B893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WT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CDD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K5-Edn3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275E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Kit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Wv</w:t>
            </w:r>
          </w:p>
        </w:tc>
      </w:tr>
      <w:tr w:rsidR="00ED3612" w:rsidRPr="00ED3612" w14:paraId="235A1E68" w14:textId="77777777" w:rsidTr="00ED3612">
        <w:trPr>
          <w:trHeight w:val="68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7800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Fraction Shortening (%)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7E3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30.97±9.32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6170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34.78±12.06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9A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28.51±8.26</w:t>
            </w:r>
          </w:p>
        </w:tc>
      </w:tr>
      <w:tr w:rsidR="00ED3612" w:rsidRPr="00ED3612" w14:paraId="2CE96718" w14:textId="77777777" w:rsidTr="00ED3612">
        <w:trPr>
          <w:trHeight w:val="34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4FDA" w14:textId="493BF40C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Stroke Volume (</w:t>
            </w:r>
            <w:r w:rsidR="00CD5857"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µ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306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31.99±8.21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5022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29.22±6.14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01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31.18±5.19</w:t>
            </w:r>
          </w:p>
        </w:tc>
      </w:tr>
      <w:tr w:rsidR="00ED3612" w:rsidRPr="00ED3612" w14:paraId="48B00AB5" w14:textId="77777777" w:rsidTr="00ED3612">
        <w:trPr>
          <w:trHeight w:val="34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DD69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Ejection Fraction (%)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8E1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59.97±10.59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415F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64.31±8.80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6F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57.79±8.11</w:t>
            </w:r>
          </w:p>
        </w:tc>
      </w:tr>
      <w:tr w:rsidR="00ED3612" w:rsidRPr="00ED3612" w14:paraId="3058D28D" w14:textId="77777777" w:rsidTr="00ED3612">
        <w:trPr>
          <w:trHeight w:val="34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9095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E/A ratio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5AE6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1.48±0.53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214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1.35±0.43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F7C2" w14:textId="6A4FB720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1.95±0.41 </w:t>
            </w:r>
            <w:r w:rsidR="00273DA6"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+</w:t>
            </w:r>
          </w:p>
        </w:tc>
      </w:tr>
      <w:tr w:rsidR="00ED3612" w:rsidRPr="00ED3612" w14:paraId="32D92403" w14:textId="77777777" w:rsidTr="00ED3612">
        <w:trPr>
          <w:trHeight w:val="34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357A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Ejection Time (ms)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636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54.18±4.00 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8D2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42.27±9.15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EABC" w14:textId="13C79D48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54.85±7.21 </w:t>
            </w:r>
            <w:r w:rsidR="00273DA6"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sym w:font="Symbol" w:char="F023"/>
            </w:r>
          </w:p>
        </w:tc>
      </w:tr>
      <w:tr w:rsidR="00ED3612" w:rsidRPr="00ED3612" w14:paraId="71A56A9A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4847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Myocardium performance index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A6A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0.62±0.06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47B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0.88±0.57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D8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0.56±0.08</w:t>
            </w:r>
          </w:p>
        </w:tc>
      </w:tr>
      <w:tr w:rsidR="00ED3612" w:rsidRPr="00ED3612" w14:paraId="099A9950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D45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mass (mg)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AC7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70.54±19.93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AF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61.78±14.39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20C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65.03±11.38</w:t>
            </w:r>
          </w:p>
        </w:tc>
      </w:tr>
      <w:tr w:rsidR="00ED3612" w:rsidRPr="00ED3612" w14:paraId="3DB059DB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0D2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Peak AoV pressure (mmHg)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78F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4.89±2.37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F91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7.23±3.77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AAA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6.41±2.38</w:t>
            </w:r>
          </w:p>
        </w:tc>
      </w:tr>
      <w:tr w:rsidR="00ED3612" w:rsidRPr="00ED3612" w14:paraId="01641629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0A97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Mean AoV velocity (mm/s)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092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535.27±131.25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6C1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644.27±159.54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92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614.74±80.71</w:t>
            </w:r>
          </w:p>
        </w:tc>
      </w:tr>
      <w:tr w:rsidR="00ED3612" w:rsidRPr="00ED3612" w14:paraId="0C47D431" w14:textId="77777777" w:rsidTr="00ED3612">
        <w:trPr>
          <w:trHeight w:val="340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6B5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VTI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073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41.1±9.80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98E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42.70±9.62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B508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48.02±6.92</w:t>
            </w:r>
          </w:p>
        </w:tc>
      </w:tr>
      <w:tr w:rsidR="00ED3612" w:rsidRPr="00ED3612" w14:paraId="201A2CC9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1EF0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Peak AoV velocity (mm/s)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D70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1094.13±288.26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9C5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1324.80±373.41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A5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1265.75±227.69</w:t>
            </w:r>
          </w:p>
        </w:tc>
      </w:tr>
      <w:tr w:rsidR="00ED3612" w:rsidRPr="00ED3612" w14:paraId="6C0AE1B4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D2F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Velocity across the AoV (mm/s)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1676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1075.1±282.39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42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1302.37±363.41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3D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1248.45±228.6</w:t>
            </w:r>
          </w:p>
        </w:tc>
      </w:tr>
      <w:tr w:rsidR="00ED3612" w:rsidRPr="00ED3612" w14:paraId="1C5F2851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E3D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Isovolumic contraction time (ms)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11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15.3±2.8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7391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15.42±4.3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6E52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13.36±1.94</w:t>
            </w:r>
          </w:p>
        </w:tc>
      </w:tr>
      <w:tr w:rsidR="00ED3612" w:rsidRPr="00ED3612" w14:paraId="32F224B8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6DD1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Isovolumic relaxation time (ms)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BDC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18.64±2.64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B7C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18.13±8.26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676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17.12±2.4</w:t>
            </w:r>
          </w:p>
        </w:tc>
      </w:tr>
      <w:tr w:rsidR="00ED3612" w:rsidRPr="00ED3612" w14:paraId="16E0C614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73F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Left ventricular relative wall index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5B8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0.33±0.05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AB0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0.38±0.1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FD7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0.34±0.06</w:t>
            </w:r>
          </w:p>
        </w:tc>
      </w:tr>
      <w:tr w:rsidR="00ED3612" w:rsidRPr="00ED3612" w14:paraId="0E766E3A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CCE" w14:textId="6D1BA2DC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volume during diastole (</w:t>
            </w:r>
            <w:r w:rsidR="00CD5857"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µ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35DF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66.11±20.7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A07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57.08±15.74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FF5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63.7±15.45</w:t>
            </w:r>
          </w:p>
        </w:tc>
      </w:tr>
      <w:tr w:rsidR="00ED3612" w:rsidRPr="00ED3612" w14:paraId="7981EDA4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0D6" w14:textId="38A53834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volume during systole (</w:t>
            </w:r>
            <w:r w:rsidR="00CD5857"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µ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3A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29.75±16.38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FC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22.50±11.84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712F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30.06±13.3</w:t>
            </w:r>
          </w:p>
        </w:tc>
      </w:tr>
      <w:tr w:rsidR="00ED3612" w:rsidRPr="00ED3612" w14:paraId="03E42D2D" w14:textId="77777777" w:rsidTr="00ED3612">
        <w:trPr>
          <w:trHeight w:val="102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70E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internal diameter in diastole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BE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3.86±0.53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C97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3.64±0.43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6A9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3.82±0.39</w:t>
            </w:r>
          </w:p>
        </w:tc>
      </w:tr>
      <w:tr w:rsidR="00ED3612" w:rsidRPr="00ED3612" w14:paraId="52719635" w14:textId="77777777" w:rsidTr="00ED3612">
        <w:trPr>
          <w:trHeight w:val="80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D6A9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internal diameter in systole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FDE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2.7±0.69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EE4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2.41±0.64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89D5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2.75±0.55</w:t>
            </w:r>
          </w:p>
        </w:tc>
      </w:tr>
      <w:tr w:rsidR="00ED3612" w:rsidRPr="00ED3612" w14:paraId="7BF3DBE0" w14:textId="77777777" w:rsidTr="00ED3612">
        <w:trPr>
          <w:trHeight w:val="955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4352" w14:textId="23A8190D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posterior wall thickness in dia</w:t>
            </w:r>
            <w:r w:rsidR="007A54DC"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95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0.64±0.09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CF2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0.67±0.13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4974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0.65±0.07</w:t>
            </w:r>
          </w:p>
        </w:tc>
      </w:tr>
      <w:tr w:rsidR="00ED3612" w:rsidRPr="00ED3612" w14:paraId="100C14FE" w14:textId="77777777" w:rsidTr="00ED3612">
        <w:trPr>
          <w:trHeight w:val="928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06D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Left ventricular posterior wall thickness in systole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DFC6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0.99±.0.18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712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1.07±0.19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47F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0.94±0.22</w:t>
            </w:r>
          </w:p>
        </w:tc>
      </w:tr>
      <w:tr w:rsidR="00ED3612" w:rsidRPr="00ED3612" w14:paraId="273549A9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1F94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Interventricular septum in diastole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94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0.68±0.11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8EBD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0.62±0.08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2E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0.63±0.07</w:t>
            </w:r>
          </w:p>
        </w:tc>
      </w:tr>
      <w:tr w:rsidR="00ED3612" w:rsidRPr="00ED3612" w14:paraId="12B08B80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A80B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Interventricular septum in systole (mm)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8B0F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1.01±0.21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8DB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1.06±0.23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FB33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0.97±0.15</w:t>
            </w:r>
          </w:p>
        </w:tc>
      </w:tr>
      <w:tr w:rsidR="00ED3612" w:rsidRPr="00ED3612" w14:paraId="34F39E68" w14:textId="77777777" w:rsidTr="00ED3612">
        <w:trPr>
          <w:trHeight w:val="32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E58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8427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B25F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B710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3612" w:rsidRPr="00ED3612" w14:paraId="79E67436" w14:textId="77777777" w:rsidTr="00B07030">
        <w:trPr>
          <w:trHeight w:val="320"/>
        </w:trPr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BB1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Tail cuff measurements</w:t>
            </w:r>
          </w:p>
        </w:tc>
      </w:tr>
      <w:tr w:rsidR="00ED3612" w:rsidRPr="00ED3612" w14:paraId="7026ED85" w14:textId="77777777" w:rsidTr="00ED3612">
        <w:trPr>
          <w:trHeight w:val="360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C6C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C389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WT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69D7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K5-Edn3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1560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Kit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Wv</w:t>
            </w:r>
          </w:p>
        </w:tc>
      </w:tr>
      <w:tr w:rsidR="00ED3612" w:rsidRPr="00ED3612" w14:paraId="22687F5E" w14:textId="77777777" w:rsidTr="00ED3612">
        <w:trPr>
          <w:trHeight w:val="3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0C04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Heart rate (beats/min)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C34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486.57±40.94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69C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560.05±32.64 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***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7F67" w14:textId="7FB9B55A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571.78±53.49 </w:t>
            </w:r>
            <w:r w:rsidR="00C20E7A"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+++</w:t>
            </w:r>
          </w:p>
        </w:tc>
      </w:tr>
      <w:tr w:rsidR="00ED3612" w:rsidRPr="00ED3612" w14:paraId="6982F9FC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F0D3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Systolic pressure (mmHg)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808E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129.98±27.68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061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135.45±26.78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615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143.14±17.11</w:t>
            </w:r>
          </w:p>
        </w:tc>
      </w:tr>
      <w:tr w:rsidR="00ED3612" w:rsidRPr="00ED3612" w14:paraId="6147996C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7E3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Diastolic pressure (mmHg)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C85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109.99±28.72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CA3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109.52±25.50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D9BA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120.67±13.60</w:t>
            </w:r>
          </w:p>
        </w:tc>
      </w:tr>
      <w:tr w:rsidR="00ED3612" w:rsidRPr="00ED3612" w14:paraId="0D880233" w14:textId="77777777" w:rsidTr="00ED3612">
        <w:trPr>
          <w:trHeight w:val="681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B0F5" w14:textId="77777777" w:rsidR="00ED73D3" w:rsidRPr="00ED3612" w:rsidRDefault="00ED73D3" w:rsidP="00ED73D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Heart weight to body weight ratio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6FFC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>0.76±0.09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ED3D" w14:textId="77777777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0.90±0.13 </w:t>
            </w:r>
            <w:r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*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D13" w14:textId="326089E4" w:rsidR="00ED73D3" w:rsidRPr="00ED3612" w:rsidRDefault="00ED73D3" w:rsidP="00ED73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361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0.97±0.14 </w:t>
            </w:r>
            <w:r w:rsidR="00C20E7A" w:rsidRPr="00ED3612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++</w:t>
            </w:r>
          </w:p>
        </w:tc>
      </w:tr>
    </w:tbl>
    <w:p w14:paraId="3BE2F2C4" w14:textId="492C3A96" w:rsidR="00ED73D3" w:rsidRPr="00ED3612" w:rsidRDefault="00ED73D3">
      <w:pPr>
        <w:rPr>
          <w:color w:val="000000" w:themeColor="text1"/>
        </w:rPr>
      </w:pPr>
    </w:p>
    <w:p w14:paraId="4AD0547A" w14:textId="1A3EDAD9" w:rsidR="00C20E7A" w:rsidRPr="00ED3612" w:rsidRDefault="00C20E7A" w:rsidP="00C20E7A">
      <w:pPr>
        <w:rPr>
          <w:rFonts w:ascii="Times" w:hAnsi="Times"/>
          <w:color w:val="000000" w:themeColor="text1"/>
        </w:rPr>
      </w:pPr>
      <w:r w:rsidRPr="00ED3612">
        <w:rPr>
          <w:rFonts w:ascii="Times" w:hAnsi="Times"/>
          <w:color w:val="000000" w:themeColor="text1"/>
        </w:rPr>
        <w:t xml:space="preserve">Supplementary Table 2. Functional assessment of mice with </w:t>
      </w:r>
      <w:r w:rsidR="00EA32E4">
        <w:rPr>
          <w:rFonts w:ascii="Times" w:hAnsi="Times"/>
          <w:color w:val="000000" w:themeColor="text1"/>
        </w:rPr>
        <w:t xml:space="preserve">a </w:t>
      </w:r>
      <w:r w:rsidRPr="00ED3612">
        <w:rPr>
          <w:rFonts w:ascii="Times" w:hAnsi="Times"/>
          <w:color w:val="000000" w:themeColor="text1"/>
        </w:rPr>
        <w:t xml:space="preserve">variation of pigment in the aortic valve. </w:t>
      </w:r>
      <w:r w:rsidRPr="00ED3612">
        <w:rPr>
          <w:rFonts w:ascii="Times" w:hAnsi="Times"/>
          <w:color w:val="000000" w:themeColor="text1"/>
          <w:vertAlign w:val="superscript"/>
        </w:rPr>
        <w:t>*</w:t>
      </w:r>
      <w:r w:rsidRPr="00ED3612">
        <w:rPr>
          <w:rFonts w:ascii="Times" w:hAnsi="Times"/>
          <w:color w:val="000000" w:themeColor="text1"/>
        </w:rPr>
        <w:t xml:space="preserve">compare WT vs. K5-Edn3 </w:t>
      </w:r>
      <w:r w:rsidRPr="00ED3612">
        <w:rPr>
          <w:rFonts w:ascii="Times" w:hAnsi="Times"/>
          <w:color w:val="000000" w:themeColor="text1"/>
          <w:vertAlign w:val="superscript"/>
        </w:rPr>
        <w:t>#</w:t>
      </w:r>
      <w:r w:rsidRPr="00ED3612">
        <w:rPr>
          <w:rFonts w:ascii="Times" w:hAnsi="Times"/>
          <w:color w:val="000000" w:themeColor="text1"/>
        </w:rPr>
        <w:t>compare K5-Edn3 vs. Kit</w:t>
      </w:r>
      <w:r w:rsidRPr="00ED3612">
        <w:rPr>
          <w:rFonts w:ascii="Times" w:hAnsi="Times"/>
          <w:color w:val="000000" w:themeColor="text1"/>
          <w:vertAlign w:val="superscript"/>
        </w:rPr>
        <w:t xml:space="preserve">Wv </w:t>
      </w:r>
      <w:r w:rsidRPr="00ED3612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compare WT vs. Kit</w:t>
      </w:r>
      <w:r w:rsidRPr="00ED3612">
        <w:rPr>
          <w:rFonts w:ascii="Times New Roman" w:eastAsia="Times New Roman" w:hAnsi="Times New Roman" w:cs="Times New Roman"/>
          <w:color w:val="000000" w:themeColor="text1"/>
          <w:vertAlign w:val="superscript"/>
        </w:rPr>
        <w:t>Wv</w:t>
      </w:r>
      <w:r w:rsidRPr="00ED3612">
        <w:rPr>
          <w:rFonts w:ascii="Times New Roman" w:eastAsia="Times New Roman" w:hAnsi="Times New Roman" w:cs="Times New Roman"/>
          <w:color w:val="000000" w:themeColor="text1"/>
        </w:rPr>
        <w:t>.</w:t>
      </w:r>
      <w:r w:rsidRPr="00ED3612">
        <w:rPr>
          <w:rFonts w:ascii="Times" w:hAnsi="Times"/>
          <w:color w:val="000000" w:themeColor="text1"/>
        </w:rPr>
        <w:t xml:space="preserve"> Mean ± SEM shown. N=7 animals per group.</w:t>
      </w:r>
    </w:p>
    <w:p w14:paraId="40D06B6D" w14:textId="77777777" w:rsidR="00ED73D3" w:rsidRPr="00ED3612" w:rsidRDefault="00ED73D3">
      <w:pPr>
        <w:rPr>
          <w:color w:val="000000" w:themeColor="text1"/>
        </w:rPr>
      </w:pPr>
    </w:p>
    <w:sectPr w:rsidR="00ED73D3" w:rsidRPr="00ED3612" w:rsidSect="007F2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3"/>
    <w:rsid w:val="00003D98"/>
    <w:rsid w:val="00004A8E"/>
    <w:rsid w:val="00005F99"/>
    <w:rsid w:val="00013939"/>
    <w:rsid w:val="00032142"/>
    <w:rsid w:val="000405A5"/>
    <w:rsid w:val="00043D24"/>
    <w:rsid w:val="00050D04"/>
    <w:rsid w:val="0005406D"/>
    <w:rsid w:val="00054456"/>
    <w:rsid w:val="00061BE6"/>
    <w:rsid w:val="000713BE"/>
    <w:rsid w:val="00074687"/>
    <w:rsid w:val="00082B46"/>
    <w:rsid w:val="00082C10"/>
    <w:rsid w:val="000867E0"/>
    <w:rsid w:val="000B3E42"/>
    <w:rsid w:val="000B73B8"/>
    <w:rsid w:val="000C78EA"/>
    <w:rsid w:val="000E1377"/>
    <w:rsid w:val="00110587"/>
    <w:rsid w:val="00121D76"/>
    <w:rsid w:val="001636AC"/>
    <w:rsid w:val="00163A9D"/>
    <w:rsid w:val="001659AB"/>
    <w:rsid w:val="00167E77"/>
    <w:rsid w:val="001768D4"/>
    <w:rsid w:val="001804FE"/>
    <w:rsid w:val="001905D7"/>
    <w:rsid w:val="00191BA6"/>
    <w:rsid w:val="0019480C"/>
    <w:rsid w:val="001A0372"/>
    <w:rsid w:val="001A34BF"/>
    <w:rsid w:val="001A4BED"/>
    <w:rsid w:val="00202479"/>
    <w:rsid w:val="00221A2A"/>
    <w:rsid w:val="0022251B"/>
    <w:rsid w:val="00223DD8"/>
    <w:rsid w:val="00234F35"/>
    <w:rsid w:val="002464AF"/>
    <w:rsid w:val="0026259E"/>
    <w:rsid w:val="00272386"/>
    <w:rsid w:val="00273DA6"/>
    <w:rsid w:val="0029582A"/>
    <w:rsid w:val="002A696C"/>
    <w:rsid w:val="002C5930"/>
    <w:rsid w:val="002C6F11"/>
    <w:rsid w:val="002E3C51"/>
    <w:rsid w:val="002E4A3B"/>
    <w:rsid w:val="00306943"/>
    <w:rsid w:val="00331AC9"/>
    <w:rsid w:val="00371D77"/>
    <w:rsid w:val="003B3C34"/>
    <w:rsid w:val="003B578C"/>
    <w:rsid w:val="003C2B0D"/>
    <w:rsid w:val="003E0265"/>
    <w:rsid w:val="003E55DC"/>
    <w:rsid w:val="003E58E5"/>
    <w:rsid w:val="004013E6"/>
    <w:rsid w:val="004116D6"/>
    <w:rsid w:val="0041353B"/>
    <w:rsid w:val="00417735"/>
    <w:rsid w:val="00445B40"/>
    <w:rsid w:val="004467DC"/>
    <w:rsid w:val="00476CB5"/>
    <w:rsid w:val="00485474"/>
    <w:rsid w:val="004A6C25"/>
    <w:rsid w:val="004B01F1"/>
    <w:rsid w:val="004C14E5"/>
    <w:rsid w:val="004C6B93"/>
    <w:rsid w:val="004D6459"/>
    <w:rsid w:val="004E2179"/>
    <w:rsid w:val="00505CEC"/>
    <w:rsid w:val="0050799F"/>
    <w:rsid w:val="00513A2E"/>
    <w:rsid w:val="00516655"/>
    <w:rsid w:val="005232F5"/>
    <w:rsid w:val="0052498F"/>
    <w:rsid w:val="00530C9D"/>
    <w:rsid w:val="0053696D"/>
    <w:rsid w:val="0055412F"/>
    <w:rsid w:val="00554D0C"/>
    <w:rsid w:val="005676E3"/>
    <w:rsid w:val="00582DD9"/>
    <w:rsid w:val="00590C24"/>
    <w:rsid w:val="005B3694"/>
    <w:rsid w:val="005C4904"/>
    <w:rsid w:val="005F504A"/>
    <w:rsid w:val="005F68C1"/>
    <w:rsid w:val="00604950"/>
    <w:rsid w:val="006542B0"/>
    <w:rsid w:val="00660B4F"/>
    <w:rsid w:val="00684A93"/>
    <w:rsid w:val="006D0EF7"/>
    <w:rsid w:val="006E4906"/>
    <w:rsid w:val="006E6BB9"/>
    <w:rsid w:val="006F6A45"/>
    <w:rsid w:val="00711281"/>
    <w:rsid w:val="00713F7C"/>
    <w:rsid w:val="007174E5"/>
    <w:rsid w:val="00724650"/>
    <w:rsid w:val="00753307"/>
    <w:rsid w:val="007602BB"/>
    <w:rsid w:val="0076226A"/>
    <w:rsid w:val="00767820"/>
    <w:rsid w:val="00785B60"/>
    <w:rsid w:val="00796A39"/>
    <w:rsid w:val="007A0601"/>
    <w:rsid w:val="007A35A5"/>
    <w:rsid w:val="007A54DC"/>
    <w:rsid w:val="007A59AB"/>
    <w:rsid w:val="007D7526"/>
    <w:rsid w:val="007E0B33"/>
    <w:rsid w:val="007E50BA"/>
    <w:rsid w:val="007F2983"/>
    <w:rsid w:val="008160A9"/>
    <w:rsid w:val="00846FFC"/>
    <w:rsid w:val="008535AE"/>
    <w:rsid w:val="00856731"/>
    <w:rsid w:val="00866188"/>
    <w:rsid w:val="00873208"/>
    <w:rsid w:val="00874A58"/>
    <w:rsid w:val="00886516"/>
    <w:rsid w:val="00896330"/>
    <w:rsid w:val="008B29FB"/>
    <w:rsid w:val="008B3ABA"/>
    <w:rsid w:val="008C56F2"/>
    <w:rsid w:val="008C68F7"/>
    <w:rsid w:val="008D0011"/>
    <w:rsid w:val="008D5D58"/>
    <w:rsid w:val="0090345F"/>
    <w:rsid w:val="00905D54"/>
    <w:rsid w:val="00910D71"/>
    <w:rsid w:val="00911387"/>
    <w:rsid w:val="009231FA"/>
    <w:rsid w:val="00926663"/>
    <w:rsid w:val="00934A78"/>
    <w:rsid w:val="00942799"/>
    <w:rsid w:val="0094323C"/>
    <w:rsid w:val="00957F27"/>
    <w:rsid w:val="00966F43"/>
    <w:rsid w:val="009705C1"/>
    <w:rsid w:val="0097253A"/>
    <w:rsid w:val="00981D93"/>
    <w:rsid w:val="009A7D88"/>
    <w:rsid w:val="009C08C4"/>
    <w:rsid w:val="009F5FFD"/>
    <w:rsid w:val="00A10758"/>
    <w:rsid w:val="00A463AE"/>
    <w:rsid w:val="00A471B3"/>
    <w:rsid w:val="00A55993"/>
    <w:rsid w:val="00A559F9"/>
    <w:rsid w:val="00A615AA"/>
    <w:rsid w:val="00A6226E"/>
    <w:rsid w:val="00A62E59"/>
    <w:rsid w:val="00A756FC"/>
    <w:rsid w:val="00A81189"/>
    <w:rsid w:val="00A84FC9"/>
    <w:rsid w:val="00A862C2"/>
    <w:rsid w:val="00AA5F2E"/>
    <w:rsid w:val="00AB228D"/>
    <w:rsid w:val="00AB7139"/>
    <w:rsid w:val="00AE691E"/>
    <w:rsid w:val="00AF0A1B"/>
    <w:rsid w:val="00AF4929"/>
    <w:rsid w:val="00B07030"/>
    <w:rsid w:val="00B2217B"/>
    <w:rsid w:val="00B370D1"/>
    <w:rsid w:val="00B418C5"/>
    <w:rsid w:val="00B601B2"/>
    <w:rsid w:val="00B64137"/>
    <w:rsid w:val="00B74D07"/>
    <w:rsid w:val="00B82E02"/>
    <w:rsid w:val="00B84498"/>
    <w:rsid w:val="00B91932"/>
    <w:rsid w:val="00B92042"/>
    <w:rsid w:val="00BB464C"/>
    <w:rsid w:val="00BC7B83"/>
    <w:rsid w:val="00BD0029"/>
    <w:rsid w:val="00BD55CC"/>
    <w:rsid w:val="00C015A2"/>
    <w:rsid w:val="00C1059C"/>
    <w:rsid w:val="00C12422"/>
    <w:rsid w:val="00C14D03"/>
    <w:rsid w:val="00C20E7A"/>
    <w:rsid w:val="00C331D2"/>
    <w:rsid w:val="00C40415"/>
    <w:rsid w:val="00C55802"/>
    <w:rsid w:val="00C5669F"/>
    <w:rsid w:val="00C644AD"/>
    <w:rsid w:val="00C65665"/>
    <w:rsid w:val="00C6592C"/>
    <w:rsid w:val="00C7089E"/>
    <w:rsid w:val="00C81D2A"/>
    <w:rsid w:val="00C832B0"/>
    <w:rsid w:val="00CA7679"/>
    <w:rsid w:val="00CB3595"/>
    <w:rsid w:val="00CB5615"/>
    <w:rsid w:val="00CD2EA1"/>
    <w:rsid w:val="00CD5857"/>
    <w:rsid w:val="00CE4147"/>
    <w:rsid w:val="00CE7B66"/>
    <w:rsid w:val="00CF2277"/>
    <w:rsid w:val="00D17DBB"/>
    <w:rsid w:val="00D250E8"/>
    <w:rsid w:val="00D32033"/>
    <w:rsid w:val="00D41E44"/>
    <w:rsid w:val="00D70129"/>
    <w:rsid w:val="00D940C7"/>
    <w:rsid w:val="00DA186F"/>
    <w:rsid w:val="00DD0769"/>
    <w:rsid w:val="00DF47FF"/>
    <w:rsid w:val="00DF6AA2"/>
    <w:rsid w:val="00E02C1E"/>
    <w:rsid w:val="00E11EA1"/>
    <w:rsid w:val="00E12E59"/>
    <w:rsid w:val="00E16D7D"/>
    <w:rsid w:val="00E25681"/>
    <w:rsid w:val="00E534AE"/>
    <w:rsid w:val="00E7454C"/>
    <w:rsid w:val="00E749B4"/>
    <w:rsid w:val="00EA32E4"/>
    <w:rsid w:val="00EB3C20"/>
    <w:rsid w:val="00EB3DCD"/>
    <w:rsid w:val="00EC4B3F"/>
    <w:rsid w:val="00ED23FE"/>
    <w:rsid w:val="00ED2B06"/>
    <w:rsid w:val="00ED2CA7"/>
    <w:rsid w:val="00ED3612"/>
    <w:rsid w:val="00ED5B6E"/>
    <w:rsid w:val="00ED61DF"/>
    <w:rsid w:val="00ED73D3"/>
    <w:rsid w:val="00EE44DB"/>
    <w:rsid w:val="00EE6C59"/>
    <w:rsid w:val="00F02048"/>
    <w:rsid w:val="00F11E77"/>
    <w:rsid w:val="00F536B7"/>
    <w:rsid w:val="00F55441"/>
    <w:rsid w:val="00F74E52"/>
    <w:rsid w:val="00F8147E"/>
    <w:rsid w:val="00F830FE"/>
    <w:rsid w:val="00F927E7"/>
    <w:rsid w:val="00F93E4F"/>
    <w:rsid w:val="00FB0C6C"/>
    <w:rsid w:val="00FB31E3"/>
    <w:rsid w:val="00FC0A20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CE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8461FF6-44E4-AA48-8B55-BDBC68A282C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snasim008@gmail.com</dc:creator>
  <cp:lastModifiedBy>Lidia Kos</cp:lastModifiedBy>
  <cp:revision>2</cp:revision>
  <dcterms:created xsi:type="dcterms:W3CDTF">2021-11-17T14:56:00Z</dcterms:created>
  <dcterms:modified xsi:type="dcterms:W3CDTF">2021-11-17T14:56:00Z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documentId_7774</vt:lpwstr>
  </property>
  <property fmtid="{D5CDD505-2E9C-101B-9397-08002B2CF9AE}" pid="3" name="grammarly_documentContext">
    <vt:lpwstr>{"goals":[],"domain":"general","emotions":[],"dialect":"american"}</vt:lpwstr>
  </property>
</Properties>
</file>