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90A1" w14:textId="5EAAAD29" w:rsidR="00007183" w:rsidRPr="001766C4" w:rsidRDefault="00007183" w:rsidP="00007183">
      <w:pPr>
        <w:rPr>
          <w:rFonts w:cs="Times New Roman"/>
        </w:rPr>
      </w:pPr>
      <w:r w:rsidRPr="001766C4">
        <w:rPr>
          <w:rFonts w:cs="Times New Roman"/>
        </w:rPr>
        <w:t xml:space="preserve">Table </w:t>
      </w:r>
      <w:r w:rsidR="0049081E">
        <w:rPr>
          <w:rFonts w:cs="Times New Roman"/>
        </w:rPr>
        <w:t>S</w:t>
      </w:r>
      <w:r w:rsidRPr="001766C4">
        <w:rPr>
          <w:rFonts w:cs="Times New Roman"/>
        </w:rPr>
        <w:t xml:space="preserve">1. Effects of </w:t>
      </w:r>
      <w:r>
        <w:rPr>
          <w:rFonts w:cs="Times New Roman"/>
        </w:rPr>
        <w:t>Background Variables on Adolescent Psychosocial Adjustment.</w:t>
      </w:r>
    </w:p>
    <w:tbl>
      <w:tblPr>
        <w:tblW w:w="139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543"/>
        <w:gridCol w:w="543"/>
        <w:gridCol w:w="545"/>
        <w:gridCol w:w="532"/>
        <w:gridCol w:w="12"/>
        <w:gridCol w:w="235"/>
        <w:gridCol w:w="562"/>
        <w:gridCol w:w="544"/>
        <w:gridCol w:w="547"/>
        <w:gridCol w:w="581"/>
        <w:gridCol w:w="199"/>
        <w:gridCol w:w="552"/>
        <w:gridCol w:w="544"/>
        <w:gridCol w:w="544"/>
        <w:gridCol w:w="553"/>
        <w:gridCol w:w="212"/>
        <w:gridCol w:w="544"/>
        <w:gridCol w:w="547"/>
        <w:gridCol w:w="544"/>
        <w:gridCol w:w="521"/>
        <w:gridCol w:w="217"/>
        <w:gridCol w:w="544"/>
        <w:gridCol w:w="544"/>
        <w:gridCol w:w="544"/>
        <w:gridCol w:w="553"/>
      </w:tblGrid>
      <w:tr w:rsidR="00007183" w:rsidRPr="00DA56B3" w14:paraId="66BB618C" w14:textId="77777777" w:rsidTr="00D328E2">
        <w:trPr>
          <w:cantSplit/>
          <w:trHeight w:val="847"/>
        </w:trPr>
        <w:tc>
          <w:tcPr>
            <w:tcW w:w="210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D06201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CA152" w14:textId="77777777" w:rsidR="0000718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Internalizing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  <w:p w14:paraId="11D5A24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symptoms</w:t>
            </w:r>
          </w:p>
        </w:tc>
        <w:tc>
          <w:tcPr>
            <w:tcW w:w="24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BF4F5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52A1E2" w14:textId="77777777" w:rsidR="00007183" w:rsidRPr="00E578FD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Inattention/hyperactivity </w:t>
            </w:r>
            <w:r w:rsidRPr="00E578FD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symptoms</w:t>
            </w:r>
          </w:p>
        </w:tc>
        <w:tc>
          <w:tcPr>
            <w:tcW w:w="1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90B3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CFBB42" w14:textId="77777777" w:rsidR="0000718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Anger control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  <w:p w14:paraId="094FA60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problems</w:t>
            </w:r>
          </w:p>
        </w:tc>
        <w:tc>
          <w:tcPr>
            <w:tcW w:w="2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A00B5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E0E5EC" w14:textId="77777777" w:rsidR="0000718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Substance</w:t>
            </w:r>
          </w:p>
          <w:p w14:paraId="53E1613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u</w:t>
            </w: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se</w:t>
            </w:r>
          </w:p>
        </w:tc>
        <w:tc>
          <w:tcPr>
            <w:tcW w:w="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5BEDC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BCA602" w14:textId="77777777" w:rsidR="0000718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Sexual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  <w:p w14:paraId="65396A9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risk-taking</w:t>
            </w:r>
          </w:p>
        </w:tc>
      </w:tr>
      <w:tr w:rsidR="00007183" w:rsidRPr="00DA56B3" w14:paraId="406D3AAF" w14:textId="77777777" w:rsidTr="00D328E2">
        <w:trPr>
          <w:cantSplit/>
          <w:trHeight w:val="847"/>
        </w:trPr>
        <w:tc>
          <w:tcPr>
            <w:tcW w:w="21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9A1C44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3B1F7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color w:val="111111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32EC0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9498B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B265D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FAA58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D088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color w:val="111111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2C1C3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447F9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DEBFF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77E60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BFD52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color w:val="111111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61581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7D4E3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2F328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B16F7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0E9BC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color w:val="111111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79D4F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EBD4C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4DE5D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76B73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5F20C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color w:val="111111"/>
                <w:sz w:val="20"/>
                <w:szCs w:val="20"/>
                <w:shd w:val="clear" w:color="auto" w:fill="FFFFFF"/>
              </w:rPr>
              <w:t>β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7958C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50502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20551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C0321E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007183" w:rsidRPr="00DA56B3" w14:paraId="752ABBEF" w14:textId="77777777" w:rsidTr="00D328E2">
        <w:trPr>
          <w:cantSplit/>
          <w:trHeight w:val="847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14:paraId="3971118F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ART status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BB677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0.00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7C921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0.01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FCC0F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828F7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.952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C62DE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DCE6A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-0.01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9FFF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2E17D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0.10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55CDC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.802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C32A8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422B9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-0.05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90324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-0.04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E68F0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0.04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09342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.328</w:t>
            </w:r>
          </w:p>
        </w:tc>
        <w:tc>
          <w:tcPr>
            <w:tcW w:w="21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23137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AD83E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AA3B6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-0.07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B62D1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EBE40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.623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97CE3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CFD10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-0.05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91DAD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-0.10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85753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EFD77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.475</w:t>
            </w:r>
          </w:p>
        </w:tc>
      </w:tr>
      <w:tr w:rsidR="00007183" w:rsidRPr="00DA56B3" w14:paraId="089773EA" w14:textId="77777777" w:rsidTr="00D328E2">
        <w:trPr>
          <w:cantSplit/>
          <w:trHeight w:val="847"/>
        </w:trPr>
        <w:tc>
          <w:tcPr>
            <w:tcW w:w="2104" w:type="dxa"/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14:paraId="0378C4D3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Adolescent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relationship status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23960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3ED63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-0.18</w:t>
            </w:r>
          </w:p>
        </w:tc>
        <w:tc>
          <w:tcPr>
            <w:tcW w:w="5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ADEA9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4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0E0D3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.155</w:t>
            </w:r>
          </w:p>
        </w:tc>
        <w:tc>
          <w:tcPr>
            <w:tcW w:w="2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1E70D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DCC5B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9A123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0.06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B990C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0.10</w:t>
            </w:r>
          </w:p>
        </w:tc>
        <w:tc>
          <w:tcPr>
            <w:tcW w:w="58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F5445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.548</w:t>
            </w:r>
          </w:p>
        </w:tc>
        <w:tc>
          <w:tcPr>
            <w:tcW w:w="19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4ABFA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A7369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0.01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E73A2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0.01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AE62C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0.04</w:t>
            </w: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0F3A4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.860</w:t>
            </w:r>
          </w:p>
        </w:tc>
        <w:tc>
          <w:tcPr>
            <w:tcW w:w="2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3B065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6FF88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0.03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9E053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3C102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45D42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.696</w:t>
            </w:r>
          </w:p>
        </w:tc>
        <w:tc>
          <w:tcPr>
            <w:tcW w:w="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8F0B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68D70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-0.08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0D38E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-0.18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BB85A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EC196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.166</w:t>
            </w:r>
          </w:p>
        </w:tc>
      </w:tr>
      <w:tr w:rsidR="00007183" w:rsidRPr="00DA56B3" w14:paraId="48E2A04B" w14:textId="77777777" w:rsidTr="00D328E2">
        <w:trPr>
          <w:cantSplit/>
          <w:trHeight w:val="847"/>
        </w:trPr>
        <w:tc>
          <w:tcPr>
            <w:tcW w:w="2104" w:type="dxa"/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14:paraId="35469646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Parental divorce 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FFD31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0.07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522D7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0.21</w:t>
            </w:r>
          </w:p>
        </w:tc>
        <w:tc>
          <w:tcPr>
            <w:tcW w:w="5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A7F24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4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0717F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.128</w:t>
            </w:r>
          </w:p>
        </w:tc>
        <w:tc>
          <w:tcPr>
            <w:tcW w:w="2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2E333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6FCDC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0.09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36FF0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0.18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262F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0.10</w:t>
            </w:r>
          </w:p>
        </w:tc>
        <w:tc>
          <w:tcPr>
            <w:tcW w:w="58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FAA89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.075</w:t>
            </w:r>
          </w:p>
        </w:tc>
        <w:tc>
          <w:tcPr>
            <w:tcW w:w="19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2392F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CAA25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C3BB4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0.12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F5656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0.05</w:t>
            </w: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3FA72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.009</w:t>
            </w:r>
          </w:p>
        </w:tc>
        <w:tc>
          <w:tcPr>
            <w:tcW w:w="2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FCB71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80BF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BF3E0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0.28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B305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3B450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.045</w:t>
            </w:r>
          </w:p>
        </w:tc>
        <w:tc>
          <w:tcPr>
            <w:tcW w:w="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D36D2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0ECAE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0.09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89FA8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0.20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5D9A6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F987F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.138</w:t>
            </w:r>
          </w:p>
        </w:tc>
      </w:tr>
      <w:tr w:rsidR="00007183" w:rsidRPr="00DA56B3" w14:paraId="792DC914" w14:textId="77777777" w:rsidTr="00D328E2">
        <w:trPr>
          <w:cantSplit/>
          <w:trHeight w:val="847"/>
        </w:trPr>
        <w:tc>
          <w:tcPr>
            <w:tcW w:w="2104" w:type="dxa"/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14:paraId="392C3D9B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Adolescent gender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442D6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-0.37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8F07A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-1.02</w:t>
            </w:r>
          </w:p>
        </w:tc>
        <w:tc>
          <w:tcPr>
            <w:tcW w:w="5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24C0A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0.12</w:t>
            </w:r>
          </w:p>
        </w:tc>
        <w:tc>
          <w:tcPr>
            <w:tcW w:w="54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0052C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.000</w:t>
            </w:r>
          </w:p>
        </w:tc>
        <w:tc>
          <w:tcPr>
            <w:tcW w:w="2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73D93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6196D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-0.17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E4408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-0.31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8C11A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0.09</w:t>
            </w:r>
          </w:p>
        </w:tc>
        <w:tc>
          <w:tcPr>
            <w:tcW w:w="58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8EC7C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.000</w:t>
            </w:r>
          </w:p>
        </w:tc>
        <w:tc>
          <w:tcPr>
            <w:tcW w:w="19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93046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C6E2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-0.14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B9E73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-0.11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E8132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0.04</w:t>
            </w: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33A7C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.007</w:t>
            </w:r>
          </w:p>
        </w:tc>
        <w:tc>
          <w:tcPr>
            <w:tcW w:w="2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B7F9E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FBA5E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0.18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8809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0.37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09C30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8B906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.009</w:t>
            </w:r>
          </w:p>
        </w:tc>
        <w:tc>
          <w:tcPr>
            <w:tcW w:w="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3077D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736A9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-0.12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CC44A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-0.25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7347F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0.14</w:t>
            </w:r>
          </w:p>
        </w:tc>
        <w:tc>
          <w:tcPr>
            <w:tcW w:w="5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9C7B2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.074</w:t>
            </w:r>
          </w:p>
        </w:tc>
      </w:tr>
      <w:tr w:rsidR="00007183" w:rsidRPr="00DA56B3" w14:paraId="310833AC" w14:textId="77777777" w:rsidTr="00D328E2">
        <w:trPr>
          <w:cantSplit/>
          <w:trHeight w:val="847"/>
        </w:trPr>
        <w:tc>
          <w:tcPr>
            <w:tcW w:w="2104" w:type="dxa"/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14:paraId="6C8807C3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Adolescent age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>(in years)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9EBBA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0.08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91BA3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0.25</w:t>
            </w:r>
          </w:p>
        </w:tc>
        <w:tc>
          <w:tcPr>
            <w:tcW w:w="5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224A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0.15</w:t>
            </w:r>
          </w:p>
        </w:tc>
        <w:tc>
          <w:tcPr>
            <w:tcW w:w="54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63FB0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.087</w:t>
            </w:r>
          </w:p>
        </w:tc>
        <w:tc>
          <w:tcPr>
            <w:tcW w:w="2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A0DF8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AD190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0.04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A64EE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0.09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2EC01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0.11</w:t>
            </w:r>
          </w:p>
        </w:tc>
        <w:tc>
          <w:tcPr>
            <w:tcW w:w="58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8B7AE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.442</w:t>
            </w:r>
          </w:p>
        </w:tc>
        <w:tc>
          <w:tcPr>
            <w:tcW w:w="19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F7069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C5002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0.12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A30F6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0.11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93211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0.05</w:t>
            </w: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6A1394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.022</w:t>
            </w:r>
          </w:p>
        </w:tc>
        <w:tc>
          <w:tcPr>
            <w:tcW w:w="2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7DD78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C229D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0.16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CAED3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0.36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FC7E2D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0.18</w:t>
            </w:r>
          </w:p>
        </w:tc>
        <w:tc>
          <w:tcPr>
            <w:tcW w:w="5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815A9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.043</w:t>
            </w:r>
          </w:p>
        </w:tc>
        <w:tc>
          <w:tcPr>
            <w:tcW w:w="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7D2F5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8D15C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0.24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A88C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0.53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AF222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0.16</w:t>
            </w:r>
          </w:p>
        </w:tc>
        <w:tc>
          <w:tcPr>
            <w:tcW w:w="5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BEDBEF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.001</w:t>
            </w:r>
          </w:p>
        </w:tc>
      </w:tr>
      <w:tr w:rsidR="00007183" w:rsidRPr="00DA56B3" w14:paraId="262F3685" w14:textId="77777777" w:rsidTr="00D328E2">
        <w:trPr>
          <w:cantSplit/>
          <w:trHeight w:val="847"/>
        </w:trPr>
        <w:tc>
          <w:tcPr>
            <w:tcW w:w="2104" w:type="dxa"/>
            <w:shd w:val="clear" w:color="auto" w:fill="auto"/>
            <w:noWrap/>
            <w:tcMar>
              <w:left w:w="57" w:type="dxa"/>
              <w:right w:w="0" w:type="dxa"/>
            </w:tcMar>
            <w:vAlign w:val="center"/>
            <w:hideMark/>
          </w:tcPr>
          <w:p w14:paraId="22B30AC7" w14:textId="77777777" w:rsidR="00007183" w:rsidRPr="00DA56B3" w:rsidRDefault="00007183" w:rsidP="00D328E2">
            <w:pPr>
              <w:spacing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20"/>
                <w:szCs w:val="20"/>
                <w:lang w:eastAsia="fi-FI"/>
              </w:rPr>
              <w:t xml:space="preserve">Adolescent education 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B13E1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-0.02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A81BB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-0.06</w:t>
            </w:r>
          </w:p>
        </w:tc>
        <w:tc>
          <w:tcPr>
            <w:tcW w:w="54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3B7AF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0.16</w:t>
            </w:r>
          </w:p>
        </w:tc>
        <w:tc>
          <w:tcPr>
            <w:tcW w:w="54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E946E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.708</w:t>
            </w:r>
          </w:p>
        </w:tc>
        <w:tc>
          <w:tcPr>
            <w:tcW w:w="23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50BD7E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82548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-0.12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F0A88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-0.28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7D86A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0.13</w:t>
            </w:r>
          </w:p>
        </w:tc>
        <w:tc>
          <w:tcPr>
            <w:tcW w:w="58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A37F1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.027</w:t>
            </w:r>
          </w:p>
        </w:tc>
        <w:tc>
          <w:tcPr>
            <w:tcW w:w="19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4EBD89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CA357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-0.05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720A7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-0.05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0786B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0.05</w:t>
            </w:r>
          </w:p>
        </w:tc>
        <w:tc>
          <w:tcPr>
            <w:tcW w:w="55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C6EEAC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.320</w:t>
            </w:r>
          </w:p>
        </w:tc>
        <w:tc>
          <w:tcPr>
            <w:tcW w:w="2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BF0310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E58111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-0.15</w:t>
            </w:r>
          </w:p>
        </w:tc>
        <w:tc>
          <w:tcPr>
            <w:tcW w:w="54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950D37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-0.36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28DEFB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0.15</w:t>
            </w:r>
          </w:p>
        </w:tc>
        <w:tc>
          <w:tcPr>
            <w:tcW w:w="5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FF388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.016</w:t>
            </w:r>
          </w:p>
        </w:tc>
        <w:tc>
          <w:tcPr>
            <w:tcW w:w="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283163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FB9276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-0.13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2E7722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-0.32</w:t>
            </w:r>
          </w:p>
        </w:tc>
        <w:tc>
          <w:tcPr>
            <w:tcW w:w="54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9D2B05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0.15</w:t>
            </w:r>
          </w:p>
        </w:tc>
        <w:tc>
          <w:tcPr>
            <w:tcW w:w="5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882638" w14:textId="77777777" w:rsidR="00007183" w:rsidRPr="00DA56B3" w:rsidRDefault="00007183" w:rsidP="00D328E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</w:pPr>
            <w:r w:rsidRPr="00DA56B3">
              <w:rPr>
                <w:rFonts w:eastAsia="Times New Roman" w:cs="Times New Roman"/>
                <w:color w:val="000000"/>
                <w:sz w:val="18"/>
                <w:szCs w:val="18"/>
                <w:lang w:eastAsia="fi-FI"/>
              </w:rPr>
              <w:t>.035</w:t>
            </w:r>
          </w:p>
        </w:tc>
      </w:tr>
    </w:tbl>
    <w:p w14:paraId="7C4B4FAC" w14:textId="7D2F1FA6" w:rsidR="001773D3" w:rsidRDefault="00007183" w:rsidP="00007183">
      <w:pPr>
        <w:spacing w:line="480" w:lineRule="auto"/>
        <w:rPr>
          <w:rFonts w:eastAsia="Times New Roman" w:cs="Times New Roman"/>
          <w:color w:val="000000"/>
          <w:lang w:eastAsia="fi-FI"/>
        </w:rPr>
      </w:pPr>
      <w:r w:rsidRPr="00DA56B3">
        <w:rPr>
          <w:rFonts w:eastAsia="Times New Roman" w:cs="Times New Roman"/>
          <w:i/>
          <w:iCs/>
          <w:color w:val="000000"/>
          <w:lang w:eastAsia="fi-FI"/>
        </w:rPr>
        <w:t>Note</w:t>
      </w:r>
      <w:r w:rsidRPr="00DA56B3">
        <w:rPr>
          <w:rFonts w:eastAsia="Times New Roman" w:cs="Times New Roman"/>
          <w:color w:val="000000"/>
          <w:lang w:eastAsia="fi-FI"/>
        </w:rPr>
        <w:t xml:space="preserve">. Values </w:t>
      </w:r>
      <w:r>
        <w:rPr>
          <w:rFonts w:eastAsia="Times New Roman" w:cs="Times New Roman"/>
          <w:color w:val="000000"/>
          <w:lang w:eastAsia="fi-FI"/>
        </w:rPr>
        <w:t xml:space="preserve">are </w:t>
      </w:r>
      <w:r w:rsidRPr="00DA56B3">
        <w:rPr>
          <w:rFonts w:eastAsia="Times New Roman" w:cs="Times New Roman"/>
          <w:color w:val="000000"/>
          <w:lang w:eastAsia="fi-FI"/>
        </w:rPr>
        <w:t>1 = ART and 2 = NC for ART status; 1 = Together and 2</w:t>
      </w:r>
      <w:r>
        <w:rPr>
          <w:rFonts w:eastAsia="Times New Roman" w:cs="Times New Roman"/>
          <w:color w:val="000000"/>
          <w:lang w:eastAsia="fi-FI"/>
        </w:rPr>
        <w:t xml:space="preserve"> </w:t>
      </w:r>
      <w:r w:rsidRPr="00DA56B3">
        <w:rPr>
          <w:rFonts w:eastAsia="Times New Roman" w:cs="Times New Roman"/>
          <w:color w:val="000000"/>
          <w:lang w:eastAsia="fi-FI"/>
        </w:rPr>
        <w:t>= Divorced for Parental Divorce; 1 = Girl and 2 = Boy for Child’s Gender; 1 = Single and 2 = In a relationship for Adolescent Relationship status; 1 = Lower education and 2 = High school for Adolescent Education.</w:t>
      </w:r>
    </w:p>
    <w:p w14:paraId="49BA9E5B" w14:textId="2DDC9DAF" w:rsidR="00761E59" w:rsidRDefault="00761E59" w:rsidP="00761E59">
      <w:pPr>
        <w:rPr>
          <w:rFonts w:cstheme="minorHAnsi"/>
        </w:rPr>
      </w:pPr>
      <w:r>
        <w:rPr>
          <w:rFonts w:cstheme="minorHAnsi"/>
        </w:rPr>
        <w:lastRenderedPageBreak/>
        <w:t xml:space="preserve">Table </w:t>
      </w:r>
      <w:r w:rsidR="0049081E">
        <w:rPr>
          <w:rFonts w:cstheme="minorHAnsi"/>
        </w:rPr>
        <w:t>S</w:t>
      </w:r>
      <w:r>
        <w:rPr>
          <w:rFonts w:cstheme="minorHAnsi"/>
        </w:rPr>
        <w:t>2. A summary of the studies on adolescent attachment hierarchies and their role in psychosocial adjustment reviewed in the article.</w:t>
      </w:r>
    </w:p>
    <w:tbl>
      <w:tblPr>
        <w:tblStyle w:val="TableGrid"/>
        <w:tblW w:w="13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"/>
        <w:gridCol w:w="2441"/>
        <w:gridCol w:w="1701"/>
        <w:gridCol w:w="1701"/>
        <w:gridCol w:w="1560"/>
        <w:gridCol w:w="1417"/>
        <w:gridCol w:w="3605"/>
      </w:tblGrid>
      <w:tr w:rsidR="00761E59" w:rsidRPr="005E3546" w14:paraId="65F6CFF7" w14:textId="77777777" w:rsidTr="00E17719">
        <w:tc>
          <w:tcPr>
            <w:tcW w:w="1528" w:type="dxa"/>
            <w:tcBorders>
              <w:top w:val="single" w:sz="4" w:space="0" w:color="auto"/>
            </w:tcBorders>
            <w:vAlign w:val="bottom"/>
          </w:tcPr>
          <w:p w14:paraId="1759E61F" w14:textId="77777777" w:rsidR="00761E59" w:rsidRPr="005E3546" w:rsidRDefault="00761E59" w:rsidP="00E1771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Author(s) (year)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bottom"/>
          </w:tcPr>
          <w:p w14:paraId="6EDDFDAA" w14:textId="77777777" w:rsidR="00761E59" w:rsidRPr="005E3546" w:rsidRDefault="00761E59" w:rsidP="00E1771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Study sample and design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5594AC2" w14:textId="77777777" w:rsidR="00761E59" w:rsidRPr="005E3546" w:rsidRDefault="00761E59" w:rsidP="00E17719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Attachment measure(s)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95D2CF" w14:textId="77777777" w:rsidR="00761E59" w:rsidRPr="005E3546" w:rsidRDefault="00761E59" w:rsidP="00E17719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Attachment relationships measured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7C54356" w14:textId="77777777" w:rsidR="00761E59" w:rsidRPr="005E3546" w:rsidRDefault="00761E59" w:rsidP="00E17719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Main variables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5B528E9" w14:textId="77777777" w:rsidR="00761E59" w:rsidRPr="005E3546" w:rsidRDefault="00761E59" w:rsidP="00E1771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Approach to analyses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bottom"/>
          </w:tcPr>
          <w:p w14:paraId="51EF5759" w14:textId="77777777" w:rsidR="00761E59" w:rsidRPr="005E3546" w:rsidRDefault="00761E59" w:rsidP="00E1771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E354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eastAsia="fi-FI"/>
              </w:rPr>
              <w:t>Main finding(s)</w:t>
            </w:r>
          </w:p>
        </w:tc>
      </w:tr>
      <w:tr w:rsidR="00761E59" w:rsidRPr="005E3546" w14:paraId="48C5D840" w14:textId="77777777" w:rsidTr="00E17719">
        <w:tc>
          <w:tcPr>
            <w:tcW w:w="1528" w:type="dxa"/>
          </w:tcPr>
          <w:p w14:paraId="4895206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Abbott et al. (2019).</w:t>
            </w:r>
          </w:p>
        </w:tc>
        <w:tc>
          <w:tcPr>
            <w:tcW w:w="2441" w:type="dxa"/>
          </w:tcPr>
          <w:p w14:paraId="1C08076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129 clinical 12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18-year- old adolescents in treatment for suicidal ideation; data from baseline of a longitudinal randomized clinical trial</w:t>
            </w:r>
          </w:p>
        </w:tc>
        <w:tc>
          <w:tcPr>
            <w:tcW w:w="1701" w:type="dxa"/>
          </w:tcPr>
          <w:p w14:paraId="7B11A06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Important People Interview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6E44B93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Four most important people in one’s li</w:t>
            </w:r>
            <w:r>
              <w:rPr>
                <w:rFonts w:asciiTheme="minorHAnsi" w:hAnsiTheme="minorHAnsi" w:cstheme="minorHAnsi"/>
                <w:sz w:val="22"/>
              </w:rPr>
              <w:t>fe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four additional peers</w:t>
            </w:r>
          </w:p>
        </w:tc>
        <w:tc>
          <w:tcPr>
            <w:tcW w:w="1560" w:type="dxa"/>
          </w:tcPr>
          <w:p w14:paraId="5D8316D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deviant peer affiliation, substance dependence, suicidal ideation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depression</w:t>
            </w:r>
          </w:p>
        </w:tc>
        <w:tc>
          <w:tcPr>
            <w:tcW w:w="1417" w:type="dxa"/>
          </w:tcPr>
          <w:p w14:paraId="090F896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Social network approach</w:t>
            </w:r>
          </w:p>
        </w:tc>
        <w:tc>
          <w:tcPr>
            <w:tcW w:w="3605" w:type="dxa"/>
          </w:tcPr>
          <w:p w14:paraId="3415F0D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Youth who affiliated with deviant peers were more likely to identify peers rather than adults as attachment figures, and to report higher suicidal ideation.</w:t>
            </w:r>
          </w:p>
        </w:tc>
      </w:tr>
      <w:tr w:rsidR="00761E59" w:rsidRPr="005E3546" w14:paraId="44D01C10" w14:textId="77777777" w:rsidTr="00E17719">
        <w:tc>
          <w:tcPr>
            <w:tcW w:w="1528" w:type="dxa"/>
          </w:tcPr>
          <w:p w14:paraId="6905EF2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Allen et al. (1996)</w:t>
            </w:r>
          </w:p>
        </w:tc>
        <w:tc>
          <w:tcPr>
            <w:tcW w:w="2441" w:type="dxa"/>
          </w:tcPr>
          <w:p w14:paraId="23B4BE8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 clinical group (n=66) and a comparison group (n=76) of 25-year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olds from a longitudinal study. The clinical group was psychiatrically hospitalized at the age of 14</w:t>
            </w:r>
            <w:r>
              <w:rPr>
                <w:rFonts w:asciiTheme="minorHAnsi" w:hAnsiTheme="minorHAnsi" w:cstheme="minorHAnsi"/>
                <w:sz w:val="22"/>
              </w:rPr>
              <w:t xml:space="preserve"> years</w:t>
            </w:r>
            <w:r w:rsidRPr="005E354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01" w:type="dxa"/>
          </w:tcPr>
          <w:p w14:paraId="67FF0C1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Adult Attachment Interview</w:t>
            </w:r>
          </w:p>
        </w:tc>
        <w:tc>
          <w:tcPr>
            <w:tcW w:w="1701" w:type="dxa"/>
          </w:tcPr>
          <w:p w14:paraId="3E7F2179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One generalized attachment representation, mainly based on childhood attachment to mother and father</w:t>
            </w:r>
          </w:p>
        </w:tc>
        <w:tc>
          <w:tcPr>
            <w:tcW w:w="1560" w:type="dxa"/>
          </w:tcPr>
          <w:p w14:paraId="2E34005D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psychological distress, self-worth, antisocial behavior</w:t>
            </w:r>
          </w:p>
        </w:tc>
        <w:tc>
          <w:tcPr>
            <w:tcW w:w="1417" w:type="dxa"/>
          </w:tcPr>
          <w:p w14:paraId="1BFECEB9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194D480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Nearly all previously hospitalized adolescents showed insecure adult attachment at the age of 25 years.</w:t>
            </w:r>
          </w:p>
        </w:tc>
      </w:tr>
      <w:tr w:rsidR="00761E59" w:rsidRPr="005E3546" w14:paraId="7A90C4DB" w14:textId="77777777" w:rsidTr="00E17719">
        <w:tc>
          <w:tcPr>
            <w:tcW w:w="1528" w:type="dxa"/>
          </w:tcPr>
          <w:p w14:paraId="7ED1798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Freeman &amp; Almond (2010)</w:t>
            </w:r>
          </w:p>
        </w:tc>
        <w:tc>
          <w:tcPr>
            <w:tcW w:w="2441" w:type="dxa"/>
          </w:tcPr>
          <w:p w14:paraId="452F7F6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1012 US</w:t>
            </w:r>
            <w:r>
              <w:rPr>
                <w:rFonts w:cstheme="minorHAnsi"/>
              </w:rPr>
              <w:t xml:space="preserve"> university students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(18-45 years, 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 xml:space="preserve">age </w:t>
            </w:r>
            <w:r w:rsidRPr="005E3546">
              <w:rPr>
                <w:rFonts w:asciiTheme="minorHAnsi" w:hAnsiTheme="minorHAnsi" w:cstheme="minorHAnsi"/>
                <w:sz w:val="22"/>
              </w:rPr>
              <w:t>20.4) in a cross-sectional design</w:t>
            </w:r>
          </w:p>
        </w:tc>
        <w:tc>
          <w:tcPr>
            <w:tcW w:w="1701" w:type="dxa"/>
          </w:tcPr>
          <w:p w14:paraId="4A37E3D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Attachment Network Questionnaire </w:t>
            </w:r>
          </w:p>
        </w:tc>
        <w:tc>
          <w:tcPr>
            <w:tcW w:w="1701" w:type="dxa"/>
          </w:tcPr>
          <w:p w14:paraId="5D2CA33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father, best friend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romantic partner</w:t>
            </w:r>
          </w:p>
        </w:tc>
        <w:tc>
          <w:tcPr>
            <w:tcW w:w="1560" w:type="dxa"/>
          </w:tcPr>
          <w:p w14:paraId="147F703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social support, parental approval, sexual experiences</w:t>
            </w:r>
          </w:p>
        </w:tc>
        <w:tc>
          <w:tcPr>
            <w:tcW w:w="1417" w:type="dxa"/>
          </w:tcPr>
          <w:p w14:paraId="77FFEC8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Mixed method study (qualitative + variable-oriented quantitative)</w:t>
            </w:r>
          </w:p>
        </w:tc>
        <w:tc>
          <w:tcPr>
            <w:tcW w:w="3605" w:type="dxa"/>
          </w:tcPr>
          <w:p w14:paraId="3020EF8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Younger students who were not romantically or sexually involved were more likely to report their father as an attachment figure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2C032835" w14:textId="77777777" w:rsidTr="00E17719">
        <w:tc>
          <w:tcPr>
            <w:tcW w:w="1528" w:type="dxa"/>
          </w:tcPr>
          <w:p w14:paraId="1EDD111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5E3546">
              <w:rPr>
                <w:rFonts w:asciiTheme="minorHAnsi" w:hAnsiTheme="minorHAnsi" w:cstheme="minorHAnsi"/>
                <w:sz w:val="22"/>
                <w:lang w:val="fr-FR"/>
              </w:rPr>
              <w:lastRenderedPageBreak/>
              <w:t>Freeman &amp; Brown (2001)</w:t>
            </w:r>
          </w:p>
        </w:tc>
        <w:tc>
          <w:tcPr>
            <w:tcW w:w="2441" w:type="dxa"/>
          </w:tcPr>
          <w:p w14:paraId="21E4E82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761E59">
              <w:rPr>
                <w:rFonts w:asciiTheme="minorHAnsi" w:hAnsiTheme="minorHAnsi" w:cstheme="minorHAnsi"/>
                <w:sz w:val="22"/>
                <w:lang w:val="en-GB"/>
              </w:rPr>
              <w:t>99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US 16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18-yearold high school students in a cross-sectional design </w:t>
            </w:r>
          </w:p>
        </w:tc>
        <w:tc>
          <w:tcPr>
            <w:tcW w:w="1701" w:type="dxa"/>
          </w:tcPr>
          <w:p w14:paraId="65AA3F3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Adolescent Separation Anxiety Test </w:t>
            </w:r>
          </w:p>
          <w:p w14:paraId="4F47D2C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-N</w:t>
            </w:r>
            <w:r w:rsidRPr="005E3546">
              <w:rPr>
                <w:rFonts w:asciiTheme="minorHAnsi" w:hAnsiTheme="minorHAnsi" w:cstheme="minorHAnsi"/>
                <w:sz w:val="22"/>
              </w:rPr>
              <w:t>omination of primary attachment figure</w:t>
            </w:r>
          </w:p>
          <w:p w14:paraId="116F2106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Attachment Support Inventory </w:t>
            </w:r>
          </w:p>
        </w:tc>
        <w:tc>
          <w:tcPr>
            <w:tcW w:w="1701" w:type="dxa"/>
          </w:tcPr>
          <w:p w14:paraId="6F52A42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father, best friend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romantic partner</w:t>
            </w:r>
          </w:p>
        </w:tc>
        <w:tc>
          <w:tcPr>
            <w:tcW w:w="1560" w:type="dxa"/>
          </w:tcPr>
          <w:p w14:paraId="506FE56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style, primary attachment figure, attachment support</w:t>
            </w:r>
          </w:p>
        </w:tc>
        <w:tc>
          <w:tcPr>
            <w:tcW w:w="1417" w:type="dxa"/>
          </w:tcPr>
          <w:p w14:paraId="6FC1533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66A3911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Parents and peers were equally likely to be nominated as primary attachment figures, but adolescents with insecure attachment style more often nominated peers as their primary figures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0E6B650F" w14:textId="77777777" w:rsidTr="00E17719">
        <w:tc>
          <w:tcPr>
            <w:tcW w:w="1528" w:type="dxa"/>
          </w:tcPr>
          <w:p w14:paraId="102A39D8" w14:textId="77777777" w:rsidR="00761E59" w:rsidRPr="005E3546" w:rsidRDefault="00761E59" w:rsidP="00E17719">
            <w:pPr>
              <w:rPr>
                <w:rFonts w:asciiTheme="minorHAnsi" w:hAnsiTheme="minorHAnsi" w:cstheme="minorHAnsi"/>
                <w:iCs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iCs/>
                <w:sz w:val="22"/>
              </w:rPr>
              <w:t>Friedlmeier</w:t>
            </w:r>
            <w:proofErr w:type="spellEnd"/>
            <w:r w:rsidRPr="005E3546">
              <w:rPr>
                <w:rFonts w:asciiTheme="minorHAnsi" w:hAnsiTheme="minorHAnsi" w:cstheme="minorHAnsi"/>
                <w:iCs/>
                <w:sz w:val="22"/>
              </w:rPr>
              <w:t xml:space="preserve"> &amp; </w:t>
            </w:r>
            <w:proofErr w:type="spellStart"/>
            <w:r w:rsidRPr="005E3546">
              <w:rPr>
                <w:rFonts w:asciiTheme="minorHAnsi" w:hAnsiTheme="minorHAnsi" w:cstheme="minorHAnsi"/>
                <w:iCs/>
                <w:sz w:val="22"/>
              </w:rPr>
              <w:t>Grankvist</w:t>
            </w:r>
            <w:proofErr w:type="spellEnd"/>
            <w:r w:rsidRPr="005E3546">
              <w:rPr>
                <w:rFonts w:asciiTheme="minorHAnsi" w:hAnsiTheme="minorHAnsi" w:cstheme="minorHAnsi"/>
                <w:iCs/>
                <w:sz w:val="22"/>
              </w:rPr>
              <w:t xml:space="preserve"> (2006)</w:t>
            </w:r>
          </w:p>
        </w:tc>
        <w:tc>
          <w:tcPr>
            <w:tcW w:w="2441" w:type="dxa"/>
          </w:tcPr>
          <w:p w14:paraId="3EF9DCF9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Swedish (n=171) and German (n=178) 14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18-year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old adolescents in a longitudinal study over a 12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15month interval</w:t>
            </w:r>
          </w:p>
        </w:tc>
        <w:tc>
          <w:tcPr>
            <w:tcW w:w="1701" w:type="dxa"/>
          </w:tcPr>
          <w:p w14:paraId="129F1D9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Adult Attachment Scales (modified)</w:t>
            </w:r>
          </w:p>
          <w:p w14:paraId="7D3E06B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Hazan and Shaver’s (1987) three attachment history paragraphs</w:t>
            </w:r>
          </w:p>
        </w:tc>
        <w:tc>
          <w:tcPr>
            <w:tcW w:w="1701" w:type="dxa"/>
          </w:tcPr>
          <w:p w14:paraId="4F9549F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an unspecified peer (“a person I like very much”)</w:t>
            </w:r>
          </w:p>
        </w:tc>
        <w:tc>
          <w:tcPr>
            <w:tcW w:w="1560" w:type="dxa"/>
          </w:tcPr>
          <w:p w14:paraId="2D426EE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to peers and parents, attachment functions, current romantic relationship</w:t>
            </w:r>
          </w:p>
        </w:tc>
        <w:tc>
          <w:tcPr>
            <w:tcW w:w="1417" w:type="dxa"/>
          </w:tcPr>
          <w:p w14:paraId="68A5714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2DF7971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 xml:space="preserve">Older adolescents, those in romantic relationship, and those with insecure attachment to mother were more likely to transfer their attachment from parents to peers. </w:t>
            </w:r>
          </w:p>
        </w:tc>
      </w:tr>
      <w:tr w:rsidR="00761E59" w:rsidRPr="005E3546" w14:paraId="5B49CCC5" w14:textId="77777777" w:rsidTr="00E17719">
        <w:tc>
          <w:tcPr>
            <w:tcW w:w="1528" w:type="dxa"/>
          </w:tcPr>
          <w:p w14:paraId="4910A9EB" w14:textId="77777777" w:rsidR="00761E59" w:rsidRPr="005E3546" w:rsidRDefault="00761E59" w:rsidP="00E17719">
            <w:pPr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</w:rPr>
            </w:pPr>
            <w:proofErr w:type="spellStart"/>
            <w:r w:rsidRPr="005E3546">
              <w:rPr>
                <w:rStyle w:val="Emphasis"/>
                <w:rFonts w:asciiTheme="minorHAnsi" w:hAnsiTheme="minorHAnsi" w:cstheme="minorHAnsi"/>
                <w:sz w:val="22"/>
              </w:rPr>
              <w:t>Guilamo</w:t>
            </w:r>
            <w:proofErr w:type="spellEnd"/>
            <w:r w:rsidRPr="005E3546">
              <w:rPr>
                <w:rStyle w:val="Emphasis"/>
                <w:rFonts w:asciiTheme="minorHAnsi" w:hAnsiTheme="minorHAnsi" w:cstheme="minorHAnsi"/>
                <w:sz w:val="22"/>
              </w:rPr>
              <w:t>-Ramos et al. (2012)</w:t>
            </w:r>
          </w:p>
        </w:tc>
        <w:tc>
          <w:tcPr>
            <w:tcW w:w="2441" w:type="dxa"/>
          </w:tcPr>
          <w:p w14:paraId="1F53826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Papers from 1980 to 2011 were searched related to adolescent (11-18 years) attachment to father and adolescent sexual behavior</w:t>
            </w:r>
          </w:p>
        </w:tc>
        <w:tc>
          <w:tcPr>
            <w:tcW w:w="1701" w:type="dxa"/>
          </w:tcPr>
          <w:p w14:paraId="61BF5235" w14:textId="77777777" w:rsidR="00761E59" w:rsidRPr="005E3546" w:rsidRDefault="00761E59" w:rsidP="00E1771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5E3546">
              <w:rPr>
                <w:rFonts w:asciiTheme="minorHAnsi" w:hAnsiTheme="minorHAnsi" w:cstheme="minorHAnsi"/>
                <w:bCs/>
                <w:sz w:val="22"/>
              </w:rPr>
              <w:t>Varying measures of paternal parenting processes or attachment</w:t>
            </w:r>
          </w:p>
        </w:tc>
        <w:tc>
          <w:tcPr>
            <w:tcW w:w="1701" w:type="dxa"/>
          </w:tcPr>
          <w:p w14:paraId="03C1A77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Fathers; in some of the studies, also mothers were included</w:t>
            </w:r>
          </w:p>
        </w:tc>
        <w:tc>
          <w:tcPr>
            <w:tcW w:w="1560" w:type="dxa"/>
          </w:tcPr>
          <w:p w14:paraId="3741CBB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Paternal parenting processes and adolescent sexual behaviors</w:t>
            </w:r>
          </w:p>
        </w:tc>
        <w:tc>
          <w:tcPr>
            <w:tcW w:w="1417" w:type="dxa"/>
          </w:tcPr>
          <w:p w14:paraId="7230ABE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cstheme="minorHAnsi"/>
              </w:rPr>
              <w:t>truc</w:t>
            </w:r>
            <w:r w:rsidRPr="005E3546">
              <w:rPr>
                <w:rFonts w:asciiTheme="minorHAnsi" w:hAnsiTheme="minorHAnsi" w:cstheme="minorHAnsi"/>
                <w:sz w:val="22"/>
              </w:rPr>
              <w:t>tured literature review</w:t>
            </w:r>
          </w:p>
        </w:tc>
        <w:tc>
          <w:tcPr>
            <w:tcW w:w="3605" w:type="dxa"/>
          </w:tcPr>
          <w:p w14:paraId="5040A6B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Fathers influence the sexual behavior of their adolescent children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6B8E6CF0" w14:textId="77777777" w:rsidTr="00E17719">
        <w:tc>
          <w:tcPr>
            <w:tcW w:w="1528" w:type="dxa"/>
          </w:tcPr>
          <w:p w14:paraId="3941842C" w14:textId="77777777" w:rsidR="00761E59" w:rsidRPr="005E3546" w:rsidRDefault="00761E59" w:rsidP="00E17719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5E3546">
              <w:rPr>
                <w:rFonts w:asciiTheme="minorHAnsi" w:hAnsiTheme="minorHAnsi" w:cstheme="minorHAnsi"/>
                <w:iCs/>
                <w:sz w:val="22"/>
              </w:rPr>
              <w:lastRenderedPageBreak/>
              <w:t>He et al. (2018)</w:t>
            </w:r>
          </w:p>
        </w:tc>
        <w:tc>
          <w:tcPr>
            <w:tcW w:w="2441" w:type="dxa"/>
          </w:tcPr>
          <w:p w14:paraId="2178675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941 Chinese students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>age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15.89 years) in a cross-sectional design</w:t>
            </w:r>
          </w:p>
        </w:tc>
        <w:tc>
          <w:tcPr>
            <w:tcW w:w="1701" w:type="dxa"/>
          </w:tcPr>
          <w:p w14:paraId="23209EB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Inventory of Parent and Peer Attachment</w:t>
            </w:r>
          </w:p>
        </w:tc>
        <w:tc>
          <w:tcPr>
            <w:tcW w:w="1701" w:type="dxa"/>
          </w:tcPr>
          <w:p w14:paraId="35768C5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1FF354C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resiliency, hope, optimism, life satisfaction, psychological distress</w:t>
            </w:r>
          </w:p>
        </w:tc>
        <w:tc>
          <w:tcPr>
            <w:tcW w:w="1417" w:type="dxa"/>
          </w:tcPr>
          <w:p w14:paraId="5508285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Person-oriented study</w:t>
            </w:r>
          </w:p>
        </w:tc>
        <w:tc>
          <w:tcPr>
            <w:tcW w:w="3605" w:type="dxa"/>
          </w:tcPr>
          <w:p w14:paraId="35006779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Four profiles were found: All secure, All insecure, Secure parent and insecure peer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Insecure</w:t>
            </w:r>
            <w:r>
              <w:rPr>
                <w:rFonts w:cstheme="minorHAnsi"/>
              </w:rPr>
              <w:t xml:space="preserve"> parent and secure peer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All insecure profile showed the lowest adjustment, and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All secure profile the highest adjustment. The 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nsecure parent and secure peer profile showed more resiliency but also more distress than the </w:t>
            </w:r>
            <w:r>
              <w:rPr>
                <w:rFonts w:cstheme="minorHAnsi"/>
              </w:rPr>
              <w:t>S</w:t>
            </w:r>
            <w:r w:rsidRPr="005E3546">
              <w:rPr>
                <w:rFonts w:asciiTheme="minorHAnsi" w:hAnsiTheme="minorHAnsi" w:cstheme="minorHAnsi"/>
                <w:sz w:val="22"/>
              </w:rPr>
              <w:t>ecure parent and insecure peer profile.</w:t>
            </w:r>
          </w:p>
        </w:tc>
      </w:tr>
      <w:tr w:rsidR="00761E59" w:rsidRPr="005E3546" w14:paraId="0544D4E3" w14:textId="77777777" w:rsidTr="00E17719">
        <w:tc>
          <w:tcPr>
            <w:tcW w:w="1528" w:type="dxa"/>
          </w:tcPr>
          <w:p w14:paraId="51F6272D" w14:textId="77777777" w:rsidR="00761E59" w:rsidRPr="005E3546" w:rsidRDefault="00761E59" w:rsidP="00E17719">
            <w:pPr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E3546">
              <w:rPr>
                <w:rStyle w:val="Emphasis"/>
                <w:rFonts w:asciiTheme="minorHAnsi" w:hAnsiTheme="minorHAnsi" w:cstheme="minorHAnsi"/>
                <w:sz w:val="22"/>
              </w:rPr>
              <w:t>Keizer et al. (2019)</w:t>
            </w:r>
          </w:p>
        </w:tc>
        <w:tc>
          <w:tcPr>
            <w:tcW w:w="2441" w:type="dxa"/>
          </w:tcPr>
          <w:p w14:paraId="6B49CA1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542 Dutch adolescents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 xml:space="preserve">age </w:t>
            </w:r>
            <w:r w:rsidRPr="005E3546">
              <w:rPr>
                <w:rFonts w:asciiTheme="minorHAnsi" w:hAnsiTheme="minorHAnsi" w:cstheme="minorHAnsi"/>
                <w:sz w:val="22"/>
              </w:rPr>
              <w:t>13.6 years at baseline) from a longitudinal three-wave cohort study</w:t>
            </w:r>
          </w:p>
        </w:tc>
        <w:tc>
          <w:tcPr>
            <w:tcW w:w="1701" w:type="dxa"/>
          </w:tcPr>
          <w:p w14:paraId="08DA4E37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Inventory of Parent and Peer Attachment Revised</w:t>
            </w:r>
          </w:p>
        </w:tc>
        <w:tc>
          <w:tcPr>
            <w:tcW w:w="1701" w:type="dxa"/>
          </w:tcPr>
          <w:p w14:paraId="39F74BA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5F1E1DE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self-esteem, perceived parental relationship quality, friendship and romantic relationship characteristics</w:t>
            </w:r>
          </w:p>
        </w:tc>
        <w:tc>
          <w:tcPr>
            <w:tcW w:w="1417" w:type="dxa"/>
          </w:tcPr>
          <w:p w14:paraId="216F329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Variable-based study</w:t>
            </w:r>
          </w:p>
        </w:tc>
        <w:tc>
          <w:tcPr>
            <w:tcW w:w="3605" w:type="dxa"/>
          </w:tcPr>
          <w:p w14:paraId="41F5943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Changes in attachment to parents were associated with changes in self-esteem, but changes in peer attachment were not predictive of change</w:t>
            </w:r>
            <w:r>
              <w:rPr>
                <w:rFonts w:cstheme="minorHAnsi"/>
              </w:rPr>
              <w:t>s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in self-esteem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2F6AFB7A" w14:textId="77777777" w:rsidTr="00E17719">
        <w:tc>
          <w:tcPr>
            <w:tcW w:w="1528" w:type="dxa"/>
          </w:tcPr>
          <w:p w14:paraId="3CA7AB1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t>Laghi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et al. (2009)</w:t>
            </w:r>
          </w:p>
        </w:tc>
        <w:tc>
          <w:tcPr>
            <w:tcW w:w="2441" w:type="dxa"/>
          </w:tcPr>
          <w:p w14:paraId="075B1B5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2665 Italian high school students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>age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17.03 years)</w:t>
            </w:r>
          </w:p>
        </w:tc>
        <w:tc>
          <w:tcPr>
            <w:tcW w:w="1701" w:type="dxa"/>
          </w:tcPr>
          <w:p w14:paraId="4D33F8B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Inventory of Parent and Peer Attachment Revised</w:t>
            </w:r>
          </w:p>
        </w:tc>
        <w:tc>
          <w:tcPr>
            <w:tcW w:w="1701" w:type="dxa"/>
          </w:tcPr>
          <w:p w14:paraId="5DD8B1A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5D256B6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attitude to past, present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future, sympathy, basic psychological needs</w:t>
            </w:r>
          </w:p>
        </w:tc>
        <w:tc>
          <w:tcPr>
            <w:tcW w:w="1417" w:type="dxa"/>
          </w:tcPr>
          <w:p w14:paraId="7F97212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63E0500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Adolescents with secure attachment to parents had the most positive attitudes to past, present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future. Adolescents with secure attachment to parents </w:t>
            </w:r>
            <w:r>
              <w:rPr>
                <w:rFonts w:cstheme="minorHAnsi"/>
              </w:rPr>
              <w:t xml:space="preserve">only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or </w:t>
            </w: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both parents and peers showed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highest autonomy and competence.</w:t>
            </w:r>
          </w:p>
        </w:tc>
      </w:tr>
      <w:tr w:rsidR="00761E59" w:rsidRPr="005E3546" w14:paraId="7EF1724E" w14:textId="77777777" w:rsidTr="00E17719">
        <w:tc>
          <w:tcPr>
            <w:tcW w:w="1528" w:type="dxa"/>
          </w:tcPr>
          <w:p w14:paraId="363E567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lastRenderedPageBreak/>
              <w:t>Laible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et al. (2000)</w:t>
            </w:r>
          </w:p>
        </w:tc>
        <w:tc>
          <w:tcPr>
            <w:tcW w:w="2441" w:type="dxa"/>
          </w:tcPr>
          <w:p w14:paraId="10887A6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  <w:vertAlign w:val="subscript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89 adolescents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 xml:space="preserve">age </w:t>
            </w:r>
            <w:r w:rsidRPr="005E3546">
              <w:rPr>
                <w:rFonts w:asciiTheme="minorHAnsi" w:hAnsiTheme="minorHAnsi" w:cstheme="minorHAnsi"/>
                <w:sz w:val="22"/>
              </w:rPr>
              <w:t>16.1 years) in a cross-sectional design</w:t>
            </w:r>
          </w:p>
        </w:tc>
        <w:tc>
          <w:tcPr>
            <w:tcW w:w="1701" w:type="dxa"/>
          </w:tcPr>
          <w:p w14:paraId="5ECBE94D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Inventory of Parent and Peer Attachment Revised</w:t>
            </w:r>
          </w:p>
        </w:tc>
        <w:tc>
          <w:tcPr>
            <w:tcW w:w="1701" w:type="dxa"/>
          </w:tcPr>
          <w:p w14:paraId="4FC217C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6417CB5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depression, anxiety, sympathy, aggressi</w:t>
            </w:r>
            <w:r>
              <w:rPr>
                <w:rFonts w:cstheme="minorHAnsi"/>
              </w:rPr>
              <w:t>on, math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English efficacy</w:t>
            </w:r>
          </w:p>
        </w:tc>
        <w:tc>
          <w:tcPr>
            <w:tcW w:w="1417" w:type="dxa"/>
          </w:tcPr>
          <w:p w14:paraId="7FE1C25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12E8903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Adolescents </w:t>
            </w:r>
            <w:r>
              <w:rPr>
                <w:rFonts w:cstheme="minorHAnsi"/>
              </w:rPr>
              <w:t>with secure attachment to both parents and peers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showed </w:t>
            </w:r>
            <w:r>
              <w:rPr>
                <w:rFonts w:cstheme="minorHAnsi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best adjustment, and those low on both </w:t>
            </w:r>
            <w:r>
              <w:rPr>
                <w:rFonts w:asciiTheme="minorHAnsi" w:hAnsiTheme="minorHAnsi" w:cstheme="minorHAnsi"/>
                <w:sz w:val="22"/>
              </w:rPr>
              <w:t xml:space="preserve">showed </w:t>
            </w:r>
            <w:r w:rsidRPr="005E3546">
              <w:rPr>
                <w:rFonts w:asciiTheme="minorHAnsi" w:hAnsiTheme="minorHAnsi" w:cstheme="minorHAnsi"/>
                <w:sz w:val="22"/>
              </w:rPr>
              <w:t>the lowest a</w:t>
            </w:r>
            <w:r>
              <w:rPr>
                <w:rFonts w:cstheme="minorHAnsi"/>
              </w:rPr>
              <w:t>djustment. Adolescents with secure peer but insecure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parental attachment had better</w:t>
            </w:r>
            <w:r>
              <w:rPr>
                <w:rFonts w:cstheme="minorHAnsi"/>
              </w:rPr>
              <w:t xml:space="preserve"> adjustment than those with secure parental but insecure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peer adjustment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426F6B80" w14:textId="77777777" w:rsidTr="00E17719">
        <w:tc>
          <w:tcPr>
            <w:tcW w:w="1528" w:type="dxa"/>
          </w:tcPr>
          <w:p w14:paraId="0FBB22D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t>Margolese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et al. (2005)</w:t>
            </w:r>
          </w:p>
        </w:tc>
        <w:tc>
          <w:tcPr>
            <w:tcW w:w="2441" w:type="dxa"/>
          </w:tcPr>
          <w:p w14:paraId="1935039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134 </w:t>
            </w:r>
            <w:r>
              <w:rPr>
                <w:rFonts w:cstheme="minorHAnsi"/>
              </w:rPr>
              <w:t xml:space="preserve">16–19-year-old </w:t>
            </w:r>
            <w:r w:rsidRPr="005E3546">
              <w:rPr>
                <w:rFonts w:asciiTheme="minorHAnsi" w:hAnsiTheme="minorHAnsi" w:cstheme="minorHAnsi"/>
                <w:sz w:val="22"/>
              </w:rPr>
              <w:t>adolescents in a cross-sectional study with questionnaires and a computer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task with interpersonal vignettes </w:t>
            </w:r>
          </w:p>
        </w:tc>
        <w:tc>
          <w:tcPr>
            <w:tcW w:w="1701" w:type="dxa"/>
          </w:tcPr>
          <w:p w14:paraId="21D7EED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Relationship Questionnaire</w:t>
            </w:r>
          </w:p>
        </w:tc>
        <w:tc>
          <w:tcPr>
            <w:tcW w:w="1701" w:type="dxa"/>
          </w:tcPr>
          <w:p w14:paraId="73F22A9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father, best friend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romantic partner</w:t>
            </w:r>
          </w:p>
        </w:tc>
        <w:tc>
          <w:tcPr>
            <w:tcW w:w="1560" w:type="dxa"/>
          </w:tcPr>
          <w:p w14:paraId="2C5881B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depression,</w:t>
            </w:r>
            <w:r>
              <w:rPr>
                <w:rFonts w:cstheme="minorHAnsi"/>
              </w:rPr>
              <w:t xml:space="preserve"> </w:t>
            </w:r>
            <w:r w:rsidRPr="005E3546">
              <w:rPr>
                <w:rFonts w:asciiTheme="minorHAnsi" w:hAnsiTheme="minorHAnsi" w:cstheme="minorHAnsi"/>
                <w:sz w:val="22"/>
              </w:rPr>
              <w:t>cognitive attributions</w:t>
            </w:r>
            <w:r>
              <w:rPr>
                <w:rFonts w:cstheme="minorHAnsi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ruminative coping</w:t>
            </w:r>
            <w:r>
              <w:rPr>
                <w:rFonts w:cstheme="minorHAnsi"/>
              </w:rPr>
              <w:t>, stress</w:t>
            </w:r>
          </w:p>
        </w:tc>
        <w:tc>
          <w:tcPr>
            <w:tcW w:w="1417" w:type="dxa"/>
          </w:tcPr>
          <w:p w14:paraId="5A75901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6B2696A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Insecure attachment with romantic partner was uniquely predictive of depression.</w:t>
            </w:r>
          </w:p>
        </w:tc>
      </w:tr>
      <w:tr w:rsidR="00761E59" w:rsidRPr="005E3546" w14:paraId="545E2BC6" w14:textId="77777777" w:rsidTr="00E17719">
        <w:tc>
          <w:tcPr>
            <w:tcW w:w="1528" w:type="dxa"/>
          </w:tcPr>
          <w:p w14:paraId="477BE2B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Markiewicz et al. (2006)</w:t>
            </w:r>
          </w:p>
        </w:tc>
        <w:tc>
          <w:tcPr>
            <w:tcW w:w="2441" w:type="dxa"/>
          </w:tcPr>
          <w:p w14:paraId="76B48E4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682 Canadian students from three age categories: 12-15, 16-19 and 20-28 years in a cross-sectional design</w:t>
            </w:r>
          </w:p>
        </w:tc>
        <w:tc>
          <w:tcPr>
            <w:tcW w:w="1701" w:type="dxa"/>
          </w:tcPr>
          <w:p w14:paraId="07C3C5F7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5E3546">
              <w:rPr>
                <w:rFonts w:asciiTheme="minorHAnsi" w:hAnsiTheme="minorHAnsi" w:cstheme="minorHAnsi"/>
                <w:bCs/>
                <w:sz w:val="22"/>
              </w:rPr>
              <w:t xml:space="preserve">Relationship Questionnaire </w:t>
            </w:r>
          </w:p>
          <w:p w14:paraId="7C8E4BCD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5E3546">
              <w:rPr>
                <w:rFonts w:asciiTheme="minorHAnsi" w:hAnsiTheme="minorHAnsi" w:cstheme="minorHAnsi"/>
                <w:bCs/>
                <w:sz w:val="22"/>
              </w:rPr>
              <w:t>WHOTO (attachment functions)</w:t>
            </w:r>
          </w:p>
        </w:tc>
        <w:tc>
          <w:tcPr>
            <w:tcW w:w="1701" w:type="dxa"/>
          </w:tcPr>
          <w:p w14:paraId="79FEE4B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Mother, father, best friend, </w:t>
            </w:r>
            <w:r>
              <w:rPr>
                <w:rFonts w:cstheme="minorHAnsi"/>
              </w:rPr>
              <w:t>romantic partner</w:t>
            </w:r>
            <w:r w:rsidRPr="005E3546">
              <w:rPr>
                <w:rFonts w:asciiTheme="minorHAnsi" w:hAnsiTheme="minorHAnsi" w:cstheme="minorHAnsi"/>
                <w:sz w:val="22"/>
              </w:rPr>
              <w:t>, oneself, other</w:t>
            </w:r>
          </w:p>
          <w:p w14:paraId="42993A6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0B61D63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and age</w:t>
            </w:r>
          </w:p>
        </w:tc>
        <w:tc>
          <w:tcPr>
            <w:tcW w:w="1417" w:type="dxa"/>
          </w:tcPr>
          <w:p w14:paraId="4362AA5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3B2D4FE1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</w:t>
            </w:r>
            <w:r>
              <w:rPr>
                <w:rFonts w:cstheme="minorHAnsi"/>
              </w:rPr>
              <w:t>s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were the most important attachment figure</w:t>
            </w:r>
            <w:r>
              <w:rPr>
                <w:rFonts w:cstheme="minorHAnsi"/>
              </w:rPr>
              <w:t>s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across ages, but for older adolescents, also romantic partners increased in importance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510B2F73" w14:textId="77777777" w:rsidTr="00E17719">
        <w:tc>
          <w:tcPr>
            <w:tcW w:w="1528" w:type="dxa"/>
          </w:tcPr>
          <w:p w14:paraId="3BC23E3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t>Mayseless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(2004)</w:t>
            </w:r>
          </w:p>
        </w:tc>
        <w:tc>
          <w:tcPr>
            <w:tcW w:w="2441" w:type="dxa"/>
          </w:tcPr>
          <w:p w14:paraId="25DABF4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143 home-leaving Israeli male adolescents entering a 3-year mandatory military service in a longitudinal design</w:t>
            </w:r>
          </w:p>
        </w:tc>
        <w:tc>
          <w:tcPr>
            <w:tcW w:w="1701" w:type="dxa"/>
          </w:tcPr>
          <w:p w14:paraId="53E87F60" w14:textId="77777777" w:rsidR="00761E59" w:rsidRPr="00761E59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-</w:t>
            </w:r>
            <w:proofErr w:type="spellStart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Attachment</w:t>
            </w:r>
            <w:proofErr w:type="spellEnd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proofErr w:type="spellStart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Concerns</w:t>
            </w:r>
            <w:proofErr w:type="spellEnd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 xml:space="preserve"> Questionnaire</w:t>
            </w:r>
          </w:p>
          <w:p w14:paraId="196B6064" w14:textId="77777777" w:rsidR="00761E59" w:rsidRPr="00761E59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fr-FR"/>
              </w:rPr>
            </w:pPr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-WHOTO (</w:t>
            </w:r>
            <w:proofErr w:type="spellStart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attachment</w:t>
            </w:r>
            <w:proofErr w:type="spellEnd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proofErr w:type="spellStart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functions</w:t>
            </w:r>
            <w:proofErr w:type="spellEnd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)</w:t>
            </w:r>
          </w:p>
        </w:tc>
        <w:tc>
          <w:tcPr>
            <w:tcW w:w="1701" w:type="dxa"/>
          </w:tcPr>
          <w:p w14:paraId="475D9FF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6DCF879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inner resources of hardiness, adjustment to military</w:t>
            </w:r>
          </w:p>
        </w:tc>
        <w:tc>
          <w:tcPr>
            <w:tcW w:w="1417" w:type="dxa"/>
          </w:tcPr>
          <w:p w14:paraId="4D90E40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4A87A67F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Preference of peer attachment (instead of parents) was associated with better military adjustment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1FEE9825" w14:textId="77777777" w:rsidTr="00E17719">
        <w:tc>
          <w:tcPr>
            <w:tcW w:w="1528" w:type="dxa"/>
          </w:tcPr>
          <w:p w14:paraId="35283C66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lastRenderedPageBreak/>
              <w:t>McKay (2015)</w:t>
            </w:r>
          </w:p>
        </w:tc>
        <w:tc>
          <w:tcPr>
            <w:tcW w:w="2441" w:type="dxa"/>
          </w:tcPr>
          <w:p w14:paraId="63A1E4E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1724 12–16-year-old UK adolescents in a cross-sectional design</w:t>
            </w:r>
          </w:p>
        </w:tc>
        <w:tc>
          <w:tcPr>
            <w:tcW w:w="1701" w:type="dxa"/>
          </w:tcPr>
          <w:p w14:paraId="54D84A1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Inventory of Parent and Peer Attachment Revised</w:t>
            </w:r>
          </w:p>
        </w:tc>
        <w:tc>
          <w:tcPr>
            <w:tcW w:w="1701" w:type="dxa"/>
          </w:tcPr>
          <w:p w14:paraId="089E2C3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3713231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Attachment, alcohol use, rules of alcohol use </w:t>
            </w:r>
          </w:p>
        </w:tc>
        <w:tc>
          <w:tcPr>
            <w:tcW w:w="1417" w:type="dxa"/>
          </w:tcPr>
          <w:p w14:paraId="7436969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6D3B887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>Insecure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attachment to parents and </w:t>
            </w:r>
            <w:r>
              <w:rPr>
                <w:rFonts w:cstheme="minorHAnsi"/>
              </w:rPr>
              <w:t>secure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attachment to peers </w:t>
            </w:r>
            <w:r>
              <w:rPr>
                <w:rFonts w:asciiTheme="minorHAnsi" w:hAnsiTheme="minorHAnsi" w:cstheme="minorHAnsi"/>
                <w:sz w:val="22"/>
              </w:rPr>
              <w:t xml:space="preserve">were </w:t>
            </w:r>
            <w:r w:rsidRPr="005E3546">
              <w:rPr>
                <w:rFonts w:asciiTheme="minorHAnsi" w:hAnsiTheme="minorHAnsi" w:cstheme="minorHAnsi"/>
                <w:sz w:val="22"/>
              </w:rPr>
              <w:t>associated with problematic drinking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06788626" w14:textId="77777777" w:rsidTr="00E17719">
        <w:tc>
          <w:tcPr>
            <w:tcW w:w="1528" w:type="dxa"/>
          </w:tcPr>
          <w:p w14:paraId="1F4F7A5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Murphy et al. (2017)</w:t>
            </w:r>
          </w:p>
        </w:tc>
        <w:tc>
          <w:tcPr>
            <w:tcW w:w="2441" w:type="dxa"/>
          </w:tcPr>
          <w:p w14:paraId="4716211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148 adolescents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 xml:space="preserve">age </w:t>
            </w:r>
            <w:r w:rsidRPr="005E3546">
              <w:rPr>
                <w:rFonts w:asciiTheme="minorHAnsi" w:hAnsiTheme="minorHAnsi" w:cstheme="minorHAnsi"/>
                <w:sz w:val="22"/>
              </w:rPr>
              <w:t>15.68) in a cross-sectional design</w:t>
            </w:r>
          </w:p>
        </w:tc>
        <w:tc>
          <w:tcPr>
            <w:tcW w:w="1701" w:type="dxa"/>
          </w:tcPr>
          <w:p w14:paraId="3700715B" w14:textId="77777777" w:rsidR="00761E59" w:rsidRPr="005E3546" w:rsidRDefault="00761E59" w:rsidP="00E1771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5E3546">
              <w:rPr>
                <w:rFonts w:asciiTheme="minorHAnsi" w:hAnsiTheme="minorHAnsi" w:cstheme="minorHAnsi"/>
                <w:bCs/>
                <w:sz w:val="22"/>
              </w:rPr>
              <w:t>The Inventory of Parent and Peer Attachment</w:t>
            </w:r>
          </w:p>
        </w:tc>
        <w:tc>
          <w:tcPr>
            <w:tcW w:w="1701" w:type="dxa"/>
          </w:tcPr>
          <w:p w14:paraId="27098F8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34D3A48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and bullying</w:t>
            </w:r>
          </w:p>
        </w:tc>
        <w:tc>
          <w:tcPr>
            <w:tcW w:w="1417" w:type="dxa"/>
          </w:tcPr>
          <w:p w14:paraId="365BA64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75061C4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Both secure parental and peer attachment were associated with less bullying, but secure attachment to peers without parental security also protected from bullying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68941FC8" w14:textId="77777777" w:rsidTr="00E17719">
        <w:tc>
          <w:tcPr>
            <w:tcW w:w="1528" w:type="dxa"/>
          </w:tcPr>
          <w:p w14:paraId="58BF211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Nickerson &amp; Nagle (2005)</w:t>
            </w:r>
          </w:p>
        </w:tc>
        <w:tc>
          <w:tcPr>
            <w:tcW w:w="2441" w:type="dxa"/>
          </w:tcPr>
          <w:p w14:paraId="37646B0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279 fourth, sixth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eighth graders in a cross-sectional design</w:t>
            </w:r>
          </w:p>
        </w:tc>
        <w:tc>
          <w:tcPr>
            <w:tcW w:w="1701" w:type="dxa"/>
          </w:tcPr>
          <w:p w14:paraId="226AF44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to parents and peers: People in My Life</w:t>
            </w:r>
          </w:p>
          <w:p w14:paraId="7C2A8150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WHOTO (attachment functions)</w:t>
            </w:r>
          </w:p>
        </w:tc>
        <w:tc>
          <w:tcPr>
            <w:tcW w:w="1701" w:type="dxa"/>
          </w:tcPr>
          <w:p w14:paraId="05AFD06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44D9C58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func</w:t>
            </w:r>
            <w:r>
              <w:rPr>
                <w:rFonts w:cstheme="minorHAnsi"/>
              </w:rPr>
              <w:t>tions with parents and peers,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age</w:t>
            </w:r>
          </w:p>
        </w:tc>
        <w:tc>
          <w:tcPr>
            <w:tcW w:w="1417" w:type="dxa"/>
          </w:tcPr>
          <w:p w14:paraId="717B669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Variable-based study</w:t>
            </w:r>
          </w:p>
        </w:tc>
        <w:tc>
          <w:tcPr>
            <w:tcW w:w="3605" w:type="dxa"/>
          </w:tcPr>
          <w:p w14:paraId="261AAE0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Parents retained secure base functions for all age groups, but older adolescents turned </w:t>
            </w:r>
            <w:r>
              <w:rPr>
                <w:rFonts w:cstheme="minorHAnsi"/>
              </w:rPr>
              <w:t>more to peers in other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attachment functions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142484C0" w14:textId="77777777" w:rsidTr="00E17719">
        <w:tc>
          <w:tcPr>
            <w:tcW w:w="1528" w:type="dxa"/>
          </w:tcPr>
          <w:p w14:paraId="15942D8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Oldfield et al. (2016)</w:t>
            </w:r>
          </w:p>
        </w:tc>
        <w:tc>
          <w:tcPr>
            <w:tcW w:w="2441" w:type="dxa"/>
          </w:tcPr>
          <w:p w14:paraId="70A4314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203 English 11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16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yearolds in a cross-sectional design</w:t>
            </w:r>
          </w:p>
        </w:tc>
        <w:tc>
          <w:tcPr>
            <w:tcW w:w="1701" w:type="dxa"/>
          </w:tcPr>
          <w:p w14:paraId="6603F77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t>nventory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of Parent and Peer Attachment</w:t>
            </w:r>
          </w:p>
        </w:tc>
        <w:tc>
          <w:tcPr>
            <w:tcW w:w="1701" w:type="dxa"/>
          </w:tcPr>
          <w:p w14:paraId="413A705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79F3C19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school connectedness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mental health</w:t>
            </w:r>
          </w:p>
        </w:tc>
        <w:tc>
          <w:tcPr>
            <w:tcW w:w="1417" w:type="dxa"/>
          </w:tcPr>
          <w:p w14:paraId="1755D85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5358E3B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Insecure parental attachment was associated with conduct problems and emotional difficulties, whereas secure peer attachment and school connectedness were associated with prosocial behavior.</w:t>
            </w:r>
          </w:p>
        </w:tc>
      </w:tr>
      <w:tr w:rsidR="00761E59" w:rsidRPr="005E3546" w14:paraId="7E710B5F" w14:textId="77777777" w:rsidTr="00E17719">
        <w:tc>
          <w:tcPr>
            <w:tcW w:w="1528" w:type="dxa"/>
          </w:tcPr>
          <w:p w14:paraId="5805861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Oldfield et al. (2018)</w:t>
            </w:r>
          </w:p>
        </w:tc>
        <w:tc>
          <w:tcPr>
            <w:tcW w:w="2441" w:type="dxa"/>
          </w:tcPr>
          <w:p w14:paraId="66F670C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90 economically disadvant</w:t>
            </w:r>
            <w:r>
              <w:rPr>
                <w:rFonts w:cstheme="minorHAnsi"/>
              </w:rPr>
              <w:t>age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ous, </w:t>
            </w:r>
            <w:r>
              <w:rPr>
                <w:rFonts w:asciiTheme="minorHAnsi" w:hAnsiTheme="minorHAnsi" w:cstheme="minorHAnsi"/>
                <w:sz w:val="22"/>
              </w:rPr>
              <w:t>11–</w:t>
            </w:r>
            <w:r w:rsidRPr="005E3546">
              <w:rPr>
                <w:rFonts w:asciiTheme="minorHAnsi" w:hAnsiTheme="minorHAnsi" w:cstheme="minorHAnsi"/>
                <w:sz w:val="22"/>
              </w:rPr>
              <w:t>18year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old adolescents from Guatemala in a cross-sectional design</w:t>
            </w:r>
          </w:p>
        </w:tc>
        <w:tc>
          <w:tcPr>
            <w:tcW w:w="1701" w:type="dxa"/>
          </w:tcPr>
          <w:p w14:paraId="1752751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Inventory of Parent and Peer Attachment</w:t>
            </w:r>
          </w:p>
        </w:tc>
        <w:tc>
          <w:tcPr>
            <w:tcW w:w="1701" w:type="dxa"/>
          </w:tcPr>
          <w:p w14:paraId="5163B10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788C1F8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school connectedness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mental health</w:t>
            </w:r>
          </w:p>
        </w:tc>
        <w:tc>
          <w:tcPr>
            <w:tcW w:w="1417" w:type="dxa"/>
          </w:tcPr>
          <w:p w14:paraId="32A370A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4325065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Higher peer attachment security and lower school connectedness predicted more mental health difficulties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61E59" w:rsidRPr="005E3546" w14:paraId="379983C1" w14:textId="77777777" w:rsidTr="00E17719">
        <w:tc>
          <w:tcPr>
            <w:tcW w:w="1528" w:type="dxa"/>
          </w:tcPr>
          <w:p w14:paraId="51CE3E8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lastRenderedPageBreak/>
              <w:t xml:space="preserve">Pitman &amp; </w:t>
            </w: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t>Scharfe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(2010)</w:t>
            </w:r>
          </w:p>
        </w:tc>
        <w:tc>
          <w:tcPr>
            <w:tcW w:w="2441" w:type="dxa"/>
          </w:tcPr>
          <w:p w14:paraId="7042E84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302 undergraduate psychology students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 xml:space="preserve">age </w:t>
            </w:r>
            <w:r w:rsidRPr="005E3546">
              <w:rPr>
                <w:rFonts w:asciiTheme="minorHAnsi" w:hAnsiTheme="minorHAnsi" w:cstheme="minorHAnsi"/>
                <w:sz w:val="22"/>
              </w:rPr>
              <w:t>20.08 years) in a cross-sectional design</w:t>
            </w:r>
          </w:p>
        </w:tc>
        <w:tc>
          <w:tcPr>
            <w:tcW w:w="1701" w:type="dxa"/>
          </w:tcPr>
          <w:p w14:paraId="51D72246" w14:textId="77777777" w:rsidR="00761E59" w:rsidRPr="00761E59" w:rsidRDefault="00761E59" w:rsidP="00E17719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 xml:space="preserve">-Relationship </w:t>
            </w:r>
            <w:proofErr w:type="spellStart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Scales</w:t>
            </w:r>
            <w:proofErr w:type="spellEnd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 xml:space="preserve"> Questionnaire</w:t>
            </w:r>
          </w:p>
          <w:p w14:paraId="454AAFC5" w14:textId="77777777" w:rsidR="00761E59" w:rsidRPr="00761E59" w:rsidRDefault="00761E59" w:rsidP="00E17719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-</w:t>
            </w:r>
            <w:proofErr w:type="spellStart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>Attachment</w:t>
            </w:r>
            <w:proofErr w:type="spellEnd"/>
            <w:r w:rsidRPr="00761E59">
              <w:rPr>
                <w:rFonts w:asciiTheme="minorHAnsi" w:hAnsiTheme="minorHAnsi" w:cstheme="minorHAnsi"/>
                <w:sz w:val="22"/>
                <w:lang w:val="fr-FR"/>
              </w:rPr>
              <w:t xml:space="preserve"> Network Questionnaire</w:t>
            </w:r>
          </w:p>
        </w:tc>
        <w:tc>
          <w:tcPr>
            <w:tcW w:w="1701" w:type="dxa"/>
          </w:tcPr>
          <w:p w14:paraId="5D45F85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close friends</w:t>
            </w:r>
          </w:p>
        </w:tc>
        <w:tc>
          <w:tcPr>
            <w:tcW w:w="1560" w:type="dxa"/>
          </w:tcPr>
          <w:p w14:paraId="6054673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attachment network</w:t>
            </w:r>
            <w:r>
              <w:rPr>
                <w:rFonts w:cstheme="minorHAnsi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distress</w:t>
            </w:r>
          </w:p>
        </w:tc>
        <w:tc>
          <w:tcPr>
            <w:tcW w:w="1417" w:type="dxa"/>
          </w:tcPr>
          <w:p w14:paraId="210955E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7E30F7A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Attachment anxiety </w:t>
            </w:r>
            <w:r>
              <w:rPr>
                <w:rFonts w:asciiTheme="minorHAnsi" w:hAnsiTheme="minorHAnsi" w:cstheme="minorHAnsi"/>
                <w:sz w:val="22"/>
              </w:rPr>
              <w:t xml:space="preserve">was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associated with distress </w:t>
            </w:r>
            <w:r>
              <w:rPr>
                <w:rFonts w:asciiTheme="minorHAnsi" w:hAnsiTheme="minorHAnsi" w:cstheme="minorHAnsi"/>
                <w:sz w:val="22"/>
              </w:rPr>
              <w:t xml:space="preserve">in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all adolescents. Attachment avoidance was associated with distress only among those with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predominantly family network, but not </w:t>
            </w:r>
            <w:r>
              <w:rPr>
                <w:rFonts w:asciiTheme="minorHAnsi" w:hAnsiTheme="minorHAnsi" w:cstheme="minorHAnsi"/>
                <w:sz w:val="22"/>
              </w:rPr>
              <w:t>among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those with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5E3546">
              <w:rPr>
                <w:rFonts w:asciiTheme="minorHAnsi" w:hAnsiTheme="minorHAnsi" w:cstheme="minorHAnsi"/>
                <w:sz w:val="22"/>
              </w:rPr>
              <w:t>predominantly peer network.</w:t>
            </w:r>
          </w:p>
        </w:tc>
      </w:tr>
      <w:tr w:rsidR="00761E59" w:rsidRPr="005E3546" w14:paraId="3A240D31" w14:textId="77777777" w:rsidTr="00E17719">
        <w:tc>
          <w:tcPr>
            <w:tcW w:w="1528" w:type="dxa"/>
          </w:tcPr>
          <w:p w14:paraId="1760650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Raja et al.</w:t>
            </w:r>
            <w:r>
              <w:rPr>
                <w:rFonts w:cstheme="minorHAnsi"/>
              </w:rPr>
              <w:t xml:space="preserve"> </w:t>
            </w:r>
            <w:r w:rsidRPr="005E3546">
              <w:rPr>
                <w:rFonts w:asciiTheme="minorHAnsi" w:hAnsiTheme="minorHAnsi" w:cstheme="minorHAnsi"/>
                <w:sz w:val="22"/>
              </w:rPr>
              <w:t>(1992)</w:t>
            </w:r>
          </w:p>
        </w:tc>
        <w:tc>
          <w:tcPr>
            <w:tcW w:w="2441" w:type="dxa"/>
          </w:tcPr>
          <w:p w14:paraId="6811405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935 15-year-old adolescents from a longitudinal cohort study in New Zealand</w:t>
            </w:r>
          </w:p>
        </w:tc>
        <w:tc>
          <w:tcPr>
            <w:tcW w:w="1701" w:type="dxa"/>
          </w:tcPr>
          <w:p w14:paraId="78DE58A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The Inventory of Parent and Peer Attachment</w:t>
            </w:r>
          </w:p>
        </w:tc>
        <w:tc>
          <w:tcPr>
            <w:tcW w:w="1701" w:type="dxa"/>
          </w:tcPr>
          <w:p w14:paraId="04FB8245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 and peer attachment</w:t>
            </w:r>
          </w:p>
        </w:tc>
        <w:tc>
          <w:tcPr>
            <w:tcW w:w="1560" w:type="dxa"/>
          </w:tcPr>
          <w:p w14:paraId="3FC139C1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mental health, life events, strengths</w:t>
            </w:r>
          </w:p>
        </w:tc>
        <w:tc>
          <w:tcPr>
            <w:tcW w:w="1417" w:type="dxa"/>
          </w:tcPr>
          <w:p w14:paraId="72D16CCA" w14:textId="77777777" w:rsidR="00761E59" w:rsidRPr="005E3546" w:rsidRDefault="00761E59" w:rsidP="00E177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67476CC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Insecure attachment to parents was associated with lower mental health, and there was no compensation </w:t>
            </w:r>
            <w:r>
              <w:rPr>
                <w:rFonts w:asciiTheme="minorHAnsi" w:hAnsiTheme="minorHAnsi" w:cstheme="minorHAnsi"/>
                <w:sz w:val="22"/>
              </w:rPr>
              <w:t>by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secure attachment to peers. Those with secure attachment to both parents and peers reported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most strengths.</w:t>
            </w:r>
          </w:p>
        </w:tc>
      </w:tr>
      <w:tr w:rsidR="00761E59" w:rsidRPr="005E3546" w14:paraId="6098848D" w14:textId="77777777" w:rsidTr="00E17719">
        <w:tc>
          <w:tcPr>
            <w:tcW w:w="1528" w:type="dxa"/>
          </w:tcPr>
          <w:p w14:paraId="141AEBE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Rosenthal &amp; Kobak (2010)</w:t>
            </w:r>
          </w:p>
        </w:tc>
        <w:tc>
          <w:tcPr>
            <w:tcW w:w="2441" w:type="dxa"/>
          </w:tcPr>
          <w:p w14:paraId="67D9450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212 high school and 198 college students in a cross-sectional design</w:t>
            </w:r>
          </w:p>
        </w:tc>
        <w:tc>
          <w:tcPr>
            <w:tcW w:w="1701" w:type="dxa"/>
          </w:tcPr>
          <w:p w14:paraId="153AE3C9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The Important People Interview</w:t>
            </w:r>
          </w:p>
        </w:tc>
        <w:tc>
          <w:tcPr>
            <w:tcW w:w="1701" w:type="dxa"/>
          </w:tcPr>
          <w:p w14:paraId="0F41444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Four most important people in one’s li</w:t>
            </w:r>
            <w:r>
              <w:rPr>
                <w:rFonts w:asciiTheme="minorHAnsi" w:hAnsiTheme="minorHAnsi" w:cstheme="minorHAnsi"/>
                <w:sz w:val="22"/>
              </w:rPr>
              <w:t>fe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four additional peers</w:t>
            </w:r>
          </w:p>
        </w:tc>
        <w:tc>
          <w:tcPr>
            <w:tcW w:w="1560" w:type="dxa"/>
          </w:tcPr>
          <w:p w14:paraId="55E427D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behavior prob</w:t>
            </w:r>
            <w:r>
              <w:rPr>
                <w:rFonts w:cstheme="minorHAnsi"/>
              </w:rPr>
              <w:t>lems, parent-teen relationship</w:t>
            </w:r>
          </w:p>
        </w:tc>
        <w:tc>
          <w:tcPr>
            <w:tcW w:w="1417" w:type="dxa"/>
          </w:tcPr>
          <w:p w14:paraId="2CDA103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44ADF4E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With increasing age, romantic attachments </w:t>
            </w:r>
            <w:r>
              <w:rPr>
                <w:rFonts w:asciiTheme="minorHAnsi" w:hAnsiTheme="minorHAnsi" w:cstheme="minorHAnsi"/>
                <w:sz w:val="22"/>
              </w:rPr>
              <w:t>ranked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higher and fathers lower in the attachment hierarchy. Omitting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father and </w:t>
            </w:r>
            <w:r>
              <w:rPr>
                <w:rFonts w:asciiTheme="minorHAnsi" w:hAnsiTheme="minorHAnsi" w:cstheme="minorHAnsi"/>
                <w:sz w:val="22"/>
              </w:rPr>
              <w:t>ranking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friends high in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hierarchy </w:t>
            </w:r>
            <w:r>
              <w:rPr>
                <w:rFonts w:asciiTheme="minorHAnsi" w:hAnsiTheme="minorHAnsi" w:cstheme="minorHAnsi"/>
                <w:sz w:val="22"/>
              </w:rPr>
              <w:t>were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associated with more behavioral problems.</w:t>
            </w:r>
          </w:p>
        </w:tc>
      </w:tr>
      <w:tr w:rsidR="00761E59" w:rsidRPr="005E3546" w14:paraId="03292428" w14:textId="77777777" w:rsidTr="00E17719">
        <w:tc>
          <w:tcPr>
            <w:tcW w:w="1528" w:type="dxa"/>
          </w:tcPr>
          <w:p w14:paraId="5621F82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E3546">
              <w:rPr>
                <w:rFonts w:asciiTheme="minorHAnsi" w:hAnsiTheme="minorHAnsi" w:cstheme="minorHAnsi"/>
                <w:sz w:val="22"/>
              </w:rPr>
              <w:t>Sentino</w:t>
            </w:r>
            <w:proofErr w:type="spellEnd"/>
            <w:r w:rsidRPr="005E3546">
              <w:rPr>
                <w:rFonts w:asciiTheme="minorHAnsi" w:hAnsiTheme="minorHAnsi" w:cstheme="minorHAnsi"/>
                <w:sz w:val="22"/>
              </w:rPr>
              <w:t xml:space="preserve"> et al. (2018)</w:t>
            </w:r>
          </w:p>
        </w:tc>
        <w:tc>
          <w:tcPr>
            <w:tcW w:w="2441" w:type="dxa"/>
          </w:tcPr>
          <w:p w14:paraId="7038DAD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 review of eight studies examining parental attachment styles, sexual behaviors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health outcomes in adolescent girls</w:t>
            </w:r>
          </w:p>
        </w:tc>
        <w:tc>
          <w:tcPr>
            <w:tcW w:w="1701" w:type="dxa"/>
          </w:tcPr>
          <w:p w14:paraId="50301D3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Various measures</w:t>
            </w:r>
          </w:p>
        </w:tc>
        <w:tc>
          <w:tcPr>
            <w:tcW w:w="1701" w:type="dxa"/>
          </w:tcPr>
          <w:p w14:paraId="60DD4F9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 to parents</w:t>
            </w:r>
          </w:p>
        </w:tc>
        <w:tc>
          <w:tcPr>
            <w:tcW w:w="1560" w:type="dxa"/>
          </w:tcPr>
          <w:p w14:paraId="2543762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Parental attachment, adolescent sexual and health behaviors</w:t>
            </w:r>
          </w:p>
        </w:tc>
        <w:tc>
          <w:tcPr>
            <w:tcW w:w="1417" w:type="dxa"/>
          </w:tcPr>
          <w:p w14:paraId="28187A4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Review study</w:t>
            </w:r>
          </w:p>
        </w:tc>
        <w:tc>
          <w:tcPr>
            <w:tcW w:w="3605" w:type="dxa"/>
          </w:tcPr>
          <w:p w14:paraId="4E17D3E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Insecure parental attachment was associated with higher sexual risk in adolescent girls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3165BDF5" w14:textId="77777777" w:rsidTr="00E17719">
        <w:tc>
          <w:tcPr>
            <w:tcW w:w="1528" w:type="dxa"/>
          </w:tcPr>
          <w:p w14:paraId="5C5CC0D6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lastRenderedPageBreak/>
              <w:t>Umemura et al. (2018a)</w:t>
            </w:r>
          </w:p>
        </w:tc>
        <w:tc>
          <w:tcPr>
            <w:tcW w:w="2441" w:type="dxa"/>
          </w:tcPr>
          <w:p w14:paraId="6D5EB552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870 young Czech adults (M</w:t>
            </w:r>
            <w:r w:rsidRPr="005E3546">
              <w:rPr>
                <w:rFonts w:asciiTheme="minorHAnsi" w:hAnsiTheme="minorHAnsi" w:cstheme="minorHAnsi"/>
                <w:sz w:val="22"/>
                <w:vertAlign w:val="subscript"/>
              </w:rPr>
              <w:t xml:space="preserve">age </w:t>
            </w:r>
            <w:r w:rsidRPr="005E3546">
              <w:rPr>
                <w:rFonts w:asciiTheme="minorHAnsi" w:hAnsiTheme="minorHAnsi" w:cstheme="minorHAnsi"/>
                <w:sz w:val="22"/>
              </w:rPr>
              <w:t>21.57 years) in a three-wave longitudinal study</w:t>
            </w:r>
          </w:p>
        </w:tc>
        <w:tc>
          <w:tcPr>
            <w:tcW w:w="1701" w:type="dxa"/>
          </w:tcPr>
          <w:p w14:paraId="655F0AF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>Experiences in Close Relations</w:t>
            </w:r>
            <w:r w:rsidRPr="005E3546">
              <w:rPr>
                <w:rFonts w:asciiTheme="minorHAnsi" w:hAnsiTheme="minorHAnsi" w:cstheme="minorHAnsi"/>
                <w:sz w:val="22"/>
              </w:rPr>
              <w:t>hips- Relationship Structures</w:t>
            </w:r>
          </w:p>
          <w:p w14:paraId="0A358406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WHOTO (attachment functions)</w:t>
            </w:r>
          </w:p>
        </w:tc>
        <w:tc>
          <w:tcPr>
            <w:tcW w:w="1701" w:type="dxa"/>
          </w:tcPr>
          <w:p w14:paraId="4216942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father, best friend, romantic partner</w:t>
            </w:r>
          </w:p>
        </w:tc>
        <w:tc>
          <w:tcPr>
            <w:tcW w:w="1560" w:type="dxa"/>
          </w:tcPr>
          <w:p w14:paraId="773F4C73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</w:t>
            </w:r>
            <w:r>
              <w:rPr>
                <w:rFonts w:cstheme="minorHAnsi"/>
              </w:rPr>
              <w:t xml:space="preserve"> and attachment functions</w:t>
            </w:r>
          </w:p>
        </w:tc>
        <w:tc>
          <w:tcPr>
            <w:tcW w:w="1417" w:type="dxa"/>
          </w:tcPr>
          <w:p w14:paraId="5264CA4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Variable-based study (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5E3546">
              <w:rPr>
                <w:rFonts w:asciiTheme="minorHAnsi" w:hAnsiTheme="minorHAnsi" w:cstheme="minorHAnsi"/>
                <w:sz w:val="22"/>
              </w:rPr>
              <w:t>ulti-level modeling)</w:t>
            </w:r>
          </w:p>
        </w:tc>
        <w:tc>
          <w:tcPr>
            <w:tcW w:w="3605" w:type="dxa"/>
          </w:tcPr>
          <w:p w14:paraId="7FB0818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As romantic relationships progressed, they replaced friends, but not parents, </w:t>
            </w:r>
            <w:r>
              <w:rPr>
                <w:rFonts w:cstheme="minorHAnsi"/>
              </w:rPr>
              <w:t>as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preferred attachment figures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09BC458D" w14:textId="77777777" w:rsidTr="00E17719">
        <w:tc>
          <w:tcPr>
            <w:tcW w:w="1528" w:type="dxa"/>
          </w:tcPr>
          <w:p w14:paraId="2735368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Umemura et al. (2018b)</w:t>
            </w:r>
          </w:p>
        </w:tc>
        <w:tc>
          <w:tcPr>
            <w:tcW w:w="2441" w:type="dxa"/>
          </w:tcPr>
          <w:p w14:paraId="3F7A6AD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212 Czech 11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18-year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old adolescents in a cross-sectional design</w:t>
            </w:r>
          </w:p>
        </w:tc>
        <w:tc>
          <w:tcPr>
            <w:tcW w:w="1701" w:type="dxa"/>
          </w:tcPr>
          <w:p w14:paraId="56613C47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Important People Interview (questionnaire)</w:t>
            </w:r>
          </w:p>
        </w:tc>
        <w:tc>
          <w:tcPr>
            <w:tcW w:w="1701" w:type="dxa"/>
          </w:tcPr>
          <w:p w14:paraId="6B5253E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father, another family member, a same-gender friend, an opposite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5E3546">
              <w:rPr>
                <w:rFonts w:asciiTheme="minorHAnsi" w:hAnsiTheme="minorHAnsi" w:cstheme="minorHAnsi"/>
                <w:sz w:val="22"/>
              </w:rPr>
              <w:t>gender friend, romantic partner</w:t>
            </w:r>
          </w:p>
        </w:tc>
        <w:tc>
          <w:tcPr>
            <w:tcW w:w="1560" w:type="dxa"/>
          </w:tcPr>
          <w:p w14:paraId="50696BC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affective well-being, externalizing and internalizing problems</w:t>
            </w:r>
          </w:p>
        </w:tc>
        <w:tc>
          <w:tcPr>
            <w:tcW w:w="1417" w:type="dxa"/>
          </w:tcPr>
          <w:p w14:paraId="7759A229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Variable-based study</w:t>
            </w:r>
          </w:p>
        </w:tc>
        <w:tc>
          <w:tcPr>
            <w:tcW w:w="3605" w:type="dxa"/>
          </w:tcPr>
          <w:p w14:paraId="44AF076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Adolescents with multiple attachments had better adjustment, and adolescents who did not name their parents as attachment figures had lower adjustment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35E5101F" w14:textId="77777777" w:rsidTr="00E17719">
        <w:tc>
          <w:tcPr>
            <w:tcW w:w="1528" w:type="dxa"/>
          </w:tcPr>
          <w:p w14:paraId="16C4F61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Viejo et al. (2018)</w:t>
            </w:r>
          </w:p>
        </w:tc>
        <w:tc>
          <w:tcPr>
            <w:tcW w:w="2441" w:type="dxa"/>
          </w:tcPr>
          <w:p w14:paraId="1D22596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1025 Spanish 12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17- year-old secondary school students in a cross-sectional design</w:t>
            </w:r>
          </w:p>
        </w:tc>
        <w:tc>
          <w:tcPr>
            <w:tcW w:w="1701" w:type="dxa"/>
          </w:tcPr>
          <w:p w14:paraId="49CBA379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Important People Interview (questionnaire)</w:t>
            </w:r>
          </w:p>
        </w:tc>
        <w:tc>
          <w:tcPr>
            <w:tcW w:w="1701" w:type="dxa"/>
          </w:tcPr>
          <w:p w14:paraId="244B2C8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Father, mother, sibling, best friend, other friend, romantic partner</w:t>
            </w:r>
          </w:p>
        </w:tc>
        <w:tc>
          <w:tcPr>
            <w:tcW w:w="1560" w:type="dxa"/>
          </w:tcPr>
          <w:p w14:paraId="72F718A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Attachment, age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gender</w:t>
            </w:r>
          </w:p>
        </w:tc>
        <w:tc>
          <w:tcPr>
            <w:tcW w:w="1417" w:type="dxa"/>
          </w:tcPr>
          <w:p w14:paraId="0C794C3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Variable-based study</w:t>
            </w:r>
          </w:p>
        </w:tc>
        <w:tc>
          <w:tcPr>
            <w:tcW w:w="3605" w:type="dxa"/>
          </w:tcPr>
          <w:p w14:paraId="246E48A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The bond with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romantic partner increases in importance </w:t>
            </w:r>
            <w:r>
              <w:rPr>
                <w:rFonts w:asciiTheme="minorHAnsi" w:hAnsiTheme="minorHAnsi" w:cstheme="minorHAnsi"/>
                <w:sz w:val="22"/>
              </w:rPr>
              <w:t>in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older adolescents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61E59" w:rsidRPr="005E3546" w14:paraId="57F74521" w14:textId="77777777" w:rsidTr="00E17719">
        <w:tc>
          <w:tcPr>
            <w:tcW w:w="1528" w:type="dxa"/>
          </w:tcPr>
          <w:p w14:paraId="2FA8419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Wang &amp; Wang (2012)</w:t>
            </w:r>
          </w:p>
        </w:tc>
        <w:tc>
          <w:tcPr>
            <w:tcW w:w="2441" w:type="dxa"/>
          </w:tcPr>
          <w:p w14:paraId="64EA0165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302 Chinese college students in a cross-sectional design</w:t>
            </w:r>
          </w:p>
        </w:tc>
        <w:tc>
          <w:tcPr>
            <w:tcW w:w="1701" w:type="dxa"/>
          </w:tcPr>
          <w:p w14:paraId="004465F9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Relationship Questionnaire </w:t>
            </w:r>
          </w:p>
        </w:tc>
        <w:tc>
          <w:tcPr>
            <w:tcW w:w="1701" w:type="dxa"/>
          </w:tcPr>
          <w:p w14:paraId="5B08B29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Mother, father, best friend, romantic partner</w:t>
            </w:r>
          </w:p>
        </w:tc>
        <w:tc>
          <w:tcPr>
            <w:tcW w:w="1560" w:type="dxa"/>
          </w:tcPr>
          <w:p w14:paraId="77B8EA8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Attachment, life satisfaction, self-esteem, relationship quality </w:t>
            </w:r>
          </w:p>
        </w:tc>
        <w:tc>
          <w:tcPr>
            <w:tcW w:w="1417" w:type="dxa"/>
          </w:tcPr>
          <w:p w14:paraId="0C094B4E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Person- and variable-oriented study</w:t>
            </w:r>
          </w:p>
        </w:tc>
        <w:tc>
          <w:tcPr>
            <w:tcW w:w="3605" w:type="dxa"/>
          </w:tcPr>
          <w:p w14:paraId="5B9AAD4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Four hierarchical attachment profiles were found: all-average, all-secure, romantic-insecure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 and peer-secure. The all-average profile had lower life satisfaction than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5E3546">
              <w:rPr>
                <w:rFonts w:asciiTheme="minorHAnsi" w:hAnsiTheme="minorHAnsi" w:cstheme="minorHAnsi"/>
                <w:sz w:val="22"/>
              </w:rPr>
              <w:t>other profiles.</w:t>
            </w:r>
          </w:p>
        </w:tc>
      </w:tr>
      <w:tr w:rsidR="00761E59" w:rsidRPr="005E3546" w14:paraId="77B45D41" w14:textId="77777777" w:rsidTr="00E17719">
        <w:tc>
          <w:tcPr>
            <w:tcW w:w="1528" w:type="dxa"/>
          </w:tcPr>
          <w:p w14:paraId="4423DAE1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lastRenderedPageBreak/>
              <w:t>Wilkinson (2010)</w:t>
            </w:r>
          </w:p>
        </w:tc>
        <w:tc>
          <w:tcPr>
            <w:tcW w:w="2441" w:type="dxa"/>
          </w:tcPr>
          <w:p w14:paraId="2E90C60D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495 Australian 13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5E3546">
              <w:rPr>
                <w:rFonts w:asciiTheme="minorHAnsi" w:hAnsiTheme="minorHAnsi" w:cstheme="minorHAnsi"/>
                <w:sz w:val="22"/>
              </w:rPr>
              <w:t>19-year-old students in a cross-sectional design</w:t>
            </w:r>
          </w:p>
        </w:tc>
        <w:tc>
          <w:tcPr>
            <w:tcW w:w="1701" w:type="dxa"/>
          </w:tcPr>
          <w:p w14:paraId="030AB22C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Adolescent Friendship Attachment Scale</w:t>
            </w:r>
          </w:p>
          <w:p w14:paraId="4C620678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Inventory of Parental and Peer Attachment</w:t>
            </w:r>
          </w:p>
        </w:tc>
        <w:tc>
          <w:tcPr>
            <w:tcW w:w="1701" w:type="dxa"/>
          </w:tcPr>
          <w:p w14:paraId="679F042F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Attachment to parents and peers, </w:t>
            </w:r>
            <w:r>
              <w:rPr>
                <w:rFonts w:cstheme="minorHAnsi"/>
              </w:rPr>
              <w:t xml:space="preserve">and to </w:t>
            </w:r>
            <w:r w:rsidRPr="005E3546">
              <w:rPr>
                <w:rFonts w:asciiTheme="minorHAnsi" w:hAnsiTheme="minorHAnsi" w:cstheme="minorHAnsi"/>
                <w:sz w:val="22"/>
              </w:rPr>
              <w:t>best friend</w:t>
            </w:r>
          </w:p>
        </w:tc>
        <w:tc>
          <w:tcPr>
            <w:tcW w:w="1560" w:type="dxa"/>
          </w:tcPr>
          <w:p w14:paraId="5A7060B4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 xml:space="preserve">Attachment, depression, self-esteem, </w:t>
            </w:r>
            <w:r>
              <w:rPr>
                <w:rFonts w:cstheme="minorHAnsi"/>
              </w:rPr>
              <w:t>school attitude, self-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competence </w:t>
            </w:r>
          </w:p>
        </w:tc>
        <w:tc>
          <w:tcPr>
            <w:tcW w:w="1417" w:type="dxa"/>
          </w:tcPr>
          <w:p w14:paraId="243ACD3B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Variable-oriented study</w:t>
            </w:r>
          </w:p>
        </w:tc>
        <w:tc>
          <w:tcPr>
            <w:tcW w:w="3605" w:type="dxa"/>
          </w:tcPr>
          <w:p w14:paraId="7EE0233A" w14:textId="77777777" w:rsidR="00761E59" w:rsidRPr="005E3546" w:rsidRDefault="00761E59" w:rsidP="00E17719">
            <w:pPr>
              <w:rPr>
                <w:rFonts w:asciiTheme="minorHAnsi" w:hAnsiTheme="minorHAnsi" w:cstheme="minorHAnsi"/>
                <w:sz w:val="22"/>
              </w:rPr>
            </w:pPr>
            <w:r w:rsidRPr="005E3546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n a</w:t>
            </w:r>
            <w:r w:rsidRPr="005E3546">
              <w:rPr>
                <w:rFonts w:asciiTheme="minorHAnsi" w:hAnsiTheme="minorHAnsi" w:cstheme="minorHAnsi"/>
                <w:sz w:val="22"/>
              </w:rPr>
              <w:t xml:space="preserve">dolescent’s relationship </w:t>
            </w:r>
            <w:r>
              <w:rPr>
                <w:rFonts w:asciiTheme="minorHAnsi" w:hAnsiTheme="minorHAnsi" w:cstheme="minorHAnsi"/>
                <w:sz w:val="22"/>
              </w:rPr>
              <w:t xml:space="preserve">with the </w:t>
            </w:r>
            <w:r w:rsidRPr="005E3546">
              <w:rPr>
                <w:rFonts w:asciiTheme="minorHAnsi" w:hAnsiTheme="minorHAnsi" w:cstheme="minorHAnsi"/>
                <w:sz w:val="22"/>
              </w:rPr>
              <w:t>best friend has unique importance for well-being, beyond the effects of parental and general peer attachments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5D6A8A1C" w14:textId="77777777" w:rsidR="00761E59" w:rsidRDefault="00761E59" w:rsidP="00761E59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3DE143A" w14:textId="77777777" w:rsidR="00761E59" w:rsidRPr="00007183" w:rsidRDefault="00761E59" w:rsidP="00007183">
      <w:pPr>
        <w:spacing w:line="480" w:lineRule="auto"/>
        <w:rPr>
          <w:rFonts w:cs="Times New Roman"/>
        </w:rPr>
      </w:pPr>
    </w:p>
    <w:sectPr w:rsidR="00761E59" w:rsidRPr="00007183" w:rsidSect="0000718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83"/>
    <w:rsid w:val="000004F3"/>
    <w:rsid w:val="00001351"/>
    <w:rsid w:val="00007183"/>
    <w:rsid w:val="00027DCD"/>
    <w:rsid w:val="0008728D"/>
    <w:rsid w:val="00093E79"/>
    <w:rsid w:val="000C4564"/>
    <w:rsid w:val="000E3F3B"/>
    <w:rsid w:val="00154702"/>
    <w:rsid w:val="00171859"/>
    <w:rsid w:val="001773D3"/>
    <w:rsid w:val="0018067A"/>
    <w:rsid w:val="001927C6"/>
    <w:rsid w:val="001D4609"/>
    <w:rsid w:val="001E7DD4"/>
    <w:rsid w:val="00203ED6"/>
    <w:rsid w:val="002078CD"/>
    <w:rsid w:val="002125A3"/>
    <w:rsid w:val="00257806"/>
    <w:rsid w:val="002874EC"/>
    <w:rsid w:val="002A3F62"/>
    <w:rsid w:val="00316076"/>
    <w:rsid w:val="00316E08"/>
    <w:rsid w:val="0035175F"/>
    <w:rsid w:val="0040382F"/>
    <w:rsid w:val="00412748"/>
    <w:rsid w:val="0041491B"/>
    <w:rsid w:val="004165EC"/>
    <w:rsid w:val="00450C2A"/>
    <w:rsid w:val="004603CE"/>
    <w:rsid w:val="0049081E"/>
    <w:rsid w:val="00532E0E"/>
    <w:rsid w:val="005B2CD0"/>
    <w:rsid w:val="006058B8"/>
    <w:rsid w:val="0063525C"/>
    <w:rsid w:val="00694CF5"/>
    <w:rsid w:val="007420C1"/>
    <w:rsid w:val="00761E59"/>
    <w:rsid w:val="007924E2"/>
    <w:rsid w:val="007C34F6"/>
    <w:rsid w:val="00825ACD"/>
    <w:rsid w:val="008402A9"/>
    <w:rsid w:val="0085762C"/>
    <w:rsid w:val="008C2400"/>
    <w:rsid w:val="008D297B"/>
    <w:rsid w:val="008E4975"/>
    <w:rsid w:val="008E5D39"/>
    <w:rsid w:val="00953042"/>
    <w:rsid w:val="00992BDE"/>
    <w:rsid w:val="009A15A0"/>
    <w:rsid w:val="009B7A3B"/>
    <w:rsid w:val="00A26C91"/>
    <w:rsid w:val="00A32FB9"/>
    <w:rsid w:val="00A52CAC"/>
    <w:rsid w:val="00A547D7"/>
    <w:rsid w:val="00A7369A"/>
    <w:rsid w:val="00A848DA"/>
    <w:rsid w:val="00AC5216"/>
    <w:rsid w:val="00AD6C55"/>
    <w:rsid w:val="00B2278A"/>
    <w:rsid w:val="00B31084"/>
    <w:rsid w:val="00B34B53"/>
    <w:rsid w:val="00B43A56"/>
    <w:rsid w:val="00B52E42"/>
    <w:rsid w:val="00B618EA"/>
    <w:rsid w:val="00C358C0"/>
    <w:rsid w:val="00C745A5"/>
    <w:rsid w:val="00C7583B"/>
    <w:rsid w:val="00C76AF6"/>
    <w:rsid w:val="00C8785D"/>
    <w:rsid w:val="00CB37B7"/>
    <w:rsid w:val="00D63A6D"/>
    <w:rsid w:val="00D65FBB"/>
    <w:rsid w:val="00D736F7"/>
    <w:rsid w:val="00DA5B5A"/>
    <w:rsid w:val="00DA7112"/>
    <w:rsid w:val="00DC4A62"/>
    <w:rsid w:val="00DF38B2"/>
    <w:rsid w:val="00E6005E"/>
    <w:rsid w:val="00E60ED8"/>
    <w:rsid w:val="00F12445"/>
    <w:rsid w:val="00FD345D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333B"/>
  <w15:chartTrackingRefBased/>
  <w15:docId w15:val="{5D0BF801-3E53-4689-A6FF-91FFAA33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8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1E59"/>
    <w:rPr>
      <w:rFonts w:ascii="Times New Roman" w:hAnsi="Times New Roman"/>
      <w:i/>
      <w:iCs/>
    </w:rPr>
  </w:style>
  <w:style w:type="table" w:styleId="TableGrid">
    <w:name w:val="Table Grid"/>
    <w:basedOn w:val="TableNormal"/>
    <w:uiPriority w:val="39"/>
    <w:rsid w:val="00761E59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Flykt, Marjo S</dc:creator>
  <cp:keywords/>
  <dc:description/>
  <cp:lastModifiedBy>Frontiers</cp:lastModifiedBy>
  <cp:revision>2</cp:revision>
  <dcterms:created xsi:type="dcterms:W3CDTF">2021-11-29T11:18:00Z</dcterms:created>
  <dcterms:modified xsi:type="dcterms:W3CDTF">2021-11-29T11:18:00Z</dcterms:modified>
</cp:coreProperties>
</file>