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244" w14:textId="77777777" w:rsidR="0057051D" w:rsidRDefault="00BC62D6" w:rsidP="00732AE5">
      <w:pPr>
        <w:pStyle w:val="Heading2"/>
        <w:spacing w:line="360" w:lineRule="auto"/>
        <w:jc w:val="center"/>
        <w:rPr>
          <w:color w:val="4F81BD" w:themeColor="accent1"/>
          <w:sz w:val="32"/>
          <w:szCs w:val="28"/>
          <w:lang w:val="en-US"/>
        </w:rPr>
      </w:pPr>
      <w:bookmarkStart w:id="0" w:name="_Toc523495333"/>
      <w:r w:rsidRPr="0057051D">
        <w:rPr>
          <w:rStyle w:val="Heading1Char"/>
          <w:b/>
          <w:bCs/>
          <w:color w:val="4F81BD" w:themeColor="accent1"/>
        </w:rPr>
        <w:t>Supplementary:</w:t>
      </w:r>
      <w:r>
        <w:rPr>
          <w:lang w:val="en-US"/>
        </w:rPr>
        <w:br/>
      </w:r>
      <w:bookmarkStart w:id="1" w:name="_Toc523495335"/>
      <w:bookmarkEnd w:id="0"/>
      <w:r w:rsidR="0057051D" w:rsidRPr="003B00A9">
        <w:rPr>
          <w:color w:val="4F81BD" w:themeColor="accent1"/>
          <w:sz w:val="32"/>
          <w:szCs w:val="28"/>
          <w:lang w:val="en-US"/>
        </w:rPr>
        <w:t xml:space="preserve">Antibody targets and properties for complement fixation against </w:t>
      </w:r>
      <w:r w:rsidR="0057051D">
        <w:rPr>
          <w:color w:val="4F81BD" w:themeColor="accent1"/>
          <w:sz w:val="32"/>
          <w:szCs w:val="28"/>
          <w:lang w:val="en-US"/>
        </w:rPr>
        <w:t>the circumsporozoite protein</w:t>
      </w:r>
      <w:r w:rsidR="0057051D" w:rsidRPr="003B00A9">
        <w:rPr>
          <w:color w:val="4F81BD" w:themeColor="accent1"/>
          <w:sz w:val="32"/>
          <w:szCs w:val="28"/>
          <w:lang w:val="en-US"/>
        </w:rPr>
        <w:t xml:space="preserve"> in malaria immunity</w:t>
      </w:r>
    </w:p>
    <w:p w14:paraId="5725484D" w14:textId="77777777" w:rsidR="000939CC" w:rsidRPr="005C764F" w:rsidRDefault="000939CC" w:rsidP="00732AE5">
      <w:pPr>
        <w:pStyle w:val="Heading2"/>
        <w:spacing w:line="360" w:lineRule="auto"/>
        <w:rPr>
          <w:lang w:val="en-US"/>
        </w:rPr>
      </w:pPr>
      <w:r w:rsidRPr="005C764F">
        <w:rPr>
          <w:lang w:val="en-US"/>
        </w:rPr>
        <w:t>AUTHORS AND AFFILIATIONS</w:t>
      </w:r>
    </w:p>
    <w:p w14:paraId="4C53A2AA" w14:textId="77777777" w:rsidR="000939CC" w:rsidRPr="005C764F" w:rsidRDefault="000939CC" w:rsidP="00732AE5">
      <w:pPr>
        <w:spacing w:after="200" w:line="360" w:lineRule="auto"/>
        <w:rPr>
          <w:vertAlign w:val="superscript"/>
          <w:lang w:val="en-US"/>
        </w:rPr>
      </w:pPr>
      <w:r w:rsidRPr="005C764F">
        <w:rPr>
          <w:lang w:val="en-US"/>
        </w:rPr>
        <w:t>Liriye Kurtovic</w:t>
      </w:r>
      <w:r w:rsidRPr="005C764F">
        <w:rPr>
          <w:vertAlign w:val="superscript"/>
          <w:lang w:val="en-US"/>
        </w:rPr>
        <w:t>1, 2</w:t>
      </w:r>
      <w:r w:rsidRPr="005C764F">
        <w:rPr>
          <w:lang w:val="en-US"/>
        </w:rPr>
        <w:t xml:space="preserve">, Damien R. </w:t>
      </w:r>
      <w:r w:rsidRPr="00821547">
        <w:rPr>
          <w:lang w:val="en-US"/>
        </w:rPr>
        <w:t>Drew</w:t>
      </w:r>
      <w:r w:rsidRPr="00821547">
        <w:rPr>
          <w:vertAlign w:val="superscript"/>
          <w:lang w:val="en-US"/>
        </w:rPr>
        <w:t>1</w:t>
      </w:r>
      <w:r w:rsidRPr="00821547">
        <w:rPr>
          <w:lang w:val="en-US"/>
        </w:rPr>
        <w:t>, Arlene E. Dent</w:t>
      </w:r>
      <w:r w:rsidRPr="00821547">
        <w:rPr>
          <w:vertAlign w:val="superscript"/>
          <w:lang w:val="en-US"/>
        </w:rPr>
        <w:t>3</w:t>
      </w:r>
      <w:r w:rsidRPr="00821547">
        <w:rPr>
          <w:lang w:val="en-US"/>
        </w:rPr>
        <w:t>, James W. Kazura</w:t>
      </w:r>
      <w:r w:rsidRPr="00821547">
        <w:rPr>
          <w:vertAlign w:val="superscript"/>
          <w:lang w:val="en-US"/>
        </w:rPr>
        <w:t>3</w:t>
      </w:r>
      <w:r w:rsidRPr="00821547">
        <w:rPr>
          <w:lang w:val="en-US"/>
        </w:rPr>
        <w:t xml:space="preserve">, James G. </w:t>
      </w:r>
      <w:r w:rsidRPr="005C764F">
        <w:rPr>
          <w:lang w:val="en-US"/>
        </w:rPr>
        <w:t>Beeson</w:t>
      </w:r>
      <w:r w:rsidRPr="005C764F">
        <w:rPr>
          <w:vertAlign w:val="superscript"/>
          <w:lang w:val="en-US"/>
        </w:rPr>
        <w:t xml:space="preserve">1, 2, </w:t>
      </w:r>
      <w:r>
        <w:rPr>
          <w:vertAlign w:val="superscript"/>
          <w:lang w:val="en-US"/>
        </w:rPr>
        <w:t>4, 5</w:t>
      </w:r>
      <w:r w:rsidRPr="005C764F">
        <w:rPr>
          <w:vertAlign w:val="superscript"/>
          <w:lang w:val="en-US"/>
        </w:rPr>
        <w:t>*</w:t>
      </w:r>
    </w:p>
    <w:p w14:paraId="3F9434CA" w14:textId="77777777" w:rsidR="000939CC" w:rsidRDefault="000939CC" w:rsidP="00732AE5">
      <w:pPr>
        <w:spacing w:line="360" w:lineRule="auto"/>
        <w:rPr>
          <w:lang w:val="en-US"/>
        </w:rPr>
      </w:pPr>
      <w:r w:rsidRPr="005C764F">
        <w:rPr>
          <w:vertAlign w:val="superscript"/>
          <w:lang w:val="en-US"/>
        </w:rPr>
        <w:t>1</w:t>
      </w:r>
      <w:r w:rsidRPr="005C764F">
        <w:rPr>
          <w:lang w:val="en-US"/>
        </w:rPr>
        <w:t xml:space="preserve">Burnet Institute, Melbourne, Australia. </w:t>
      </w:r>
    </w:p>
    <w:p w14:paraId="33BA0BD7" w14:textId="77777777" w:rsidR="000939CC" w:rsidRDefault="000939CC" w:rsidP="00732AE5">
      <w:pPr>
        <w:spacing w:line="360" w:lineRule="auto"/>
        <w:rPr>
          <w:lang w:val="en-US"/>
        </w:rPr>
      </w:pPr>
      <w:r w:rsidRPr="005C764F">
        <w:rPr>
          <w:vertAlign w:val="superscript"/>
          <w:lang w:val="en-US"/>
        </w:rPr>
        <w:t>2</w:t>
      </w:r>
      <w:r w:rsidRPr="005C764F">
        <w:rPr>
          <w:lang w:val="en-US"/>
        </w:rPr>
        <w:t>Department of Immunology and Pathology, Monash University, Melbourne, Australia.</w:t>
      </w:r>
    </w:p>
    <w:p w14:paraId="03650483" w14:textId="77777777" w:rsidR="000939CC" w:rsidRDefault="000939CC" w:rsidP="00732AE5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>3</w:t>
      </w:r>
      <w:r w:rsidRPr="005C764F">
        <w:rPr>
          <w:lang w:val="en-US"/>
        </w:rPr>
        <w:t>Center for Global Health and Diseases, Case Western University, Cleveland, USA.</w:t>
      </w:r>
    </w:p>
    <w:p w14:paraId="556ABB0E" w14:textId="77777777" w:rsidR="000939CC" w:rsidRDefault="000939CC" w:rsidP="00732AE5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>4</w:t>
      </w:r>
      <w:r w:rsidRPr="005C764F">
        <w:rPr>
          <w:lang w:val="en-US"/>
        </w:rPr>
        <w:t xml:space="preserve">Department of Microbiology, Monash University, Clayton, Australia. </w:t>
      </w:r>
    </w:p>
    <w:p w14:paraId="7A96DB07" w14:textId="77777777" w:rsidR="000939CC" w:rsidRPr="005C764F" w:rsidRDefault="000939CC" w:rsidP="00732AE5">
      <w:pPr>
        <w:spacing w:after="200" w:line="360" w:lineRule="auto"/>
        <w:rPr>
          <w:lang w:val="en-US"/>
        </w:rPr>
      </w:pPr>
      <w:r>
        <w:rPr>
          <w:vertAlign w:val="superscript"/>
          <w:lang w:val="en-US"/>
        </w:rPr>
        <w:t>5</w:t>
      </w:r>
      <w:r w:rsidRPr="005C764F">
        <w:rPr>
          <w:lang w:val="en-US"/>
        </w:rPr>
        <w:t>Department of Medicine, The University of Melbourne, Parkville, Australia.</w:t>
      </w:r>
    </w:p>
    <w:p w14:paraId="085D9EAC" w14:textId="77777777" w:rsidR="000939CC" w:rsidRPr="005C764F" w:rsidRDefault="000939CC" w:rsidP="00732AE5">
      <w:pPr>
        <w:spacing w:after="200" w:line="360" w:lineRule="auto"/>
        <w:rPr>
          <w:lang w:val="en-US"/>
        </w:rPr>
      </w:pPr>
      <w:r w:rsidRPr="005C764F">
        <w:rPr>
          <w:lang w:val="en-US"/>
        </w:rPr>
        <w:t>*Corresponding author: 85 Commercial Road, Melbourne, Australia, 9282 2111, beeson@burnet.edu.au</w:t>
      </w:r>
    </w:p>
    <w:p w14:paraId="7F63F275" w14:textId="77777777" w:rsidR="00482937" w:rsidRDefault="00482937" w:rsidP="00732AE5">
      <w:pPr>
        <w:pStyle w:val="Heading1"/>
        <w:spacing w:line="360" w:lineRule="auto"/>
        <w:rPr>
          <w:lang w:val="en-US"/>
        </w:rPr>
      </w:pPr>
    </w:p>
    <w:p w14:paraId="593F2AC3" w14:textId="77777777" w:rsidR="00482937" w:rsidRDefault="00482937" w:rsidP="00732AE5">
      <w:pPr>
        <w:pStyle w:val="Heading1"/>
        <w:spacing w:line="360" w:lineRule="auto"/>
        <w:rPr>
          <w:lang w:val="en-US"/>
        </w:rPr>
      </w:pPr>
    </w:p>
    <w:p w14:paraId="41D2531A" w14:textId="77777777" w:rsidR="00482937" w:rsidRDefault="00482937" w:rsidP="00732AE5">
      <w:pPr>
        <w:pStyle w:val="Heading1"/>
        <w:spacing w:line="360" w:lineRule="auto"/>
        <w:rPr>
          <w:lang w:val="en-US"/>
        </w:rPr>
      </w:pPr>
    </w:p>
    <w:p w14:paraId="0ABB60D1" w14:textId="67584EC2" w:rsidR="00C44E07" w:rsidRPr="005C764F" w:rsidRDefault="00C44E07" w:rsidP="00732AE5">
      <w:pPr>
        <w:pStyle w:val="Heading1"/>
        <w:spacing w:line="360" w:lineRule="auto"/>
        <w:rPr>
          <w:lang w:val="en-US"/>
        </w:rPr>
      </w:pPr>
      <w:r w:rsidRPr="005C764F">
        <w:rPr>
          <w:lang w:val="en-US"/>
        </w:rPr>
        <w:t xml:space="preserve"> </w:t>
      </w:r>
    </w:p>
    <w:p w14:paraId="517DDCDC" w14:textId="77777777" w:rsidR="00C44E07" w:rsidRPr="005C764F" w:rsidRDefault="00C44E07" w:rsidP="00732AE5">
      <w:pPr>
        <w:spacing w:line="360" w:lineRule="auto"/>
        <w:rPr>
          <w:lang w:val="en-US"/>
        </w:rPr>
      </w:pPr>
    </w:p>
    <w:p w14:paraId="648EC0D5" w14:textId="6F4CEB8A" w:rsidR="00C44E07" w:rsidRDefault="00C44E07" w:rsidP="00732AE5">
      <w:pPr>
        <w:spacing w:line="360" w:lineRule="auto"/>
        <w:rPr>
          <w:lang w:val="en-US"/>
        </w:rPr>
      </w:pPr>
    </w:p>
    <w:p w14:paraId="74F5022B" w14:textId="0868B3CC" w:rsidR="005E04DC" w:rsidRDefault="005E04DC" w:rsidP="00732AE5">
      <w:pPr>
        <w:spacing w:line="360" w:lineRule="auto"/>
        <w:rPr>
          <w:lang w:val="en-US"/>
        </w:rPr>
      </w:pPr>
    </w:p>
    <w:p w14:paraId="33C65C19" w14:textId="11C270A0" w:rsidR="005E04DC" w:rsidRDefault="005E04DC" w:rsidP="00732AE5">
      <w:pPr>
        <w:spacing w:line="360" w:lineRule="auto"/>
        <w:rPr>
          <w:lang w:val="en-US"/>
        </w:rPr>
      </w:pPr>
    </w:p>
    <w:p w14:paraId="6B6754D5" w14:textId="77777777" w:rsidR="000939CC" w:rsidRDefault="000939CC" w:rsidP="00732AE5">
      <w:pPr>
        <w:spacing w:line="360" w:lineRule="auto"/>
        <w:rPr>
          <w:lang w:val="en-US"/>
        </w:rPr>
      </w:pPr>
    </w:p>
    <w:p w14:paraId="1FEB0C04" w14:textId="66E3BE6D" w:rsidR="005E04DC" w:rsidRDefault="000939CC" w:rsidP="00732AE5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14:paraId="3767CF8B" w14:textId="47C5E504" w:rsidR="00C44E07" w:rsidRDefault="00BC62D6" w:rsidP="00732AE5">
      <w:pPr>
        <w:pStyle w:val="Heading2"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SUPPLEMENTARY METHODS </w:t>
      </w:r>
    </w:p>
    <w:p w14:paraId="66C6DE44" w14:textId="06FE0B32" w:rsidR="00A04D99" w:rsidRDefault="00A04D99" w:rsidP="00732AE5">
      <w:pPr>
        <w:pStyle w:val="Heading3"/>
        <w:spacing w:line="360" w:lineRule="auto"/>
        <w:rPr>
          <w:lang w:val="en-US"/>
        </w:rPr>
      </w:pPr>
      <w:r>
        <w:rPr>
          <w:lang w:val="en-US"/>
        </w:rPr>
        <w:t>Mouse anti-CSP vaccination study</w:t>
      </w:r>
    </w:p>
    <w:p w14:paraId="5B003848" w14:textId="601727B6" w:rsidR="00A04D99" w:rsidRPr="00A04D99" w:rsidRDefault="00A04D99" w:rsidP="00732AE5">
      <w:pPr>
        <w:spacing w:line="360" w:lineRule="auto"/>
        <w:rPr>
          <w:lang w:val="en-US"/>
        </w:rPr>
      </w:pPr>
      <w:r>
        <w:rPr>
          <w:lang w:val="en-US"/>
        </w:rPr>
        <w:t>We previously showed that mice (n=5) vaccinated with</w:t>
      </w:r>
      <w:r w:rsidR="001A755F">
        <w:rPr>
          <w:lang w:val="en-US"/>
        </w:rPr>
        <w:t xml:space="preserve"> near</w:t>
      </w:r>
      <w:r w:rsidR="00FA4A9E">
        <w:rPr>
          <w:lang w:val="en-US"/>
        </w:rPr>
        <w:t xml:space="preserve"> </w:t>
      </w:r>
      <w:r>
        <w:rPr>
          <w:lang w:val="en-US"/>
        </w:rPr>
        <w:t xml:space="preserve">full-length </w:t>
      </w:r>
      <w:r w:rsidR="00FA4A9E">
        <w:rPr>
          <w:lang w:val="en-US"/>
        </w:rPr>
        <w:t xml:space="preserve">Gennova </w:t>
      </w:r>
      <w:r>
        <w:rPr>
          <w:lang w:val="en-US"/>
        </w:rPr>
        <w:t>CSP in an alum adjuvant induced IgG to the central-repeat and C-terminal regions of CSP</w:t>
      </w:r>
      <w:r w:rsidR="005A1714">
        <w:rPr>
          <w:lang w:val="en-US"/>
        </w:rPr>
        <w:t xml:space="preserve"> </w:t>
      </w:r>
      <w:r w:rsidR="005A1714">
        <w:rPr>
          <w:lang w:val="en-US"/>
        </w:rPr>
        <w:fldChar w:fldCharType="begin"/>
      </w:r>
      <w:r w:rsidR="005A1714">
        <w:rPr>
          <w:lang w:val="en-US"/>
        </w:rPr>
        <w:instrText xml:space="preserve"> ADDIN EN.CITE &lt;EndNote&gt;&lt;Cite&gt;&lt;Author&gt;Kurtovic&lt;/Author&gt;&lt;Year&gt;2021&lt;/Year&gt;&lt;RecNum&gt;1197&lt;/RecNum&gt;&lt;DisplayText&gt;(1)&lt;/DisplayText&gt;&lt;record&gt;&lt;rec-number&gt;1197&lt;/rec-number&gt;&lt;foreign-keys&gt;&lt;key app="EN" db-id="se0peaa53xevfget529590ftwtwttd0dxxvp" timestamp="1614245220"&gt;1197&lt;/key&gt;&lt;/foreign-keys&gt;&lt;ref-type name="Journal Article"&gt;17&lt;/ref-type&gt;&lt;contributors&gt;&lt;authors&gt;&lt;author&gt;Kurtovic, L&lt;/author&gt;&lt;author&gt;Wetzel, D&lt;/author&gt;&lt;author&gt;Reiling, L&lt;/author&gt;&lt;author&gt;Drew, DR&lt;/author&gt;&lt;author&gt;Palmer, C&lt;/author&gt;&lt;author&gt;Kouskousis, B&lt;/author&gt;&lt;author&gt;Hanssen, E&lt;/author&gt;&lt;author&gt;Wines, BD&lt;/author&gt;&lt;author&gt;Hogarth, PM&lt;/author&gt;&lt;author&gt;Suckow, M&lt;/author&gt;&lt;author&gt;Jenzelewski, V&lt;/author&gt;&lt;author&gt;Piontek, M&lt;/author&gt;&lt;author&gt;Chan, JA&lt;/author&gt;&lt;author&gt;Beeson, JG &lt;/author&gt;&lt;/authors&gt;&lt;/contributors&gt;&lt;titles&gt;&lt;title&gt;&lt;style face="normal" font="default" size="100%"&gt;Novel virus-like particle encoding the circumsporozoite protein of &lt;/style&gt;&lt;style face="italic" font="default" size="100%"&gt;Plasmodium falciparum&lt;/style&gt;&lt;style face="normal" font="default" size="100%"&gt; induces functional antibody responses in mice&lt;/style&gt;&lt;/title&gt;&lt;secondary-title&gt;Front Immunol&lt;/secondary-title&gt;&lt;/titles&gt;&lt;periodical&gt;&lt;full-title&gt;Front Immunol&lt;/full-title&gt;&lt;/periodical&gt;&lt;pages&gt;788&lt;/pages&gt;&lt;volume&gt;12&lt;/volume&gt;&lt;dates&gt;&lt;year&gt;2021&lt;/year&gt;&lt;/dates&gt;&lt;urls&gt;&lt;/urls&gt;&lt;/record&gt;&lt;/Cite&gt;&lt;/EndNote&gt;</w:instrText>
      </w:r>
      <w:r w:rsidR="005A1714">
        <w:rPr>
          <w:lang w:val="en-US"/>
        </w:rPr>
        <w:fldChar w:fldCharType="separate"/>
      </w:r>
      <w:r w:rsidR="005A1714">
        <w:rPr>
          <w:noProof/>
          <w:lang w:val="en-US"/>
        </w:rPr>
        <w:t>(</w:t>
      </w:r>
      <w:hyperlink w:anchor="_ENREF_1" w:tooltip="Kurtovic, 2021 #1197" w:history="1">
        <w:r w:rsidR="00F722C0">
          <w:rPr>
            <w:noProof/>
            <w:lang w:val="en-US"/>
          </w:rPr>
          <w:t>1</w:t>
        </w:r>
      </w:hyperlink>
      <w:r w:rsidR="005A1714">
        <w:rPr>
          <w:noProof/>
          <w:lang w:val="en-US"/>
        </w:rPr>
        <w:t>)</w:t>
      </w:r>
      <w:r w:rsidR="005A1714">
        <w:rPr>
          <w:lang w:val="en-US"/>
        </w:rPr>
        <w:fldChar w:fldCharType="end"/>
      </w:r>
      <w:r>
        <w:rPr>
          <w:lang w:val="en-US"/>
        </w:rPr>
        <w:t>. Here, we tested the mouse antisera at 1/2000 dilution for IgG to the NT antigen that represented the N-terminal region of CSP (</w:t>
      </w:r>
      <w:r w:rsidRPr="00A04D99">
        <w:rPr>
          <w:b/>
          <w:bCs/>
          <w:lang w:val="en-US"/>
        </w:rPr>
        <w:t>Figure S</w:t>
      </w:r>
      <w:r w:rsidR="005A1714">
        <w:rPr>
          <w:b/>
          <w:bCs/>
          <w:lang w:val="en-US"/>
        </w:rPr>
        <w:t>2c</w:t>
      </w:r>
      <w:r>
        <w:rPr>
          <w:lang w:val="en-US"/>
        </w:rPr>
        <w:t xml:space="preserve">). The mouse antisera were tested by ELISA as described in the main results section and was detected using goat anti-mouse IgG HRP conjugated antibodies (Millipore). </w:t>
      </w:r>
    </w:p>
    <w:p w14:paraId="35B20BAD" w14:textId="58BD071E" w:rsidR="000939CC" w:rsidRDefault="000939CC" w:rsidP="00732AE5">
      <w:pPr>
        <w:pStyle w:val="Heading3"/>
        <w:spacing w:line="360" w:lineRule="auto"/>
        <w:rPr>
          <w:lang w:val="en-US"/>
        </w:rPr>
      </w:pPr>
      <w:r>
        <w:rPr>
          <w:lang w:val="en-US"/>
        </w:rPr>
        <w:t>Sporozoite ELISA</w:t>
      </w:r>
    </w:p>
    <w:p w14:paraId="06FA9AF3" w14:textId="1DA66080" w:rsidR="000939CC" w:rsidRPr="000939CC" w:rsidRDefault="000939CC" w:rsidP="00732AE5">
      <w:pPr>
        <w:spacing w:after="200" w:line="360" w:lineRule="auto"/>
        <w:rPr>
          <w:lang w:val="en-US"/>
        </w:rPr>
      </w:pPr>
      <w:r w:rsidRPr="000939CC">
        <w:rPr>
          <w:lang w:val="en-US"/>
        </w:rPr>
        <w:t xml:space="preserve">Rabbit IgG were tested for reactivity against </w:t>
      </w:r>
      <w:r w:rsidRPr="000939CC">
        <w:rPr>
          <w:i/>
          <w:iCs/>
          <w:lang w:val="en-US"/>
        </w:rPr>
        <w:t xml:space="preserve">P. falciparum </w:t>
      </w:r>
      <w:r w:rsidRPr="000939CC">
        <w:rPr>
          <w:lang w:val="en-US"/>
        </w:rPr>
        <w:t xml:space="preserve">sporozoites </w:t>
      </w:r>
      <w:r>
        <w:rPr>
          <w:lang w:val="en-US"/>
        </w:rPr>
        <w:t>as described for standard ELISA, coating at 10,000 cells per well and all washes were performed using PBS (</w:t>
      </w:r>
      <w:r>
        <w:rPr>
          <w:b/>
          <w:bCs/>
          <w:lang w:val="en-US"/>
        </w:rPr>
        <w:t>Figure S</w:t>
      </w:r>
      <w:r w:rsidR="0057051D">
        <w:rPr>
          <w:b/>
          <w:bCs/>
          <w:lang w:val="en-US"/>
        </w:rPr>
        <w:t>1</w:t>
      </w:r>
      <w:r w:rsidR="00C4652F">
        <w:rPr>
          <w:b/>
          <w:bCs/>
          <w:lang w:val="en-US"/>
        </w:rPr>
        <w:t>b</w:t>
      </w:r>
      <w:r>
        <w:rPr>
          <w:lang w:val="en-US"/>
        </w:rPr>
        <w:t xml:space="preserve">). Cryopreserved </w:t>
      </w:r>
      <w:r>
        <w:rPr>
          <w:i/>
          <w:iCs/>
          <w:lang w:val="en-US"/>
        </w:rPr>
        <w:t xml:space="preserve">P. falciparum </w:t>
      </w:r>
      <w:r>
        <w:rPr>
          <w:lang w:val="en-US"/>
        </w:rPr>
        <w:t>3D7 sporozoites</w:t>
      </w:r>
      <w:r w:rsidRPr="000939CC">
        <w:rPr>
          <w:lang w:val="en-US"/>
        </w:rPr>
        <w:t xml:space="preserve"> (Sanaria, Rockville, USA) were provided by PATH’s </w:t>
      </w:r>
      <w:r w:rsidR="002B661D">
        <w:rPr>
          <w:lang w:val="en-US"/>
        </w:rPr>
        <w:t>MVI</w:t>
      </w:r>
      <w:r w:rsidRPr="000939CC">
        <w:rPr>
          <w:lang w:val="en-US"/>
        </w:rPr>
        <w:t xml:space="preserve">. </w:t>
      </w:r>
    </w:p>
    <w:p w14:paraId="7A335A66" w14:textId="7D963F6B" w:rsidR="000939CC" w:rsidRDefault="000939CC" w:rsidP="00732AE5">
      <w:pPr>
        <w:pStyle w:val="Heading3"/>
        <w:spacing w:line="360" w:lineRule="auto"/>
        <w:rPr>
          <w:lang w:val="en-US"/>
        </w:rPr>
      </w:pPr>
      <w:r>
        <w:rPr>
          <w:lang w:val="en-US"/>
        </w:rPr>
        <w:t>N-terminal stud</w:t>
      </w:r>
      <w:r w:rsidR="005A1714">
        <w:rPr>
          <w:lang w:val="en-US"/>
        </w:rPr>
        <w:t>y</w:t>
      </w:r>
      <w:r>
        <w:rPr>
          <w:lang w:val="en-US"/>
        </w:rPr>
        <w:t xml:space="preserve"> using </w:t>
      </w:r>
      <w:r w:rsidR="003E4854">
        <w:rPr>
          <w:lang w:val="en-US"/>
        </w:rPr>
        <w:t xml:space="preserve">a </w:t>
      </w:r>
      <w:r>
        <w:rPr>
          <w:lang w:val="en-US"/>
        </w:rPr>
        <w:t xml:space="preserve">46 amino acid peptide </w:t>
      </w:r>
    </w:p>
    <w:p w14:paraId="229A08F7" w14:textId="4B69B24A" w:rsidR="00BE027C" w:rsidRDefault="000939CC" w:rsidP="00732AE5">
      <w:pPr>
        <w:spacing w:line="360" w:lineRule="auto"/>
        <w:rPr>
          <w:lang w:val="en-US"/>
        </w:rPr>
      </w:pPr>
      <w:r>
        <w:rPr>
          <w:lang w:val="en-US"/>
        </w:rPr>
        <w:t>A previous study reported that antibody responses to a 46 amino acid peptide representing the N-terminal region of CSP were associated with clinical protection. We synthesized the same peptide (</w:t>
      </w:r>
      <w:r w:rsidRPr="000939CC">
        <w:rPr>
          <w:lang w:val="en-US"/>
        </w:rPr>
        <w:t>LKKNSRSLGENDDGNNEDNEKLRKPKHKKLKQPADGNPDPNANPNV</w:t>
      </w:r>
      <w:r>
        <w:rPr>
          <w:lang w:val="en-US"/>
        </w:rPr>
        <w:t xml:space="preserve">; Life Tein, USA) and found that it could be recognized by human monoclonal antibodies (mAbs) specific to the N-terminal and central-repeat regions of CSP (mAbs were provided by </w:t>
      </w:r>
      <w:r w:rsidR="002B661D">
        <w:rPr>
          <w:lang w:val="en-US"/>
        </w:rPr>
        <w:t xml:space="preserve">PATH’s MVI, </w:t>
      </w:r>
      <w:r w:rsidR="002B661D">
        <w:rPr>
          <w:b/>
          <w:bCs/>
          <w:lang w:val="en-US"/>
        </w:rPr>
        <w:t>Figure S</w:t>
      </w:r>
      <w:r w:rsidR="00C042E1">
        <w:rPr>
          <w:b/>
          <w:bCs/>
          <w:lang w:val="en-US"/>
        </w:rPr>
        <w:t>2</w:t>
      </w:r>
      <w:r w:rsidR="002B661D">
        <w:rPr>
          <w:lang w:val="en-US"/>
        </w:rPr>
        <w:t xml:space="preserve">). This was likely due to the repeat-specific mAb cross-reacting with the terminal NANPNV sequence of the </w:t>
      </w:r>
      <w:r w:rsidR="000100E8">
        <w:rPr>
          <w:lang w:val="en-US"/>
        </w:rPr>
        <w:t xml:space="preserve">46 amino acid </w:t>
      </w:r>
      <w:r w:rsidR="002B661D">
        <w:rPr>
          <w:lang w:val="en-US"/>
        </w:rPr>
        <w:t xml:space="preserve">peptide. </w:t>
      </w:r>
    </w:p>
    <w:p w14:paraId="121CE76C" w14:textId="79E6C8C3" w:rsidR="0047061A" w:rsidRDefault="0047061A" w:rsidP="00732AE5">
      <w:pPr>
        <w:spacing w:line="360" w:lineRule="auto"/>
        <w:rPr>
          <w:lang w:val="en-US"/>
        </w:rPr>
      </w:pPr>
    </w:p>
    <w:p w14:paraId="25B0D954" w14:textId="0C8E21FE" w:rsidR="0047061A" w:rsidRDefault="0047061A" w:rsidP="00732AE5">
      <w:pPr>
        <w:spacing w:line="360" w:lineRule="auto"/>
        <w:rPr>
          <w:lang w:val="en-US"/>
        </w:rPr>
      </w:pPr>
    </w:p>
    <w:p w14:paraId="43BAC2C6" w14:textId="6ECEF3ED" w:rsidR="0047061A" w:rsidRDefault="0047061A" w:rsidP="00732AE5">
      <w:pPr>
        <w:spacing w:line="360" w:lineRule="auto"/>
        <w:rPr>
          <w:lang w:val="en-US"/>
        </w:rPr>
      </w:pPr>
    </w:p>
    <w:p w14:paraId="1470CEAD" w14:textId="661BFFEC" w:rsidR="0047061A" w:rsidRDefault="0047061A" w:rsidP="00732AE5">
      <w:pPr>
        <w:spacing w:line="360" w:lineRule="auto"/>
        <w:rPr>
          <w:lang w:val="en-US"/>
        </w:rPr>
      </w:pPr>
    </w:p>
    <w:p w14:paraId="5B35ECC8" w14:textId="77777777" w:rsidR="003B3DCF" w:rsidRDefault="003B3DCF" w:rsidP="00732AE5">
      <w:pPr>
        <w:spacing w:line="360" w:lineRule="auto"/>
        <w:rPr>
          <w:lang w:val="en-US"/>
        </w:rPr>
      </w:pPr>
    </w:p>
    <w:p w14:paraId="3A4FA269" w14:textId="1C16753B" w:rsidR="0047061A" w:rsidRDefault="0047061A" w:rsidP="00732AE5">
      <w:pPr>
        <w:spacing w:line="360" w:lineRule="auto"/>
        <w:rPr>
          <w:lang w:val="en-US"/>
        </w:rPr>
      </w:pPr>
    </w:p>
    <w:p w14:paraId="249C1F2B" w14:textId="14647A15" w:rsidR="0047061A" w:rsidRDefault="0047061A" w:rsidP="00732AE5">
      <w:pPr>
        <w:spacing w:line="360" w:lineRule="auto"/>
        <w:rPr>
          <w:lang w:val="en-US"/>
        </w:rPr>
      </w:pPr>
    </w:p>
    <w:p w14:paraId="6DAC39B7" w14:textId="032F0344" w:rsidR="0047061A" w:rsidRDefault="0047061A" w:rsidP="00732AE5">
      <w:pPr>
        <w:spacing w:line="360" w:lineRule="auto"/>
        <w:rPr>
          <w:lang w:val="en-US"/>
        </w:rPr>
      </w:pPr>
    </w:p>
    <w:p w14:paraId="7A8E1225" w14:textId="77777777" w:rsidR="005E3E52" w:rsidRDefault="005E3E52" w:rsidP="00732AE5">
      <w:pPr>
        <w:spacing w:line="360" w:lineRule="auto"/>
        <w:rPr>
          <w:lang w:val="en-US"/>
        </w:rPr>
      </w:pPr>
    </w:p>
    <w:p w14:paraId="4CBD94C2" w14:textId="2000BC4E" w:rsidR="00482937" w:rsidRDefault="00482937" w:rsidP="00732AE5">
      <w:pPr>
        <w:spacing w:line="360" w:lineRule="auto"/>
        <w:rPr>
          <w:lang w:val="en-US"/>
        </w:rPr>
      </w:pPr>
    </w:p>
    <w:p w14:paraId="5744D068" w14:textId="4CD80EA7" w:rsidR="00482937" w:rsidRDefault="00482937" w:rsidP="00732AE5">
      <w:pPr>
        <w:spacing w:line="360" w:lineRule="auto"/>
        <w:rPr>
          <w:lang w:val="en-US"/>
        </w:rPr>
      </w:pPr>
    </w:p>
    <w:p w14:paraId="17B6FA2E" w14:textId="3083F991" w:rsidR="00F722C0" w:rsidRDefault="00F722C0" w:rsidP="00732AE5">
      <w:pPr>
        <w:spacing w:line="360" w:lineRule="auto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AA5BBA7" wp14:editId="02EA6C23">
            <wp:simplePos x="0" y="0"/>
            <wp:positionH relativeFrom="margin">
              <wp:posOffset>-290830</wp:posOffset>
            </wp:positionH>
            <wp:positionV relativeFrom="paragraph">
              <wp:posOffset>-234935</wp:posOffset>
            </wp:positionV>
            <wp:extent cx="6160211" cy="4124325"/>
            <wp:effectExtent l="0" t="0" r="0" b="0"/>
            <wp:wrapNone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211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515A0" w14:textId="6C1659E8" w:rsidR="00482937" w:rsidRDefault="00482937" w:rsidP="00732AE5">
      <w:pPr>
        <w:spacing w:line="360" w:lineRule="auto"/>
        <w:rPr>
          <w:lang w:val="en-US"/>
        </w:rPr>
      </w:pPr>
    </w:p>
    <w:p w14:paraId="032BCD93" w14:textId="3E288041" w:rsidR="00D42E5E" w:rsidRDefault="00D42E5E" w:rsidP="00732AE5">
      <w:pPr>
        <w:spacing w:line="360" w:lineRule="auto"/>
        <w:rPr>
          <w:lang w:val="en-US"/>
        </w:rPr>
      </w:pPr>
    </w:p>
    <w:bookmarkEnd w:id="1"/>
    <w:p w14:paraId="7B55297A" w14:textId="5D18ADAB" w:rsidR="005346E7" w:rsidRDefault="005346E7" w:rsidP="00732AE5">
      <w:pPr>
        <w:spacing w:line="360" w:lineRule="auto"/>
      </w:pPr>
    </w:p>
    <w:p w14:paraId="347C3C3A" w14:textId="61A96374" w:rsidR="00A26F9C" w:rsidRDefault="00A26F9C" w:rsidP="00732AE5">
      <w:pPr>
        <w:spacing w:line="360" w:lineRule="auto"/>
        <w:rPr>
          <w:b/>
          <w:bCs/>
        </w:rPr>
      </w:pPr>
    </w:p>
    <w:p w14:paraId="57898C7A" w14:textId="77777777" w:rsidR="00A26F9C" w:rsidRDefault="00A26F9C" w:rsidP="00732AE5">
      <w:pPr>
        <w:spacing w:line="360" w:lineRule="auto"/>
        <w:rPr>
          <w:b/>
          <w:bCs/>
        </w:rPr>
      </w:pPr>
    </w:p>
    <w:p w14:paraId="52A07BD9" w14:textId="77777777" w:rsidR="00A26F9C" w:rsidRDefault="00A26F9C" w:rsidP="00732AE5">
      <w:pPr>
        <w:spacing w:line="360" w:lineRule="auto"/>
        <w:rPr>
          <w:b/>
          <w:bCs/>
        </w:rPr>
      </w:pPr>
    </w:p>
    <w:p w14:paraId="554E7DB3" w14:textId="7F1F0887" w:rsidR="00A26F9C" w:rsidRDefault="00A26F9C" w:rsidP="00732AE5">
      <w:pPr>
        <w:spacing w:line="360" w:lineRule="auto"/>
        <w:rPr>
          <w:b/>
          <w:bCs/>
        </w:rPr>
      </w:pPr>
    </w:p>
    <w:p w14:paraId="64972F15" w14:textId="16F62534" w:rsidR="00A26F9C" w:rsidRDefault="00A26F9C" w:rsidP="00732AE5">
      <w:pPr>
        <w:spacing w:line="360" w:lineRule="auto"/>
        <w:rPr>
          <w:b/>
          <w:bCs/>
        </w:rPr>
      </w:pPr>
    </w:p>
    <w:p w14:paraId="7BFDF6EE" w14:textId="58F70DC2" w:rsidR="00A26F9C" w:rsidRDefault="00A26F9C" w:rsidP="00732AE5">
      <w:pPr>
        <w:spacing w:line="360" w:lineRule="auto"/>
        <w:rPr>
          <w:b/>
          <w:bCs/>
        </w:rPr>
      </w:pPr>
    </w:p>
    <w:p w14:paraId="18D7AAB7" w14:textId="24BCDCCA" w:rsidR="00A26F9C" w:rsidRDefault="00A26F9C" w:rsidP="00732AE5">
      <w:pPr>
        <w:spacing w:line="360" w:lineRule="auto"/>
        <w:rPr>
          <w:b/>
          <w:bCs/>
        </w:rPr>
      </w:pPr>
    </w:p>
    <w:p w14:paraId="7C6EEE99" w14:textId="46C44CC8" w:rsidR="00A26F9C" w:rsidRDefault="00A26F9C" w:rsidP="00732AE5">
      <w:pPr>
        <w:spacing w:line="360" w:lineRule="auto"/>
        <w:rPr>
          <w:b/>
          <w:bCs/>
        </w:rPr>
      </w:pPr>
    </w:p>
    <w:p w14:paraId="73C26F64" w14:textId="05384E43" w:rsidR="00A26F9C" w:rsidRDefault="00A26F9C" w:rsidP="00732AE5">
      <w:pPr>
        <w:spacing w:line="360" w:lineRule="auto"/>
        <w:rPr>
          <w:b/>
          <w:bCs/>
        </w:rPr>
      </w:pPr>
    </w:p>
    <w:p w14:paraId="5C1F086D" w14:textId="2D931E42" w:rsidR="00A26F9C" w:rsidRDefault="00A26F9C" w:rsidP="00732AE5">
      <w:pPr>
        <w:spacing w:line="360" w:lineRule="auto"/>
        <w:rPr>
          <w:b/>
          <w:bCs/>
        </w:rPr>
      </w:pPr>
    </w:p>
    <w:p w14:paraId="7FFC8996" w14:textId="163747DD" w:rsidR="00A26F9C" w:rsidRDefault="00A26F9C" w:rsidP="00732AE5">
      <w:pPr>
        <w:spacing w:line="360" w:lineRule="auto"/>
        <w:rPr>
          <w:b/>
          <w:bCs/>
        </w:rPr>
      </w:pPr>
    </w:p>
    <w:p w14:paraId="34490F70" w14:textId="2D7EDE87" w:rsidR="005A1714" w:rsidRDefault="005E04DC" w:rsidP="00732AE5">
      <w:pPr>
        <w:spacing w:line="360" w:lineRule="auto"/>
        <w:rPr>
          <w:noProof/>
          <w:lang w:val="en-US"/>
        </w:rPr>
      </w:pPr>
      <w:r w:rsidRPr="002B661D">
        <w:rPr>
          <w:b/>
          <w:bCs/>
        </w:rPr>
        <w:t>FIGURE S</w:t>
      </w:r>
      <w:r w:rsidR="0057051D">
        <w:rPr>
          <w:b/>
          <w:bCs/>
        </w:rPr>
        <w:t>1</w:t>
      </w:r>
      <w:r w:rsidRPr="002B661D">
        <w:rPr>
          <w:b/>
          <w:bCs/>
        </w:rPr>
        <w:t>.</w:t>
      </w:r>
      <w:r>
        <w:rPr>
          <w:b/>
          <w:bCs/>
        </w:rPr>
        <w:t xml:space="preserve"> Supplementary </w:t>
      </w:r>
      <w:r w:rsidR="00A04D99">
        <w:rPr>
          <w:b/>
          <w:bCs/>
        </w:rPr>
        <w:t xml:space="preserve">rabbit and mouse </w:t>
      </w:r>
      <w:r w:rsidR="000939CC">
        <w:rPr>
          <w:b/>
          <w:bCs/>
        </w:rPr>
        <w:t xml:space="preserve">antibody </w:t>
      </w:r>
      <w:r>
        <w:rPr>
          <w:b/>
          <w:bCs/>
        </w:rPr>
        <w:t>data. A</w:t>
      </w:r>
      <w:r>
        <w:t xml:space="preserve">) </w:t>
      </w:r>
      <w:r w:rsidR="005A1714">
        <w:rPr>
          <w:noProof/>
          <w:lang w:val="en-US"/>
        </w:rPr>
        <w:t>R</w:t>
      </w:r>
      <w:r w:rsidR="00932E00" w:rsidRPr="00932E00">
        <w:rPr>
          <w:noProof/>
          <w:lang w:val="en-US"/>
        </w:rPr>
        <w:t xml:space="preserve">abbits </w:t>
      </w:r>
      <w:r w:rsidR="005A1714">
        <w:rPr>
          <w:noProof/>
          <w:lang w:val="en-US"/>
        </w:rPr>
        <w:t xml:space="preserve">(n=2) </w:t>
      </w:r>
      <w:r w:rsidR="00932E00" w:rsidRPr="00932E00">
        <w:rPr>
          <w:noProof/>
          <w:lang w:val="en-US"/>
        </w:rPr>
        <w:t xml:space="preserve">were vaccinated with CSP, N+C and CT, and purified IgG (from antiserum collected after vaccination) were tested for IgG </w:t>
      </w:r>
      <w:r w:rsidR="005A1714">
        <w:rPr>
          <w:noProof/>
          <w:lang w:val="en-US"/>
        </w:rPr>
        <w:t xml:space="preserve">and C1q-fixation </w:t>
      </w:r>
      <w:r w:rsidR="00932E00" w:rsidRPr="00932E00">
        <w:rPr>
          <w:noProof/>
          <w:lang w:val="en-US"/>
        </w:rPr>
        <w:t xml:space="preserve">to </w:t>
      </w:r>
      <w:r w:rsidR="005A1714">
        <w:rPr>
          <w:noProof/>
          <w:lang w:val="en-US"/>
        </w:rPr>
        <w:t>CSP</w:t>
      </w:r>
      <w:r w:rsidR="00932E00" w:rsidRPr="00932E00">
        <w:rPr>
          <w:noProof/>
          <w:lang w:val="en-US"/>
        </w:rPr>
        <w:t>. Results were corrected for background reactivity using no-IgG control wells</w:t>
      </w:r>
      <w:r w:rsidR="005A1714">
        <w:rPr>
          <w:noProof/>
          <w:lang w:val="en-US"/>
        </w:rPr>
        <w:t xml:space="preserve"> and</w:t>
      </w:r>
      <w:r w:rsidR="00444D91">
        <w:rPr>
          <w:noProof/>
          <w:lang w:val="en-US"/>
        </w:rPr>
        <w:t xml:space="preserve"> e</w:t>
      </w:r>
      <w:r w:rsidR="005A1714">
        <w:rPr>
          <w:noProof/>
          <w:lang w:val="en-US"/>
        </w:rPr>
        <w:t xml:space="preserve">ach symbol represents a rabbit, </w:t>
      </w:r>
      <w:r w:rsidR="00932E00" w:rsidRPr="00932E00">
        <w:rPr>
          <w:noProof/>
          <w:lang w:val="en-US"/>
        </w:rPr>
        <w:t xml:space="preserve">and the mean and range of </w:t>
      </w:r>
      <w:r w:rsidR="005A1714">
        <w:rPr>
          <w:noProof/>
          <w:lang w:val="en-US"/>
        </w:rPr>
        <w:t xml:space="preserve">rabbits </w:t>
      </w:r>
      <w:r w:rsidR="00444D91">
        <w:rPr>
          <w:noProof/>
          <w:lang w:val="en-US"/>
        </w:rPr>
        <w:t>is</w:t>
      </w:r>
      <w:r w:rsidR="00932E00" w:rsidRPr="00932E00">
        <w:rPr>
          <w:noProof/>
          <w:lang w:val="en-US"/>
        </w:rPr>
        <w:t xml:space="preserve"> shown</w:t>
      </w:r>
      <w:r w:rsidR="00932E00">
        <w:rPr>
          <w:noProof/>
          <w:lang w:val="en-US"/>
        </w:rPr>
        <w:t xml:space="preserve">. </w:t>
      </w:r>
      <w:r w:rsidR="00932E00">
        <w:rPr>
          <w:b/>
          <w:bCs/>
          <w:noProof/>
          <w:lang w:val="en-US"/>
        </w:rPr>
        <w:t>B</w:t>
      </w:r>
      <w:r w:rsidR="00932E00">
        <w:rPr>
          <w:noProof/>
          <w:lang w:val="en-US"/>
        </w:rPr>
        <w:t xml:space="preserve">) </w:t>
      </w:r>
      <w:r>
        <w:t xml:space="preserve">Rabbit anti-CSP IgG was tested </w:t>
      </w:r>
      <w:r>
        <w:rPr>
          <w:noProof/>
          <w:lang w:val="en-US"/>
        </w:rPr>
        <w:t xml:space="preserve">for C1q-fixation to CSP and </w:t>
      </w:r>
      <w:r w:rsidRPr="005E04DC">
        <w:t>antigens representing the N-terminal (NT), central-repeat (NANP) and C-terminal (CT) regions of CSP.</w:t>
      </w:r>
      <w:r>
        <w:t xml:space="preserve"> The rabbit anti-CSP IgG was tested against each antigen following pre-incubation with </w:t>
      </w:r>
      <w:bookmarkStart w:id="2" w:name="OLE_LINK1"/>
      <w:r w:rsidRPr="006E1D28">
        <w:rPr>
          <w:noProof/>
          <w:lang w:val="en-US"/>
        </w:rPr>
        <w:t>10 μg/ml</w:t>
      </w:r>
      <w:r>
        <w:rPr>
          <w:noProof/>
          <w:lang w:val="en-US"/>
        </w:rPr>
        <w:t xml:space="preserve"> of </w:t>
      </w:r>
      <w:r w:rsidR="00D42E5E">
        <w:rPr>
          <w:noProof/>
          <w:lang w:val="en-US"/>
        </w:rPr>
        <w:t xml:space="preserve">homologous </w:t>
      </w:r>
      <w:r>
        <w:rPr>
          <w:noProof/>
          <w:lang w:val="en-US"/>
        </w:rPr>
        <w:t>competing anitgen</w:t>
      </w:r>
      <w:bookmarkEnd w:id="2"/>
      <w:r>
        <w:rPr>
          <w:noProof/>
          <w:lang w:val="en-US"/>
        </w:rPr>
        <w:t xml:space="preserve">, or no competition as a control. </w:t>
      </w:r>
      <w:r w:rsidR="005C7ECA" w:rsidRPr="006E1D28">
        <w:rPr>
          <w:noProof/>
          <w:lang w:val="en-US"/>
        </w:rPr>
        <w:t xml:space="preserve">Results were corrected for background reactivity using no-IgG control wells, and the mean and range of two independent experiments </w:t>
      </w:r>
      <w:r w:rsidR="00444D91">
        <w:rPr>
          <w:noProof/>
          <w:lang w:val="en-US"/>
        </w:rPr>
        <w:t>is</w:t>
      </w:r>
      <w:r w:rsidR="005C7ECA" w:rsidRPr="006E1D28">
        <w:rPr>
          <w:noProof/>
          <w:lang w:val="en-US"/>
        </w:rPr>
        <w:t xml:space="preserve"> </w:t>
      </w:r>
      <w:r w:rsidR="005C7ECA">
        <w:rPr>
          <w:noProof/>
          <w:lang w:val="en-US"/>
        </w:rPr>
        <w:t>shown</w:t>
      </w:r>
      <w:r w:rsidR="005C7ECA" w:rsidRPr="006E1D28">
        <w:rPr>
          <w:noProof/>
          <w:lang w:val="en-US"/>
        </w:rPr>
        <w:t>.</w:t>
      </w:r>
      <w:r w:rsidR="005C7ECA">
        <w:rPr>
          <w:noProof/>
          <w:lang w:val="en-US"/>
        </w:rPr>
        <w:t xml:space="preserve"> </w:t>
      </w:r>
      <w:r w:rsidR="005A1714" w:rsidRPr="005A1714">
        <w:rPr>
          <w:b/>
          <w:bCs/>
          <w:noProof/>
          <w:lang w:val="en-US"/>
        </w:rPr>
        <w:t>C</w:t>
      </w:r>
      <w:r w:rsidR="005A1714">
        <w:rPr>
          <w:noProof/>
          <w:lang w:val="en-US"/>
        </w:rPr>
        <w:t>) Mice (n=5) were previously vaccinated with CSP and the antiserum was tested for IgG to the NT</w:t>
      </w:r>
      <w:r w:rsidR="00444D91">
        <w:rPr>
          <w:noProof/>
          <w:lang w:val="en-US"/>
        </w:rPr>
        <w:t xml:space="preserve"> </w:t>
      </w:r>
      <w:r w:rsidR="005A1714">
        <w:rPr>
          <w:noProof/>
          <w:lang w:val="en-US"/>
        </w:rPr>
        <w:t xml:space="preserve">anitgen. Results were corrected for background reactiviy using no-serum control wells and the mean from two independent expeirments </w:t>
      </w:r>
      <w:r w:rsidR="00444D91">
        <w:rPr>
          <w:noProof/>
          <w:lang w:val="en-US"/>
        </w:rPr>
        <w:t>is</w:t>
      </w:r>
      <w:r w:rsidR="005A1714">
        <w:rPr>
          <w:noProof/>
          <w:lang w:val="en-US"/>
        </w:rPr>
        <w:t xml:space="preserve"> shown.</w:t>
      </w:r>
      <w:r w:rsidR="00F722C0">
        <w:rPr>
          <w:noProof/>
          <w:lang w:val="en-US"/>
        </w:rPr>
        <w:t xml:space="preserve"> Note that data on reactivity to CSP were previously published (Kurtovic, Wezel et al., Front Immunol 2021 </w:t>
      </w:r>
      <w:r w:rsidR="00F722C0">
        <w:rPr>
          <w:noProof/>
          <w:lang w:val="en-US"/>
        </w:rPr>
        <w:fldChar w:fldCharType="begin"/>
      </w:r>
      <w:r w:rsidR="00F722C0">
        <w:rPr>
          <w:noProof/>
          <w:lang w:val="en-US"/>
        </w:rPr>
        <w:instrText xml:space="preserve"> ADDIN EN.CITE &lt;EndNote&gt;&lt;Cite&gt;&lt;Author&gt;Kurtovic&lt;/Author&gt;&lt;Year&gt;2021&lt;/Year&gt;&lt;RecNum&gt;1197&lt;/RecNum&gt;&lt;DisplayText&gt;(1)&lt;/DisplayText&gt;&lt;record&gt;&lt;rec-number&gt;1197&lt;/rec-number&gt;&lt;foreign-keys&gt;&lt;key app="EN" db-id="se0peaa53xevfget529590ftwtwttd0dxxvp" timestamp="1614245220"&gt;1197&lt;/key&gt;&lt;/foreign-keys&gt;&lt;ref-type name="Journal Article"&gt;17&lt;/ref-type&gt;&lt;contributors&gt;&lt;authors&gt;&lt;author&gt;Kurtovic, L&lt;/author&gt;&lt;author&gt;Wetzel, D&lt;/author&gt;&lt;author&gt;Reiling, L&lt;/author&gt;&lt;author&gt;Drew, DR&lt;/author&gt;&lt;author&gt;Palmer, C&lt;/author&gt;&lt;author&gt;Kouskousis, B&lt;/author&gt;&lt;author&gt;Hanssen, E&lt;/author&gt;&lt;author&gt;Wines, BD&lt;/author&gt;&lt;author&gt;Hogarth, PM&lt;/author&gt;&lt;author&gt;Suckow, M&lt;/author&gt;&lt;author&gt;Jenzelewski, V&lt;/author&gt;&lt;author&gt;Piontek, M&lt;/author&gt;&lt;author&gt;Chan, JA&lt;/author&gt;&lt;author&gt;Beeson, JG &lt;/author&gt;&lt;/authors&gt;&lt;/contributors&gt;&lt;titles&gt;&lt;title&gt;&lt;style face="normal" font="default" size="100%"&gt;Novel virus-like particle encoding the circumsporozoite protein of &lt;/style&gt;&lt;style face="italic" font="default" size="100%"&gt;Plasmodium falciparum&lt;/style&gt;&lt;style face="normal" font="default" size="100%"&gt; induces functional antibody responses in mice&lt;/style&gt;&lt;/title&gt;&lt;secondary-title&gt;Front Immunol&lt;/secondary-title&gt;&lt;/titles&gt;&lt;periodical&gt;&lt;full-title&gt;Front Immunol&lt;/full-title&gt;&lt;/periodical&gt;&lt;pages&gt;788&lt;/pages&gt;&lt;volume&gt;12&lt;/volume&gt;&lt;dates&gt;&lt;year&gt;2021&lt;/year&gt;&lt;/dates&gt;&lt;urls&gt;&lt;/urls&gt;&lt;/record&gt;&lt;/Cite&gt;&lt;/EndNote&gt;</w:instrText>
      </w:r>
      <w:r w:rsidR="00F722C0">
        <w:rPr>
          <w:noProof/>
          <w:lang w:val="en-US"/>
        </w:rPr>
        <w:fldChar w:fldCharType="separate"/>
      </w:r>
      <w:r w:rsidR="00F722C0">
        <w:rPr>
          <w:noProof/>
          <w:lang w:val="en-US"/>
        </w:rPr>
        <w:t>(</w:t>
      </w:r>
      <w:hyperlink w:anchor="_ENREF_1" w:tooltip="Kurtovic, 2021 #1197" w:history="1">
        <w:r w:rsidR="00F722C0">
          <w:rPr>
            <w:noProof/>
            <w:lang w:val="en-US"/>
          </w:rPr>
          <w:t>1</w:t>
        </w:r>
      </w:hyperlink>
      <w:r w:rsidR="00F722C0">
        <w:rPr>
          <w:noProof/>
          <w:lang w:val="en-US"/>
        </w:rPr>
        <w:t>)</w:t>
      </w:r>
      <w:r w:rsidR="00F722C0">
        <w:rPr>
          <w:noProof/>
          <w:lang w:val="en-US"/>
        </w:rPr>
        <w:fldChar w:fldCharType="end"/>
      </w:r>
      <w:r w:rsidR="00F722C0">
        <w:rPr>
          <w:noProof/>
          <w:lang w:val="en-US"/>
        </w:rPr>
        <w:t xml:space="preserve">) and have been re-analyzed here for comparison. </w:t>
      </w:r>
      <w:r w:rsidR="005A1714">
        <w:rPr>
          <w:b/>
          <w:bCs/>
          <w:noProof/>
          <w:lang w:val="en-US"/>
        </w:rPr>
        <w:t>D</w:t>
      </w:r>
      <w:r w:rsidR="005C7ECA">
        <w:rPr>
          <w:noProof/>
          <w:lang w:val="en-US"/>
        </w:rPr>
        <w:t xml:space="preserve">) Rabbit IgG against CSP, N+C, NT and CT were tested for IgG to </w:t>
      </w:r>
      <w:r w:rsidR="005C7ECA">
        <w:rPr>
          <w:i/>
          <w:iCs/>
          <w:noProof/>
          <w:lang w:val="en-US"/>
        </w:rPr>
        <w:t xml:space="preserve">P. falciaparum </w:t>
      </w:r>
      <w:r w:rsidR="005C7ECA" w:rsidRPr="005C7ECA">
        <w:rPr>
          <w:noProof/>
          <w:lang w:val="en-US"/>
        </w:rPr>
        <w:t>sporozoites</w:t>
      </w:r>
      <w:r w:rsidR="005C7ECA">
        <w:rPr>
          <w:noProof/>
          <w:lang w:val="en-US"/>
        </w:rPr>
        <w:t xml:space="preserve">. </w:t>
      </w:r>
      <w:r w:rsidR="005C7ECA" w:rsidRPr="006E1D28">
        <w:rPr>
          <w:noProof/>
          <w:lang w:val="en-US"/>
        </w:rPr>
        <w:t xml:space="preserve">Results were corrected for background reactivity using no-IgG control wells, and the mean and range </w:t>
      </w:r>
      <w:r w:rsidR="00444D91">
        <w:rPr>
          <w:noProof/>
          <w:lang w:val="en-US"/>
        </w:rPr>
        <w:t>is</w:t>
      </w:r>
      <w:r w:rsidR="005C7ECA" w:rsidRPr="006E1D28">
        <w:rPr>
          <w:noProof/>
          <w:lang w:val="en-US"/>
        </w:rPr>
        <w:t xml:space="preserve"> </w:t>
      </w:r>
      <w:r w:rsidR="005C7ECA">
        <w:rPr>
          <w:noProof/>
          <w:lang w:val="en-US"/>
        </w:rPr>
        <w:t>shown</w:t>
      </w:r>
      <w:r w:rsidR="005C7ECA" w:rsidRPr="006E1D28">
        <w:rPr>
          <w:noProof/>
          <w:lang w:val="en-US"/>
        </w:rPr>
        <w:t>.</w:t>
      </w:r>
      <w:r w:rsidR="005C7ECA">
        <w:rPr>
          <w:noProof/>
          <w:lang w:val="en-US"/>
        </w:rPr>
        <w:t xml:space="preserve"> </w:t>
      </w:r>
    </w:p>
    <w:p w14:paraId="0CBCC38B" w14:textId="77777777" w:rsidR="00F722C0" w:rsidRDefault="00F722C0" w:rsidP="00732AE5">
      <w:pPr>
        <w:spacing w:line="360" w:lineRule="auto"/>
        <w:rPr>
          <w:noProof/>
          <w:lang w:val="en-US"/>
        </w:rPr>
      </w:pPr>
    </w:p>
    <w:p w14:paraId="603F8E1E" w14:textId="013BEF44" w:rsidR="00CF31D4" w:rsidRDefault="00CF31D4" w:rsidP="00732AE5">
      <w:pPr>
        <w:spacing w:line="360" w:lineRule="auto"/>
        <w:rPr>
          <w:noProof/>
          <w:lang w:val="en-US"/>
        </w:rPr>
      </w:pPr>
    </w:p>
    <w:p w14:paraId="7356B96D" w14:textId="1385ADAA" w:rsidR="00CF31D4" w:rsidRDefault="00F722C0" w:rsidP="00732AE5">
      <w:pPr>
        <w:spacing w:line="360" w:lineRule="auto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50B558C" wp14:editId="0A6419B8">
            <wp:simplePos x="0" y="0"/>
            <wp:positionH relativeFrom="margin">
              <wp:align>center</wp:align>
            </wp:positionH>
            <wp:positionV relativeFrom="paragraph">
              <wp:posOffset>-384</wp:posOffset>
            </wp:positionV>
            <wp:extent cx="4041648" cy="1874520"/>
            <wp:effectExtent l="0" t="0" r="0" b="0"/>
            <wp:wrapNone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D41FE" w14:textId="0B854A72" w:rsidR="005A1714" w:rsidRDefault="005A1714" w:rsidP="00732AE5">
      <w:pPr>
        <w:spacing w:line="360" w:lineRule="auto"/>
        <w:rPr>
          <w:noProof/>
          <w:lang w:val="en-US"/>
        </w:rPr>
      </w:pPr>
    </w:p>
    <w:p w14:paraId="3F8600B9" w14:textId="77777777" w:rsidR="00F722C0" w:rsidRDefault="00F722C0" w:rsidP="00732AE5">
      <w:pPr>
        <w:spacing w:line="360" w:lineRule="auto"/>
        <w:rPr>
          <w:noProof/>
          <w:lang w:val="en-US"/>
        </w:rPr>
      </w:pPr>
    </w:p>
    <w:p w14:paraId="56437797" w14:textId="77777777" w:rsidR="005A1714" w:rsidRDefault="005A1714" w:rsidP="00732AE5">
      <w:pPr>
        <w:spacing w:line="360" w:lineRule="auto"/>
        <w:rPr>
          <w:noProof/>
          <w:lang w:val="en-US"/>
        </w:rPr>
      </w:pPr>
    </w:p>
    <w:p w14:paraId="1036459A" w14:textId="74C90ACE" w:rsidR="005A1714" w:rsidRDefault="005A1714" w:rsidP="00732AE5">
      <w:pPr>
        <w:spacing w:line="360" w:lineRule="auto"/>
        <w:rPr>
          <w:noProof/>
          <w:lang w:val="en-US"/>
        </w:rPr>
      </w:pPr>
    </w:p>
    <w:p w14:paraId="10BA104D" w14:textId="77777777" w:rsidR="005A1714" w:rsidRDefault="005A1714" w:rsidP="00732AE5">
      <w:pPr>
        <w:spacing w:line="360" w:lineRule="auto"/>
        <w:rPr>
          <w:noProof/>
          <w:lang w:val="en-US"/>
        </w:rPr>
      </w:pPr>
    </w:p>
    <w:p w14:paraId="7D5C3560" w14:textId="77777777" w:rsidR="005A1714" w:rsidRDefault="005A1714" w:rsidP="00732AE5">
      <w:pPr>
        <w:spacing w:line="360" w:lineRule="auto"/>
        <w:rPr>
          <w:noProof/>
          <w:lang w:val="en-US"/>
        </w:rPr>
      </w:pPr>
    </w:p>
    <w:p w14:paraId="0F21B1B1" w14:textId="77777777" w:rsidR="005A1714" w:rsidRDefault="005A1714" w:rsidP="00732AE5">
      <w:pPr>
        <w:spacing w:line="360" w:lineRule="auto"/>
        <w:rPr>
          <w:noProof/>
          <w:lang w:val="en-US"/>
        </w:rPr>
      </w:pPr>
    </w:p>
    <w:p w14:paraId="7F9DC60E" w14:textId="257D8370" w:rsidR="005A1714" w:rsidRDefault="005A1714" w:rsidP="00732AE5">
      <w:pPr>
        <w:spacing w:line="360" w:lineRule="auto"/>
        <w:rPr>
          <w:noProof/>
          <w:lang w:val="en-US"/>
        </w:rPr>
      </w:pPr>
      <w:r w:rsidRPr="00732AE5">
        <w:rPr>
          <w:b/>
          <w:bCs/>
          <w:noProof/>
          <w:lang w:val="en-US"/>
        </w:rPr>
        <w:t>FIGURE S</w:t>
      </w:r>
      <w:r w:rsidR="00160315">
        <w:rPr>
          <w:b/>
          <w:bCs/>
          <w:noProof/>
          <w:lang w:val="en-US"/>
        </w:rPr>
        <w:t>2</w:t>
      </w:r>
      <w:r w:rsidRPr="00732AE5">
        <w:rPr>
          <w:b/>
          <w:bCs/>
          <w:noProof/>
          <w:lang w:val="en-US"/>
        </w:rPr>
        <w:t xml:space="preserve">. Supplemtary </w:t>
      </w:r>
      <w:r w:rsidR="00732AE5" w:rsidRPr="00732AE5">
        <w:rPr>
          <w:b/>
          <w:bCs/>
          <w:noProof/>
          <w:lang w:val="en-US"/>
        </w:rPr>
        <w:t>data using a 46 amino acid peptide representing the N-terminal region of CSP</w:t>
      </w:r>
      <w:r w:rsidR="00732AE5">
        <w:rPr>
          <w:noProof/>
          <w:lang w:val="en-US"/>
        </w:rPr>
        <w:t xml:space="preserve">.  Human anti-NT and anti-NANP mAbs were tested for IgG reactivity against the NT 46 amino acid (aa) peptide in the presence and absence of competing NANP. </w:t>
      </w:r>
      <w:r w:rsidR="00732AE5" w:rsidRPr="006E1D28">
        <w:rPr>
          <w:noProof/>
          <w:lang w:val="en-US"/>
        </w:rPr>
        <w:t xml:space="preserve">Results were corrected for background reactivity using no-IgG control wells, and the mean and range were </w:t>
      </w:r>
      <w:r w:rsidR="00732AE5">
        <w:rPr>
          <w:noProof/>
          <w:lang w:val="en-US"/>
        </w:rPr>
        <w:t>shown.</w:t>
      </w:r>
    </w:p>
    <w:p w14:paraId="148C5CBD" w14:textId="77777777" w:rsidR="005A1714" w:rsidRDefault="005A1714" w:rsidP="00732AE5">
      <w:pPr>
        <w:spacing w:line="360" w:lineRule="auto"/>
        <w:rPr>
          <w:noProof/>
          <w:lang w:val="en-US"/>
        </w:rPr>
      </w:pPr>
    </w:p>
    <w:p w14:paraId="0988EBE8" w14:textId="031C401F" w:rsidR="005A1714" w:rsidRDefault="005A1714" w:rsidP="00732AE5">
      <w:pPr>
        <w:spacing w:line="360" w:lineRule="auto"/>
        <w:rPr>
          <w:noProof/>
          <w:lang w:val="en-US"/>
        </w:rPr>
      </w:pPr>
    </w:p>
    <w:p w14:paraId="56B24C7E" w14:textId="3C715183" w:rsidR="005A1714" w:rsidRDefault="005A1714" w:rsidP="00932E00">
      <w:pPr>
        <w:spacing w:line="360" w:lineRule="auto"/>
        <w:rPr>
          <w:noProof/>
          <w:lang w:val="en-US"/>
        </w:rPr>
      </w:pPr>
    </w:p>
    <w:p w14:paraId="6250DC4A" w14:textId="531FEA95" w:rsidR="00732AE5" w:rsidRDefault="00732AE5" w:rsidP="00932E00">
      <w:pPr>
        <w:spacing w:line="360" w:lineRule="auto"/>
        <w:rPr>
          <w:noProof/>
          <w:lang w:val="en-US"/>
        </w:rPr>
      </w:pPr>
    </w:p>
    <w:p w14:paraId="0A773EF5" w14:textId="1BB6F4E7" w:rsidR="00732AE5" w:rsidRDefault="00732AE5" w:rsidP="00932E00">
      <w:pPr>
        <w:spacing w:line="360" w:lineRule="auto"/>
        <w:rPr>
          <w:noProof/>
          <w:lang w:val="en-US"/>
        </w:rPr>
      </w:pPr>
    </w:p>
    <w:p w14:paraId="54DE08B9" w14:textId="650193FF" w:rsidR="00732AE5" w:rsidRDefault="00732AE5" w:rsidP="00932E00">
      <w:pPr>
        <w:spacing w:line="360" w:lineRule="auto"/>
        <w:rPr>
          <w:noProof/>
          <w:lang w:val="en-US"/>
        </w:rPr>
      </w:pPr>
    </w:p>
    <w:p w14:paraId="089781F8" w14:textId="3761C2E3" w:rsidR="00732AE5" w:rsidRDefault="00732AE5" w:rsidP="00932E00">
      <w:pPr>
        <w:spacing w:line="360" w:lineRule="auto"/>
        <w:rPr>
          <w:noProof/>
          <w:lang w:val="en-US"/>
        </w:rPr>
      </w:pPr>
    </w:p>
    <w:p w14:paraId="3C7E565B" w14:textId="55C3BD5F" w:rsidR="00732AE5" w:rsidRDefault="00732AE5" w:rsidP="00932E00">
      <w:pPr>
        <w:spacing w:line="360" w:lineRule="auto"/>
        <w:rPr>
          <w:noProof/>
          <w:lang w:val="en-US"/>
        </w:rPr>
      </w:pPr>
    </w:p>
    <w:p w14:paraId="5144B6F5" w14:textId="542BBFDA" w:rsidR="00732AE5" w:rsidRDefault="00732AE5" w:rsidP="00932E00">
      <w:pPr>
        <w:spacing w:line="360" w:lineRule="auto"/>
        <w:rPr>
          <w:noProof/>
          <w:lang w:val="en-US"/>
        </w:rPr>
      </w:pPr>
    </w:p>
    <w:p w14:paraId="2D6BE8C9" w14:textId="1FCE31A7" w:rsidR="00732AE5" w:rsidRDefault="00732AE5" w:rsidP="00932E00">
      <w:pPr>
        <w:spacing w:line="360" w:lineRule="auto"/>
        <w:rPr>
          <w:noProof/>
          <w:lang w:val="en-US"/>
        </w:rPr>
      </w:pPr>
    </w:p>
    <w:p w14:paraId="445383D9" w14:textId="52F5EDCE" w:rsidR="00732AE5" w:rsidRDefault="00732AE5" w:rsidP="00932E00">
      <w:pPr>
        <w:spacing w:line="360" w:lineRule="auto"/>
        <w:rPr>
          <w:noProof/>
          <w:lang w:val="en-US"/>
        </w:rPr>
      </w:pPr>
    </w:p>
    <w:p w14:paraId="3FB0C6BC" w14:textId="7BC4FE66" w:rsidR="00732AE5" w:rsidRDefault="00732AE5" w:rsidP="00932E00">
      <w:pPr>
        <w:spacing w:line="360" w:lineRule="auto"/>
        <w:rPr>
          <w:noProof/>
          <w:lang w:val="en-US"/>
        </w:rPr>
      </w:pPr>
    </w:p>
    <w:p w14:paraId="4F6082AB" w14:textId="4481BE73" w:rsidR="00732AE5" w:rsidRDefault="00732AE5" w:rsidP="00932E00">
      <w:pPr>
        <w:spacing w:line="360" w:lineRule="auto"/>
        <w:rPr>
          <w:noProof/>
          <w:lang w:val="en-US"/>
        </w:rPr>
      </w:pPr>
    </w:p>
    <w:p w14:paraId="407423EF" w14:textId="42935FB7" w:rsidR="00732AE5" w:rsidRDefault="00732AE5" w:rsidP="00932E00">
      <w:pPr>
        <w:spacing w:line="360" w:lineRule="auto"/>
        <w:rPr>
          <w:noProof/>
          <w:lang w:val="en-US"/>
        </w:rPr>
      </w:pPr>
    </w:p>
    <w:p w14:paraId="2ACBCBCB" w14:textId="6755FC31" w:rsidR="00732AE5" w:rsidRDefault="00732AE5" w:rsidP="00932E00">
      <w:pPr>
        <w:spacing w:line="360" w:lineRule="auto"/>
        <w:rPr>
          <w:noProof/>
          <w:lang w:val="en-US"/>
        </w:rPr>
      </w:pPr>
    </w:p>
    <w:p w14:paraId="68B8CEA5" w14:textId="14DC90E5" w:rsidR="00732AE5" w:rsidRDefault="00732AE5" w:rsidP="00932E00">
      <w:pPr>
        <w:spacing w:line="360" w:lineRule="auto"/>
        <w:rPr>
          <w:noProof/>
          <w:lang w:val="en-US"/>
        </w:rPr>
      </w:pPr>
    </w:p>
    <w:p w14:paraId="6CAF6BD1" w14:textId="20C82DD5" w:rsidR="00732AE5" w:rsidRDefault="00732AE5" w:rsidP="00932E00">
      <w:pPr>
        <w:spacing w:line="360" w:lineRule="auto"/>
        <w:rPr>
          <w:noProof/>
          <w:lang w:val="en-US"/>
        </w:rPr>
      </w:pPr>
    </w:p>
    <w:p w14:paraId="3A93166D" w14:textId="37D02977" w:rsidR="00732AE5" w:rsidRDefault="00732AE5" w:rsidP="00932E00">
      <w:pPr>
        <w:spacing w:line="360" w:lineRule="auto"/>
        <w:rPr>
          <w:noProof/>
          <w:lang w:val="en-US"/>
        </w:rPr>
      </w:pPr>
    </w:p>
    <w:p w14:paraId="47D39A37" w14:textId="1BCFFD9C" w:rsidR="00732AE5" w:rsidRDefault="00732AE5" w:rsidP="00932E00">
      <w:pPr>
        <w:spacing w:line="360" w:lineRule="auto"/>
        <w:rPr>
          <w:noProof/>
          <w:lang w:val="en-US"/>
        </w:rPr>
      </w:pPr>
    </w:p>
    <w:p w14:paraId="1541040B" w14:textId="7A44E093" w:rsidR="00732AE5" w:rsidRDefault="00732AE5" w:rsidP="00932E00">
      <w:pPr>
        <w:spacing w:line="360" w:lineRule="auto"/>
        <w:rPr>
          <w:noProof/>
          <w:lang w:val="en-US"/>
        </w:rPr>
      </w:pPr>
    </w:p>
    <w:p w14:paraId="12A0FE0E" w14:textId="146F586F" w:rsidR="005A1714" w:rsidRDefault="00732AE5" w:rsidP="00F722C0">
      <w:pPr>
        <w:pStyle w:val="Heading2"/>
        <w:spacing w:line="360" w:lineRule="auto"/>
        <w:rPr>
          <w:noProof/>
          <w:lang w:val="en-US"/>
        </w:rPr>
      </w:pPr>
      <w:r>
        <w:rPr>
          <w:noProof/>
          <w:lang w:val="en-US"/>
        </w:rPr>
        <w:lastRenderedPageBreak/>
        <w:t>SUPPLEMENTARY REFERENCES</w:t>
      </w:r>
    </w:p>
    <w:p w14:paraId="6657BA81" w14:textId="77777777" w:rsidR="00F722C0" w:rsidRPr="00F722C0" w:rsidRDefault="005A1714" w:rsidP="00F722C0">
      <w:pPr>
        <w:pStyle w:val="EndNoteBibliography"/>
        <w:spacing w:line="36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3" w:name="_ENREF_1"/>
      <w:r w:rsidR="00F722C0" w:rsidRPr="00F722C0">
        <w:t>1.</w:t>
      </w:r>
      <w:r w:rsidR="00F722C0" w:rsidRPr="00F722C0">
        <w:tab/>
        <w:t xml:space="preserve">Kurtovic L, Wetzel D, Reiling L, Drew D, Palmer C, Kouskousis B, et al. Novel virus-like particle encoding the circumsporozoite protein of </w:t>
      </w:r>
      <w:r w:rsidR="00F722C0" w:rsidRPr="00F722C0">
        <w:rPr>
          <w:i/>
        </w:rPr>
        <w:t>Plasmodium falciparum</w:t>
      </w:r>
      <w:r w:rsidR="00F722C0" w:rsidRPr="00F722C0">
        <w:t xml:space="preserve"> induces functional antibody responses in mice. Front Immunol. 2021;12:788.</w:t>
      </w:r>
      <w:bookmarkEnd w:id="3"/>
    </w:p>
    <w:p w14:paraId="636E01DF" w14:textId="0DA58218" w:rsidR="005E04DC" w:rsidRPr="000939CC" w:rsidRDefault="005A1714" w:rsidP="00F722C0">
      <w:pPr>
        <w:spacing w:line="360" w:lineRule="auto"/>
        <w:ind w:left="720" w:hanging="720"/>
      </w:pPr>
      <w:r>
        <w:fldChar w:fldCharType="end"/>
      </w:r>
    </w:p>
    <w:sectPr w:rsidR="005E04DC" w:rsidRPr="000939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2A9E" w14:textId="77777777" w:rsidR="004F66CD" w:rsidRDefault="004F66CD" w:rsidP="00FB5803">
      <w:r>
        <w:separator/>
      </w:r>
    </w:p>
  </w:endnote>
  <w:endnote w:type="continuationSeparator" w:id="0">
    <w:p w14:paraId="276E0F87" w14:textId="77777777" w:rsidR="004F66CD" w:rsidRDefault="004F66CD" w:rsidP="00FB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5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1B8B2" w14:textId="3AE550AD" w:rsidR="00FB5803" w:rsidRDefault="00FB5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03386" w14:textId="77777777" w:rsidR="00FB5803" w:rsidRDefault="00FB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9ACA" w14:textId="77777777" w:rsidR="004F66CD" w:rsidRDefault="004F66CD" w:rsidP="00FB5803">
      <w:r>
        <w:separator/>
      </w:r>
    </w:p>
  </w:footnote>
  <w:footnote w:type="continuationSeparator" w:id="0">
    <w:p w14:paraId="0D116609" w14:textId="77777777" w:rsidR="004F66CD" w:rsidRDefault="004F66CD" w:rsidP="00FB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4BF"/>
    <w:multiLevelType w:val="hybridMultilevel"/>
    <w:tmpl w:val="811C7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2D0"/>
    <w:multiLevelType w:val="hybridMultilevel"/>
    <w:tmpl w:val="86701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F45BB"/>
    <w:multiLevelType w:val="hybridMultilevel"/>
    <w:tmpl w:val="B2DE6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7942"/>
    <w:multiLevelType w:val="hybridMultilevel"/>
    <w:tmpl w:val="65E21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9B6D72"/>
    <w:multiLevelType w:val="hybridMultilevel"/>
    <w:tmpl w:val="14369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0peaa53xevfget529590ftwtwttd0dxxvp&quot;&gt;EndNote Library PhD-Converted&lt;record-ids&gt;&lt;item&gt;1197&lt;/item&gt;&lt;/record-ids&gt;&lt;/item&gt;&lt;/Libraries&gt;"/>
  </w:docVars>
  <w:rsids>
    <w:rsidRoot w:val="00C44E07"/>
    <w:rsid w:val="000100E8"/>
    <w:rsid w:val="00010BFF"/>
    <w:rsid w:val="000168D1"/>
    <w:rsid w:val="000413CB"/>
    <w:rsid w:val="000616A0"/>
    <w:rsid w:val="000939CC"/>
    <w:rsid w:val="000A61E5"/>
    <w:rsid w:val="000D30F9"/>
    <w:rsid w:val="000D756C"/>
    <w:rsid w:val="001566C8"/>
    <w:rsid w:val="00160315"/>
    <w:rsid w:val="001632AC"/>
    <w:rsid w:val="001A755F"/>
    <w:rsid w:val="001C077A"/>
    <w:rsid w:val="001D3912"/>
    <w:rsid w:val="00205120"/>
    <w:rsid w:val="002242B5"/>
    <w:rsid w:val="002276F0"/>
    <w:rsid w:val="00244225"/>
    <w:rsid w:val="002468F6"/>
    <w:rsid w:val="00250D59"/>
    <w:rsid w:val="002770B3"/>
    <w:rsid w:val="002A329A"/>
    <w:rsid w:val="002B661D"/>
    <w:rsid w:val="002C1FD0"/>
    <w:rsid w:val="002D0E03"/>
    <w:rsid w:val="003054FA"/>
    <w:rsid w:val="00313343"/>
    <w:rsid w:val="00316C55"/>
    <w:rsid w:val="003307FC"/>
    <w:rsid w:val="00380A81"/>
    <w:rsid w:val="00391315"/>
    <w:rsid w:val="003A6812"/>
    <w:rsid w:val="003B3DCF"/>
    <w:rsid w:val="003E4854"/>
    <w:rsid w:val="00420C63"/>
    <w:rsid w:val="00427C78"/>
    <w:rsid w:val="00444D91"/>
    <w:rsid w:val="004661BE"/>
    <w:rsid w:val="0047061A"/>
    <w:rsid w:val="00482937"/>
    <w:rsid w:val="004C036A"/>
    <w:rsid w:val="004D44DF"/>
    <w:rsid w:val="004D5F35"/>
    <w:rsid w:val="004D71CC"/>
    <w:rsid w:val="004E5555"/>
    <w:rsid w:val="004E6633"/>
    <w:rsid w:val="004F66CD"/>
    <w:rsid w:val="0050264E"/>
    <w:rsid w:val="005346E7"/>
    <w:rsid w:val="0053636D"/>
    <w:rsid w:val="00542CD0"/>
    <w:rsid w:val="005438E3"/>
    <w:rsid w:val="00556ACF"/>
    <w:rsid w:val="00557861"/>
    <w:rsid w:val="005700E4"/>
    <w:rsid w:val="0057051D"/>
    <w:rsid w:val="00583CD3"/>
    <w:rsid w:val="00585C86"/>
    <w:rsid w:val="0059232D"/>
    <w:rsid w:val="00595E23"/>
    <w:rsid w:val="005A1714"/>
    <w:rsid w:val="005C5E17"/>
    <w:rsid w:val="005C764F"/>
    <w:rsid w:val="005C7ECA"/>
    <w:rsid w:val="005D2437"/>
    <w:rsid w:val="005E04DC"/>
    <w:rsid w:val="005E3E52"/>
    <w:rsid w:val="00645A95"/>
    <w:rsid w:val="006475B8"/>
    <w:rsid w:val="006566F4"/>
    <w:rsid w:val="00685719"/>
    <w:rsid w:val="0069711D"/>
    <w:rsid w:val="006977CA"/>
    <w:rsid w:val="006A4B7F"/>
    <w:rsid w:val="006A570D"/>
    <w:rsid w:val="006E1D28"/>
    <w:rsid w:val="00732AE5"/>
    <w:rsid w:val="007335D9"/>
    <w:rsid w:val="00763AC5"/>
    <w:rsid w:val="00770654"/>
    <w:rsid w:val="00775650"/>
    <w:rsid w:val="007A5169"/>
    <w:rsid w:val="007D3AD6"/>
    <w:rsid w:val="007D4653"/>
    <w:rsid w:val="007E112F"/>
    <w:rsid w:val="007E1B8B"/>
    <w:rsid w:val="007E50DA"/>
    <w:rsid w:val="007F3C81"/>
    <w:rsid w:val="00837769"/>
    <w:rsid w:val="00861168"/>
    <w:rsid w:val="008A4523"/>
    <w:rsid w:val="008B0EC2"/>
    <w:rsid w:val="008B29F5"/>
    <w:rsid w:val="008B438E"/>
    <w:rsid w:val="008B503C"/>
    <w:rsid w:val="00925B4C"/>
    <w:rsid w:val="00932E00"/>
    <w:rsid w:val="00933038"/>
    <w:rsid w:val="009478DF"/>
    <w:rsid w:val="0095075C"/>
    <w:rsid w:val="00980C77"/>
    <w:rsid w:val="009C5F57"/>
    <w:rsid w:val="009C6CCC"/>
    <w:rsid w:val="00A0008D"/>
    <w:rsid w:val="00A03514"/>
    <w:rsid w:val="00A04D99"/>
    <w:rsid w:val="00A11892"/>
    <w:rsid w:val="00A12E10"/>
    <w:rsid w:val="00A26F9C"/>
    <w:rsid w:val="00A4797D"/>
    <w:rsid w:val="00A64966"/>
    <w:rsid w:val="00A90F81"/>
    <w:rsid w:val="00A92FD0"/>
    <w:rsid w:val="00A95680"/>
    <w:rsid w:val="00A95C74"/>
    <w:rsid w:val="00A968DE"/>
    <w:rsid w:val="00AA44B8"/>
    <w:rsid w:val="00AB4B65"/>
    <w:rsid w:val="00AB7A8C"/>
    <w:rsid w:val="00AE1A84"/>
    <w:rsid w:val="00AE2988"/>
    <w:rsid w:val="00AE7A6B"/>
    <w:rsid w:val="00AF57A2"/>
    <w:rsid w:val="00B1303E"/>
    <w:rsid w:val="00B46D6C"/>
    <w:rsid w:val="00B51E00"/>
    <w:rsid w:val="00B55155"/>
    <w:rsid w:val="00B55CBD"/>
    <w:rsid w:val="00B5668F"/>
    <w:rsid w:val="00B629E3"/>
    <w:rsid w:val="00B6721D"/>
    <w:rsid w:val="00B67797"/>
    <w:rsid w:val="00B767CF"/>
    <w:rsid w:val="00B85B1E"/>
    <w:rsid w:val="00B85EC6"/>
    <w:rsid w:val="00B93DC9"/>
    <w:rsid w:val="00BA17C3"/>
    <w:rsid w:val="00BA6BB1"/>
    <w:rsid w:val="00BC62D6"/>
    <w:rsid w:val="00BE027C"/>
    <w:rsid w:val="00BE197C"/>
    <w:rsid w:val="00C042E1"/>
    <w:rsid w:val="00C04D93"/>
    <w:rsid w:val="00C14867"/>
    <w:rsid w:val="00C324E2"/>
    <w:rsid w:val="00C41B67"/>
    <w:rsid w:val="00C44E07"/>
    <w:rsid w:val="00C4652F"/>
    <w:rsid w:val="00C478B2"/>
    <w:rsid w:val="00C7060F"/>
    <w:rsid w:val="00C76FCB"/>
    <w:rsid w:val="00C84DD0"/>
    <w:rsid w:val="00CB36BC"/>
    <w:rsid w:val="00CC0469"/>
    <w:rsid w:val="00CC3C3E"/>
    <w:rsid w:val="00CD349F"/>
    <w:rsid w:val="00CD5706"/>
    <w:rsid w:val="00CE5784"/>
    <w:rsid w:val="00CF31D4"/>
    <w:rsid w:val="00D13BAC"/>
    <w:rsid w:val="00D42E5E"/>
    <w:rsid w:val="00D45D4C"/>
    <w:rsid w:val="00D80B3B"/>
    <w:rsid w:val="00D859C3"/>
    <w:rsid w:val="00D90416"/>
    <w:rsid w:val="00D95320"/>
    <w:rsid w:val="00DA1234"/>
    <w:rsid w:val="00DA34D2"/>
    <w:rsid w:val="00DD2ABF"/>
    <w:rsid w:val="00DE5DF2"/>
    <w:rsid w:val="00DE74CE"/>
    <w:rsid w:val="00DF23D6"/>
    <w:rsid w:val="00E01EE2"/>
    <w:rsid w:val="00E10EB0"/>
    <w:rsid w:val="00E14257"/>
    <w:rsid w:val="00E42FD2"/>
    <w:rsid w:val="00E57113"/>
    <w:rsid w:val="00E66DF4"/>
    <w:rsid w:val="00E71759"/>
    <w:rsid w:val="00E74457"/>
    <w:rsid w:val="00E84121"/>
    <w:rsid w:val="00EB4B82"/>
    <w:rsid w:val="00EB79C0"/>
    <w:rsid w:val="00EF2809"/>
    <w:rsid w:val="00F02049"/>
    <w:rsid w:val="00F04B97"/>
    <w:rsid w:val="00F16142"/>
    <w:rsid w:val="00F202E7"/>
    <w:rsid w:val="00F33E34"/>
    <w:rsid w:val="00F609FF"/>
    <w:rsid w:val="00F61A0A"/>
    <w:rsid w:val="00F722C0"/>
    <w:rsid w:val="00F7574E"/>
    <w:rsid w:val="00F868FC"/>
    <w:rsid w:val="00F86AEF"/>
    <w:rsid w:val="00F9123F"/>
    <w:rsid w:val="00F97403"/>
    <w:rsid w:val="00FA4A9E"/>
    <w:rsid w:val="00FA5DE2"/>
    <w:rsid w:val="00FB1ADF"/>
    <w:rsid w:val="00FB5803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D2064"/>
  <w15:docId w15:val="{D15C8571-F15D-4471-A57A-296DE52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E0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E07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07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E0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4E0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E07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FD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566F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66F4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66F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66F4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66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0A"/>
    <w:rPr>
      <w:rFonts w:ascii="Segoe UI" w:eastAsia="Times New Roman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156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5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B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125C-0831-4A12-BF3E-A98FCD84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Liriye</dc:creator>
  <cp:lastModifiedBy>Liriye Kurtovic</cp:lastModifiedBy>
  <cp:revision>2</cp:revision>
  <dcterms:created xsi:type="dcterms:W3CDTF">2021-11-23T08:48:00Z</dcterms:created>
  <dcterms:modified xsi:type="dcterms:W3CDTF">2021-11-23T08:48:00Z</dcterms:modified>
</cp:coreProperties>
</file>