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D03B21" w14:textId="7ECEF193" w:rsidR="00B26BA2" w:rsidRDefault="00654E8F" w:rsidP="00F94A89">
      <w:pPr>
        <w:pStyle w:val="SupplementaryMaterial"/>
      </w:pPr>
      <w:r w:rsidRPr="001549D3">
        <w:t>Supplementary Material</w:t>
      </w:r>
    </w:p>
    <w:p w14:paraId="3EE64BB4" w14:textId="3F724A72" w:rsidR="003B02EF" w:rsidRDefault="00C94566" w:rsidP="003B02EF">
      <w:pPr>
        <w:pStyle w:val="Ttulo"/>
      </w:pPr>
      <w:bookmarkStart w:id="0" w:name="_GoBack"/>
      <w:r>
        <w:rPr>
          <w:noProof/>
          <w:lang w:val="es-ES" w:eastAsia="es-ES"/>
        </w:rPr>
        <w:drawing>
          <wp:inline distT="0" distB="0" distL="0" distR="0" wp14:anchorId="1E9ED23B" wp14:editId="12804713">
            <wp:extent cx="4219575" cy="6454755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F1 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613" cy="647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AA7C954" w14:textId="6CCF3C91" w:rsidR="00F77FBF" w:rsidRDefault="003B02EF" w:rsidP="00F77FBF">
      <w:pPr>
        <w:rPr>
          <w:rFonts w:cs="Times New Roman"/>
          <w:color w:val="FF0000"/>
          <w:szCs w:val="24"/>
        </w:rPr>
      </w:pPr>
      <w:r w:rsidRPr="005078FA">
        <w:rPr>
          <w:rFonts w:cs="Times New Roman"/>
          <w:b/>
          <w:bCs/>
          <w:szCs w:val="24"/>
          <w:lang w:val="en-GB"/>
        </w:rPr>
        <w:t>Supplementary Figure 1</w:t>
      </w:r>
      <w:r w:rsidRPr="005078FA">
        <w:rPr>
          <w:rFonts w:cs="Times New Roman"/>
          <w:szCs w:val="24"/>
          <w:lang w:val="en-GB"/>
        </w:rPr>
        <w:t xml:space="preserve">. </w:t>
      </w:r>
      <w:r w:rsidRPr="005078FA">
        <w:rPr>
          <w:rFonts w:cs="Times New Roman"/>
          <w:b/>
          <w:szCs w:val="24"/>
          <w:lang w:val="en-GB"/>
        </w:rPr>
        <w:t>Cell sorting strategy and post-sort purity</w:t>
      </w:r>
      <w:r w:rsidRPr="005078FA">
        <w:rPr>
          <w:rFonts w:cs="Times New Roman"/>
          <w:szCs w:val="24"/>
          <w:lang w:val="en-GB"/>
        </w:rPr>
        <w:t xml:space="preserve">. Freshly obtained splenocytes or </w:t>
      </w:r>
      <w:r w:rsidRPr="005078FA">
        <w:rPr>
          <w:rFonts w:cs="Times New Roman"/>
          <w:szCs w:val="24"/>
        </w:rPr>
        <w:t xml:space="preserve">stimulated with anti-CD3 and anti-CD28 </w:t>
      </w:r>
      <w:r w:rsidRPr="005078FA">
        <w:rPr>
          <w:rFonts w:cs="Times New Roman"/>
          <w:szCs w:val="24"/>
          <w:lang w:val="en-GB"/>
        </w:rPr>
        <w:t xml:space="preserve">were stained with anti-CD4, anti </w:t>
      </w:r>
      <w:r w:rsidRPr="005078FA">
        <w:rPr>
          <w:rFonts w:eastAsia="Times New Roman" w:cs="Times New Roman"/>
          <w:szCs w:val="24"/>
          <w:lang w:eastAsia="es-MX"/>
        </w:rPr>
        <w:t>CD8</w:t>
      </w:r>
      <w:r w:rsidRPr="005078FA">
        <w:rPr>
          <w:rFonts w:cs="Times New Roman"/>
          <w:szCs w:val="24"/>
          <w:lang w:val="en-GB"/>
        </w:rPr>
        <w:t xml:space="preserve">, 7-AAD and sorted immediately. Lymphocytes were </w:t>
      </w:r>
      <w:r w:rsidRPr="005078FA">
        <w:rPr>
          <w:rFonts w:eastAsia="Calibri" w:cs="Times New Roman"/>
          <w:szCs w:val="24"/>
        </w:rPr>
        <w:t>defined by FCS and SSC characteristics, after singlets selection, viable cells were gated, CD4</w:t>
      </w:r>
      <w:r w:rsidRPr="005078FA">
        <w:rPr>
          <w:rFonts w:eastAsia="Calibri" w:cs="Times New Roman"/>
          <w:szCs w:val="24"/>
          <w:vertAlign w:val="superscript"/>
        </w:rPr>
        <w:t xml:space="preserve">+ </w:t>
      </w:r>
      <w:r w:rsidRPr="005078FA">
        <w:rPr>
          <w:rFonts w:cs="Times New Roman"/>
          <w:szCs w:val="24"/>
          <w:lang w:val="en-GB"/>
        </w:rPr>
        <w:t xml:space="preserve">and </w:t>
      </w:r>
      <w:r w:rsidRPr="005078FA">
        <w:rPr>
          <w:rFonts w:eastAsia="Times New Roman" w:cs="Times New Roman"/>
          <w:szCs w:val="24"/>
          <w:lang w:eastAsia="es-MX"/>
        </w:rPr>
        <w:t>CD8</w:t>
      </w:r>
      <w:r w:rsidRPr="005078FA">
        <w:rPr>
          <w:rFonts w:eastAsia="Times New Roman" w:cs="Times New Roman"/>
          <w:szCs w:val="24"/>
          <w:vertAlign w:val="superscript"/>
          <w:lang w:eastAsia="es-MX"/>
        </w:rPr>
        <w:t>+</w:t>
      </w:r>
      <w:r w:rsidRPr="005078FA">
        <w:rPr>
          <w:rFonts w:cs="Times New Roman"/>
          <w:szCs w:val="24"/>
          <w:lang w:val="en-GB"/>
        </w:rPr>
        <w:t xml:space="preserve"> cells were collected in FCS. Post sort purity of each population was </w:t>
      </w:r>
      <w:r w:rsidRPr="005078FA">
        <w:rPr>
          <w:rFonts w:cs="Times New Roman"/>
          <w:szCs w:val="24"/>
        </w:rPr>
        <w:t>≥95%.</w:t>
      </w:r>
      <w:r w:rsidR="00F77FBF">
        <w:rPr>
          <w:rFonts w:cs="Times New Roman"/>
          <w:color w:val="FF0000"/>
          <w:szCs w:val="24"/>
        </w:rPr>
        <w:br w:type="page"/>
      </w:r>
    </w:p>
    <w:p w14:paraId="38D9E10B" w14:textId="77777777" w:rsidR="00C94566" w:rsidRDefault="00C94566" w:rsidP="00F77FBF">
      <w:pPr>
        <w:rPr>
          <w:rFonts w:cs="Times New Roman"/>
          <w:color w:val="FF0000"/>
          <w:szCs w:val="24"/>
        </w:rPr>
      </w:pPr>
    </w:p>
    <w:p w14:paraId="47AF13FD" w14:textId="52616B2F" w:rsidR="003B02EF" w:rsidRPr="003B02EF" w:rsidRDefault="00C94566" w:rsidP="005078FA">
      <w:pPr>
        <w:jc w:val="center"/>
        <w:rPr>
          <w:rFonts w:cs="Times New Roman"/>
          <w:color w:val="FF0000"/>
          <w:szCs w:val="24"/>
          <w:lang w:val="en-GB"/>
        </w:rPr>
      </w:pPr>
      <w:r>
        <w:rPr>
          <w:rFonts w:cs="Times New Roman"/>
          <w:noProof/>
          <w:color w:val="FF0000"/>
          <w:szCs w:val="24"/>
          <w:lang w:val="es-ES" w:eastAsia="es-ES"/>
        </w:rPr>
        <w:drawing>
          <wp:inline distT="0" distB="0" distL="0" distR="0" wp14:anchorId="7E59CE8D" wp14:editId="199D94AB">
            <wp:extent cx="5672552" cy="2924175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F2 3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981" cy="294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85D7A" w14:textId="25F5BB2B" w:rsidR="005078FA" w:rsidRPr="005078FA" w:rsidRDefault="00793235" w:rsidP="005078FA">
      <w:pPr>
        <w:spacing w:before="0" w:after="160"/>
        <w:jc w:val="both"/>
        <w:rPr>
          <w:rFonts w:eastAsia="Calibri" w:cs="Times New Roman"/>
          <w:strike/>
          <w:szCs w:val="24"/>
        </w:rPr>
      </w:pPr>
      <w:r w:rsidRPr="005078FA">
        <w:rPr>
          <w:rFonts w:cs="Times New Roman"/>
          <w:b/>
          <w:bCs/>
          <w:szCs w:val="24"/>
          <w:lang w:val="en-GB"/>
        </w:rPr>
        <w:t>Supplementary Figure 2</w:t>
      </w:r>
      <w:r w:rsidRPr="005078FA">
        <w:rPr>
          <w:rFonts w:cs="Times New Roman"/>
          <w:szCs w:val="24"/>
          <w:lang w:val="en-GB"/>
        </w:rPr>
        <w:t xml:space="preserve">. </w:t>
      </w:r>
      <w:r w:rsidR="005078FA" w:rsidRPr="005078FA">
        <w:rPr>
          <w:rFonts w:eastAsia="Calibri" w:cs="Times New Roman"/>
          <w:b/>
          <w:bCs/>
          <w:szCs w:val="24"/>
        </w:rPr>
        <w:t xml:space="preserve">Moesin has several potential </w:t>
      </w:r>
      <w:r w:rsidR="005078FA" w:rsidRPr="005078FA">
        <w:rPr>
          <w:rFonts w:eastAsia="Calibri" w:cs="Times New Roman"/>
          <w:b/>
          <w:bCs/>
          <w:i/>
          <w:iCs/>
          <w:szCs w:val="24"/>
        </w:rPr>
        <w:t>O</w:t>
      </w:r>
      <w:r w:rsidR="005078FA" w:rsidRPr="005078FA">
        <w:rPr>
          <w:rFonts w:eastAsia="Calibri" w:cs="Times New Roman"/>
          <w:b/>
          <w:bCs/>
          <w:szCs w:val="24"/>
        </w:rPr>
        <w:t xml:space="preserve">-glycosylation sites.  </w:t>
      </w:r>
      <w:r w:rsidR="005078FA" w:rsidRPr="005078FA">
        <w:rPr>
          <w:rFonts w:eastAsia="Calibri" w:cs="Times New Roman"/>
          <w:bCs/>
          <w:szCs w:val="24"/>
        </w:rPr>
        <w:t>The moesin amino acid sequence</w:t>
      </w:r>
      <w:r w:rsidR="005078FA" w:rsidRPr="005078FA">
        <w:rPr>
          <w:rFonts w:eastAsia="Calibri" w:cs="Times New Roman"/>
          <w:b/>
          <w:bCs/>
          <w:szCs w:val="24"/>
        </w:rPr>
        <w:t xml:space="preserve"> </w:t>
      </w:r>
      <w:r w:rsidR="005078FA" w:rsidRPr="005078FA">
        <w:rPr>
          <w:rFonts w:eastAsia="Calibri" w:cs="Times New Roman"/>
          <w:bCs/>
          <w:szCs w:val="24"/>
        </w:rPr>
        <w:t xml:space="preserve">reported in the </w:t>
      </w:r>
      <w:proofErr w:type="spellStart"/>
      <w:r w:rsidR="005078FA" w:rsidRPr="005078FA">
        <w:rPr>
          <w:rFonts w:eastAsia="Calibri" w:cs="Times New Roman"/>
          <w:szCs w:val="24"/>
        </w:rPr>
        <w:t>UniProtKB</w:t>
      </w:r>
      <w:proofErr w:type="spellEnd"/>
      <w:r w:rsidR="005078FA" w:rsidRPr="005078FA">
        <w:rPr>
          <w:rFonts w:eastAsia="Calibri" w:cs="Times New Roman"/>
          <w:szCs w:val="24"/>
        </w:rPr>
        <w:t xml:space="preserve"> database (P26041, MOES_MOUSE) was analyzed with the </w:t>
      </w:r>
      <w:proofErr w:type="spellStart"/>
      <w:r w:rsidR="005078FA" w:rsidRPr="005078FA">
        <w:rPr>
          <w:rFonts w:eastAsia="Calibri" w:cs="Times New Roman"/>
          <w:szCs w:val="24"/>
        </w:rPr>
        <w:t>NetOglyc</w:t>
      </w:r>
      <w:proofErr w:type="spellEnd"/>
      <w:r w:rsidR="005078FA" w:rsidRPr="005078FA">
        <w:rPr>
          <w:rFonts w:eastAsia="Calibri" w:cs="Times New Roman"/>
          <w:szCs w:val="24"/>
        </w:rPr>
        <w:t xml:space="preserve"> 4.0 server to determine possible </w:t>
      </w:r>
      <w:r w:rsidR="005078FA" w:rsidRPr="005078FA">
        <w:rPr>
          <w:rFonts w:eastAsia="Calibri" w:cs="Times New Roman"/>
          <w:i/>
          <w:iCs/>
          <w:szCs w:val="24"/>
        </w:rPr>
        <w:t>O</w:t>
      </w:r>
      <w:r w:rsidR="005078FA" w:rsidRPr="005078FA">
        <w:rPr>
          <w:rFonts w:eastAsia="Calibri" w:cs="Times New Roman"/>
          <w:szCs w:val="24"/>
        </w:rPr>
        <w:t>-glycosylation sites.  RED: FERM domain (Met</w:t>
      </w:r>
      <w:r w:rsidR="005078FA" w:rsidRPr="005078FA">
        <w:rPr>
          <w:rFonts w:eastAsia="Calibri" w:cs="Times New Roman"/>
          <w:szCs w:val="24"/>
          <w:vertAlign w:val="superscript"/>
        </w:rPr>
        <w:t>1</w:t>
      </w:r>
      <w:r w:rsidR="005078FA" w:rsidRPr="005078FA">
        <w:rPr>
          <w:rFonts w:eastAsia="Calibri" w:cs="Times New Roman"/>
          <w:szCs w:val="24"/>
        </w:rPr>
        <w:t>-Arg</w:t>
      </w:r>
      <w:r w:rsidR="005078FA" w:rsidRPr="005078FA">
        <w:rPr>
          <w:rFonts w:eastAsia="Calibri" w:cs="Times New Roman"/>
          <w:szCs w:val="24"/>
          <w:vertAlign w:val="superscript"/>
        </w:rPr>
        <w:t>95</w:t>
      </w:r>
      <w:r w:rsidR="005078FA" w:rsidRPr="005078FA">
        <w:rPr>
          <w:rFonts w:eastAsia="Calibri" w:cs="Times New Roman"/>
          <w:szCs w:val="24"/>
        </w:rPr>
        <w:t>); GREEN, alpha-helical domain (Lys</w:t>
      </w:r>
      <w:r w:rsidR="005078FA" w:rsidRPr="005078FA">
        <w:rPr>
          <w:rFonts w:eastAsia="Calibri" w:cs="Times New Roman"/>
          <w:szCs w:val="24"/>
          <w:vertAlign w:val="superscript"/>
        </w:rPr>
        <w:t>96</w:t>
      </w:r>
      <w:r w:rsidR="005078FA" w:rsidRPr="005078FA">
        <w:rPr>
          <w:rFonts w:eastAsia="Calibri" w:cs="Times New Roman"/>
          <w:szCs w:val="24"/>
        </w:rPr>
        <w:t>-Glu</w:t>
      </w:r>
      <w:r w:rsidR="005078FA" w:rsidRPr="005078FA">
        <w:rPr>
          <w:rFonts w:eastAsia="Calibri" w:cs="Times New Roman"/>
          <w:szCs w:val="24"/>
          <w:vertAlign w:val="superscript"/>
        </w:rPr>
        <w:t>506</w:t>
      </w:r>
      <w:r w:rsidR="005078FA" w:rsidRPr="005078FA">
        <w:rPr>
          <w:rFonts w:eastAsia="Calibri" w:cs="Times New Roman"/>
          <w:szCs w:val="24"/>
        </w:rPr>
        <w:t>); PURPLE, moesin domain (Arg</w:t>
      </w:r>
      <w:r w:rsidR="005078FA" w:rsidRPr="005078FA">
        <w:rPr>
          <w:rFonts w:eastAsia="Calibri" w:cs="Times New Roman"/>
          <w:szCs w:val="24"/>
          <w:vertAlign w:val="superscript"/>
        </w:rPr>
        <w:t>507</w:t>
      </w:r>
      <w:r w:rsidR="005078FA" w:rsidRPr="005078FA">
        <w:rPr>
          <w:rFonts w:eastAsia="Calibri" w:cs="Times New Roman"/>
          <w:szCs w:val="24"/>
        </w:rPr>
        <w:t>-Met</w:t>
      </w:r>
      <w:r w:rsidR="005078FA" w:rsidRPr="005078FA">
        <w:rPr>
          <w:rFonts w:eastAsia="Calibri" w:cs="Times New Roman"/>
          <w:szCs w:val="24"/>
          <w:vertAlign w:val="superscript"/>
        </w:rPr>
        <w:t>577</w:t>
      </w:r>
      <w:r w:rsidR="005078FA" w:rsidRPr="005078FA">
        <w:rPr>
          <w:rFonts w:eastAsia="Calibri" w:cs="Times New Roman"/>
          <w:szCs w:val="24"/>
        </w:rPr>
        <w:t>). Amino acids with over 50% probability of being O- glycosylated are indicated by an arrow, and those with over 80% probability are highlighted with red squares.</w:t>
      </w:r>
    </w:p>
    <w:p w14:paraId="04FDFA75" w14:textId="405E1855" w:rsidR="00F77FBF" w:rsidRDefault="00F77FBF">
      <w:pPr>
        <w:spacing w:before="0" w:after="200" w:line="276" w:lineRule="auto"/>
        <w:rPr>
          <w:rFonts w:eastAsia="Calibri" w:cs="Times New Roman"/>
          <w:color w:val="FF0000"/>
          <w:szCs w:val="24"/>
        </w:rPr>
      </w:pPr>
      <w:r>
        <w:rPr>
          <w:rFonts w:eastAsia="Calibri" w:cs="Times New Roman"/>
          <w:color w:val="FF0000"/>
          <w:szCs w:val="24"/>
        </w:rPr>
        <w:br w:type="page"/>
      </w:r>
    </w:p>
    <w:p w14:paraId="4EF5E77C" w14:textId="77777777" w:rsidR="003B02EF" w:rsidRPr="00F77FBF" w:rsidRDefault="003B02EF" w:rsidP="003B02EF">
      <w:pPr>
        <w:rPr>
          <w:color w:val="FF0000"/>
        </w:rPr>
      </w:pPr>
    </w:p>
    <w:p w14:paraId="3420171F" w14:textId="44B8BEC7" w:rsidR="00B26BA2" w:rsidRPr="00A81F52" w:rsidRDefault="00C94566" w:rsidP="005078FA">
      <w:pPr>
        <w:jc w:val="center"/>
        <w:rPr>
          <w:rFonts w:cs="Times New Roman"/>
          <w:b/>
          <w:bCs/>
          <w:szCs w:val="24"/>
          <w:lang w:val="en-GB"/>
        </w:rPr>
      </w:pPr>
      <w:r>
        <w:rPr>
          <w:rFonts w:cs="Times New Roman"/>
          <w:b/>
          <w:bCs/>
          <w:noProof/>
          <w:szCs w:val="24"/>
          <w:lang w:val="es-ES" w:eastAsia="es-ES"/>
        </w:rPr>
        <w:drawing>
          <wp:inline distT="0" distB="0" distL="0" distR="0" wp14:anchorId="7E7BAE4F" wp14:editId="11BB4D1C">
            <wp:extent cx="5038725" cy="600091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F3 3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133" cy="601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BEFD6" w14:textId="20508D97" w:rsidR="00793235" w:rsidRDefault="00793235" w:rsidP="000A482D">
      <w:pPr>
        <w:rPr>
          <w:rFonts w:eastAsia="Calibri" w:cs="Times New Roman"/>
          <w:szCs w:val="24"/>
        </w:rPr>
      </w:pPr>
      <w:r w:rsidRPr="005078FA">
        <w:rPr>
          <w:rFonts w:cs="Times New Roman"/>
          <w:b/>
          <w:bCs/>
          <w:szCs w:val="24"/>
          <w:lang w:val="en-GB"/>
        </w:rPr>
        <w:t>Supplementary Figure 3</w:t>
      </w:r>
      <w:r w:rsidRPr="005078FA">
        <w:rPr>
          <w:rFonts w:cs="Times New Roman"/>
          <w:szCs w:val="24"/>
          <w:lang w:val="en-GB"/>
        </w:rPr>
        <w:t xml:space="preserve">. </w:t>
      </w:r>
      <w:r w:rsidRPr="005078FA">
        <w:rPr>
          <w:rFonts w:eastAsia="Calibri" w:cs="Times New Roman"/>
          <w:b/>
          <w:bCs/>
          <w:szCs w:val="24"/>
        </w:rPr>
        <w:t xml:space="preserve">Moesin </w:t>
      </w:r>
      <w:proofErr w:type="spellStart"/>
      <w:r w:rsidRPr="005078FA">
        <w:rPr>
          <w:rFonts w:eastAsia="Calibri" w:cs="Times New Roman"/>
          <w:b/>
          <w:bCs/>
          <w:szCs w:val="24"/>
        </w:rPr>
        <w:t>costimulation</w:t>
      </w:r>
      <w:proofErr w:type="spellEnd"/>
      <w:r w:rsidRPr="005078FA">
        <w:rPr>
          <w:rFonts w:eastAsia="Calibri" w:cs="Times New Roman"/>
          <w:b/>
          <w:bCs/>
          <w:szCs w:val="24"/>
        </w:rPr>
        <w:t xml:space="preserve"> induces the expression of activation markers in T lymphocytes.</w:t>
      </w:r>
      <w:r w:rsidRPr="005078FA">
        <w:rPr>
          <w:rFonts w:eastAsia="Calibri" w:cs="Times New Roman"/>
          <w:bCs/>
          <w:szCs w:val="24"/>
        </w:rPr>
        <w:t xml:space="preserve"> T cells were isolated by negative selection and activated with anti-CD3 and anti-CD28 </w:t>
      </w:r>
      <w:proofErr w:type="spellStart"/>
      <w:r w:rsidRPr="005078FA">
        <w:rPr>
          <w:rFonts w:eastAsia="Calibri" w:cs="Times New Roman"/>
          <w:bCs/>
          <w:szCs w:val="24"/>
        </w:rPr>
        <w:t>mAbs</w:t>
      </w:r>
      <w:proofErr w:type="spellEnd"/>
      <w:r w:rsidRPr="005078FA">
        <w:rPr>
          <w:rFonts w:eastAsia="Calibri" w:cs="Times New Roman"/>
          <w:bCs/>
          <w:szCs w:val="24"/>
        </w:rPr>
        <w:t xml:space="preserve"> (CD3/CD28), anti-CD3 and ALL (CD3/ALL), or anti-CD3 and anti-moesin </w:t>
      </w:r>
      <w:proofErr w:type="spellStart"/>
      <w:r w:rsidRPr="005078FA">
        <w:rPr>
          <w:rFonts w:eastAsia="Calibri" w:cs="Times New Roman"/>
          <w:bCs/>
          <w:szCs w:val="24"/>
        </w:rPr>
        <w:t>mAb</w:t>
      </w:r>
      <w:proofErr w:type="spellEnd"/>
      <w:r w:rsidRPr="005078FA">
        <w:rPr>
          <w:rFonts w:eastAsia="Calibri" w:cs="Times New Roman"/>
          <w:bCs/>
          <w:szCs w:val="24"/>
        </w:rPr>
        <w:t xml:space="preserve"> (CD3/moesin) and collected after 6h. Samples were stained with anti-CD4, anti-</w:t>
      </w:r>
      <w:r w:rsidRPr="005078FA">
        <w:rPr>
          <w:rFonts w:eastAsia="Times New Roman" w:cs="Times New Roman"/>
          <w:bCs/>
          <w:szCs w:val="24"/>
          <w:lang w:eastAsia="es-MX"/>
        </w:rPr>
        <w:t>CD8,</w:t>
      </w:r>
      <w:r w:rsidRPr="005078FA">
        <w:rPr>
          <w:rFonts w:eastAsia="Calibri" w:cs="Times New Roman"/>
          <w:bCs/>
          <w:szCs w:val="24"/>
        </w:rPr>
        <w:t xml:space="preserve"> anti-CD69, anti-CD25, Ghost Dye Red 780, and analyzed by flow cytometry. </w:t>
      </w:r>
      <w:r w:rsidRPr="005078FA">
        <w:rPr>
          <w:rFonts w:eastAsia="Calibri" w:cs="Times New Roman"/>
          <w:szCs w:val="24"/>
        </w:rPr>
        <w:t>Lymphocytes were defined by FCS and SSC characteristics, after singlets selection, dead cells were excluded, and the activation markers were analyzed within the CD4</w:t>
      </w:r>
      <w:r w:rsidRPr="005078FA">
        <w:rPr>
          <w:rFonts w:eastAsia="Calibri" w:cs="Times New Roman"/>
          <w:szCs w:val="24"/>
          <w:vertAlign w:val="superscript"/>
        </w:rPr>
        <w:t>+</w:t>
      </w:r>
      <w:r w:rsidRPr="005078FA">
        <w:rPr>
          <w:rFonts w:eastAsia="Calibri" w:cs="Times New Roman"/>
          <w:szCs w:val="24"/>
        </w:rPr>
        <w:t>CD8</w:t>
      </w:r>
      <w:r w:rsidRPr="005078FA">
        <w:rPr>
          <w:rFonts w:eastAsia="Calibri" w:cs="Times New Roman"/>
          <w:szCs w:val="24"/>
          <w:vertAlign w:val="superscript"/>
        </w:rPr>
        <w:t>-</w:t>
      </w:r>
      <w:r w:rsidRPr="005078FA">
        <w:rPr>
          <w:rFonts w:eastAsia="Calibri" w:cs="Times New Roman"/>
          <w:szCs w:val="24"/>
        </w:rPr>
        <w:t xml:space="preserve"> and CD4</w:t>
      </w:r>
      <w:r w:rsidRPr="005078FA">
        <w:rPr>
          <w:rFonts w:eastAsia="Calibri" w:cs="Times New Roman"/>
          <w:szCs w:val="24"/>
          <w:vertAlign w:val="superscript"/>
        </w:rPr>
        <w:t>-</w:t>
      </w:r>
      <w:r w:rsidRPr="005078FA">
        <w:rPr>
          <w:rFonts w:eastAsia="Times New Roman" w:cs="Times New Roman"/>
          <w:szCs w:val="24"/>
          <w:lang w:eastAsia="es-MX"/>
        </w:rPr>
        <w:t>CD8</w:t>
      </w:r>
      <w:r w:rsidRPr="005078FA">
        <w:rPr>
          <w:rFonts w:eastAsia="Times New Roman" w:cs="Times New Roman"/>
          <w:szCs w:val="24"/>
          <w:vertAlign w:val="superscript"/>
          <w:lang w:eastAsia="es-MX"/>
        </w:rPr>
        <w:t>+</w:t>
      </w:r>
      <w:r w:rsidRPr="005078FA">
        <w:rPr>
          <w:rFonts w:eastAsia="Calibri" w:cs="Times New Roman"/>
          <w:szCs w:val="24"/>
        </w:rPr>
        <w:t xml:space="preserve"> subsets. Representative analysis of CD69 and CD25 expression pattern in CD4</w:t>
      </w:r>
      <w:r w:rsidRPr="005078FA">
        <w:rPr>
          <w:rFonts w:eastAsia="Calibri" w:cs="Times New Roman"/>
          <w:szCs w:val="24"/>
          <w:vertAlign w:val="superscript"/>
        </w:rPr>
        <w:t xml:space="preserve">+ </w:t>
      </w:r>
      <w:r w:rsidRPr="005078FA">
        <w:rPr>
          <w:rFonts w:eastAsia="Calibri" w:cs="Times New Roman"/>
          <w:szCs w:val="24"/>
        </w:rPr>
        <w:t xml:space="preserve">and </w:t>
      </w:r>
      <w:r w:rsidRPr="005078FA">
        <w:rPr>
          <w:rFonts w:eastAsia="Times New Roman" w:cs="Times New Roman"/>
          <w:szCs w:val="24"/>
          <w:lang w:eastAsia="es-MX"/>
        </w:rPr>
        <w:t>CD8</w:t>
      </w:r>
      <w:r w:rsidRPr="005078FA">
        <w:rPr>
          <w:rFonts w:eastAsia="Times New Roman" w:cs="Times New Roman"/>
          <w:szCs w:val="24"/>
          <w:vertAlign w:val="superscript"/>
          <w:lang w:eastAsia="es-MX"/>
        </w:rPr>
        <w:t>+</w:t>
      </w:r>
      <w:r w:rsidRPr="005078FA">
        <w:rPr>
          <w:rFonts w:eastAsia="Calibri" w:cs="Times New Roman"/>
          <w:szCs w:val="24"/>
        </w:rPr>
        <w:t xml:space="preserve"> T cells. </w:t>
      </w:r>
    </w:p>
    <w:p w14:paraId="3659EAB3" w14:textId="3A8302B7" w:rsidR="00F77FBF" w:rsidRDefault="00F77FBF">
      <w:pPr>
        <w:spacing w:before="0" w:after="200" w:line="276" w:lineRule="auto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br w:type="page"/>
      </w:r>
    </w:p>
    <w:p w14:paraId="3C419443" w14:textId="277E906E" w:rsidR="00994A3D" w:rsidRPr="001549D3" w:rsidRDefault="00C94566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s-ES" w:eastAsia="es-ES"/>
        </w:rPr>
        <w:lastRenderedPageBreak/>
        <w:drawing>
          <wp:inline distT="0" distB="0" distL="0" distR="0" wp14:anchorId="3D77A5BA" wp14:editId="248FDA56">
            <wp:extent cx="5019675" cy="6399225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F4 3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513" cy="642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A7015" w14:textId="504AC020" w:rsidR="00C94566" w:rsidRPr="005078FA" w:rsidRDefault="00793235" w:rsidP="005078FA">
      <w:pPr>
        <w:spacing w:before="0" w:after="0"/>
        <w:jc w:val="both"/>
        <w:rPr>
          <w:rFonts w:eastAsia="Calibri" w:cs="Times New Roman"/>
          <w:szCs w:val="24"/>
        </w:rPr>
      </w:pPr>
      <w:r w:rsidRPr="00B26BA2">
        <w:rPr>
          <w:rFonts w:cs="Times New Roman"/>
          <w:b/>
          <w:bCs/>
          <w:szCs w:val="24"/>
          <w:lang w:val="en-GB"/>
        </w:rPr>
        <w:t xml:space="preserve">Supplementary </w:t>
      </w:r>
      <w:r>
        <w:rPr>
          <w:rFonts w:cs="Times New Roman"/>
          <w:b/>
          <w:bCs/>
          <w:szCs w:val="24"/>
          <w:lang w:val="en-GB"/>
        </w:rPr>
        <w:t>Figure</w:t>
      </w:r>
      <w:r w:rsidRPr="00B26BA2">
        <w:rPr>
          <w:rFonts w:cs="Times New Roman"/>
          <w:b/>
          <w:bCs/>
          <w:szCs w:val="24"/>
          <w:lang w:val="en-GB"/>
        </w:rPr>
        <w:t xml:space="preserve"> </w:t>
      </w:r>
      <w:r w:rsidR="005078FA">
        <w:rPr>
          <w:rFonts w:cs="Times New Roman"/>
          <w:b/>
          <w:bCs/>
          <w:szCs w:val="24"/>
          <w:lang w:val="en-GB"/>
        </w:rPr>
        <w:t>4</w:t>
      </w:r>
      <w:r w:rsidRPr="00A81F52">
        <w:rPr>
          <w:rFonts w:cs="Times New Roman"/>
          <w:szCs w:val="24"/>
          <w:lang w:val="en-GB"/>
        </w:rPr>
        <w:t>.</w:t>
      </w:r>
      <w:r>
        <w:rPr>
          <w:rFonts w:cs="Times New Roman"/>
          <w:szCs w:val="24"/>
          <w:lang w:val="en-GB"/>
        </w:rPr>
        <w:t xml:space="preserve"> </w:t>
      </w:r>
      <w:r w:rsidRPr="00F94A89">
        <w:rPr>
          <w:rFonts w:cs="Times New Roman"/>
          <w:b/>
          <w:szCs w:val="24"/>
          <w:lang w:val="en-GB"/>
        </w:rPr>
        <w:t xml:space="preserve">Additional controls included </w:t>
      </w:r>
      <w:proofErr w:type="spellStart"/>
      <w:r w:rsidRPr="00F94A89">
        <w:rPr>
          <w:rFonts w:cs="Times New Roman"/>
          <w:b/>
          <w:szCs w:val="24"/>
          <w:lang w:val="en-GB"/>
        </w:rPr>
        <w:t>forthe</w:t>
      </w:r>
      <w:proofErr w:type="spellEnd"/>
      <w:r w:rsidRPr="00F94A89">
        <w:rPr>
          <w:rFonts w:cs="Times New Roman"/>
          <w:b/>
          <w:szCs w:val="24"/>
          <w:lang w:val="en-GB"/>
        </w:rPr>
        <w:t xml:space="preserve"> activation markers</w:t>
      </w:r>
      <w:r w:rsidR="005078FA">
        <w:rPr>
          <w:rFonts w:cs="Times New Roman"/>
          <w:b/>
          <w:szCs w:val="24"/>
          <w:lang w:val="en-GB"/>
        </w:rPr>
        <w:t xml:space="preserve"> expression, CFSE and IL2 secretion</w:t>
      </w:r>
      <w:r w:rsidRPr="00F94A89">
        <w:rPr>
          <w:rFonts w:cs="Times New Roman"/>
          <w:b/>
          <w:szCs w:val="24"/>
          <w:lang w:val="en-GB"/>
        </w:rPr>
        <w:t xml:space="preserve"> analysis.</w:t>
      </w:r>
      <w:r>
        <w:rPr>
          <w:rFonts w:cs="Times New Roman"/>
          <w:szCs w:val="24"/>
          <w:lang w:val="en-GB"/>
        </w:rPr>
        <w:t xml:space="preserve"> </w:t>
      </w:r>
      <w:r w:rsidRPr="00B664D3">
        <w:rPr>
          <w:rFonts w:eastAsia="Calibri" w:cs="Times New Roman"/>
          <w:bCs/>
          <w:szCs w:val="24"/>
        </w:rPr>
        <w:t>Splenocytes</w:t>
      </w:r>
      <w:r>
        <w:rPr>
          <w:rFonts w:eastAsia="Calibri" w:cs="Times New Roman"/>
          <w:b/>
          <w:bCs/>
          <w:szCs w:val="24"/>
        </w:rPr>
        <w:t xml:space="preserve"> </w:t>
      </w:r>
      <w:r w:rsidRPr="00324B8E">
        <w:rPr>
          <w:rFonts w:eastAsia="Calibri" w:cs="Times New Roman"/>
          <w:bCs/>
          <w:szCs w:val="24"/>
        </w:rPr>
        <w:t>were</w:t>
      </w:r>
      <w:r>
        <w:rPr>
          <w:rFonts w:eastAsia="Calibri" w:cs="Times New Roman"/>
          <w:bCs/>
          <w:szCs w:val="24"/>
        </w:rPr>
        <w:t xml:space="preserve"> stained with CFSE,</w:t>
      </w:r>
      <w:r w:rsidRPr="00324B8E">
        <w:rPr>
          <w:rFonts w:eastAsia="Calibri" w:cs="Times New Roman"/>
          <w:bCs/>
          <w:szCs w:val="24"/>
        </w:rPr>
        <w:t xml:space="preserve"> </w:t>
      </w:r>
      <w:r>
        <w:rPr>
          <w:rFonts w:eastAsia="Calibri" w:cs="Times New Roman"/>
          <w:bCs/>
          <w:szCs w:val="24"/>
        </w:rPr>
        <w:t xml:space="preserve">then, T </w:t>
      </w:r>
      <w:r w:rsidRPr="00324B8E">
        <w:rPr>
          <w:rFonts w:eastAsia="Calibri" w:cs="Times New Roman"/>
          <w:bCs/>
          <w:szCs w:val="24"/>
        </w:rPr>
        <w:t>cells</w:t>
      </w:r>
      <w:r>
        <w:rPr>
          <w:rFonts w:eastAsia="Calibri" w:cs="Times New Roman"/>
          <w:bCs/>
          <w:szCs w:val="24"/>
        </w:rPr>
        <w:t xml:space="preserve"> were</w:t>
      </w:r>
      <w:r w:rsidRPr="00324B8E">
        <w:rPr>
          <w:rFonts w:eastAsia="Calibri" w:cs="Times New Roman"/>
          <w:bCs/>
          <w:szCs w:val="24"/>
        </w:rPr>
        <w:t xml:space="preserve"> separated by negative selection and activated with</w:t>
      </w:r>
      <w:r>
        <w:rPr>
          <w:rFonts w:eastAsia="Calibri" w:cs="Times New Roman"/>
          <w:bCs/>
          <w:szCs w:val="24"/>
        </w:rPr>
        <w:t xml:space="preserve">, anti-CD28, </w:t>
      </w:r>
      <w:r w:rsidRPr="00324B8E">
        <w:rPr>
          <w:rFonts w:eastAsia="Calibri" w:cs="Times New Roman"/>
          <w:bCs/>
          <w:szCs w:val="24"/>
        </w:rPr>
        <w:t>ALL</w:t>
      </w:r>
      <w:r>
        <w:rPr>
          <w:rFonts w:eastAsia="Calibri" w:cs="Times New Roman"/>
          <w:bCs/>
          <w:szCs w:val="24"/>
        </w:rPr>
        <w:t xml:space="preserve"> or anti-Moesin only, </w:t>
      </w:r>
      <w:r w:rsidRPr="00AC4B8E">
        <w:rPr>
          <w:rFonts w:eastAsia="Calibri" w:cs="Times New Roman"/>
          <w:szCs w:val="24"/>
        </w:rPr>
        <w:t>anti-CD28/ALL, or anti-CD28/anti-moesin</w:t>
      </w:r>
      <w:r w:rsidRPr="00324B8E">
        <w:rPr>
          <w:rFonts w:eastAsia="Calibri" w:cs="Times New Roman"/>
          <w:bCs/>
          <w:szCs w:val="24"/>
        </w:rPr>
        <w:t xml:space="preserve"> </w:t>
      </w:r>
      <w:r w:rsidRPr="00AC4B8E">
        <w:rPr>
          <w:rFonts w:eastAsia="Calibri" w:cs="Times New Roman"/>
          <w:bCs/>
          <w:szCs w:val="24"/>
        </w:rPr>
        <w:t>and collected after 72h. Samples were stained with anti-CD4, anti-</w:t>
      </w:r>
      <w:r w:rsidRPr="00AC4B8E">
        <w:rPr>
          <w:rFonts w:eastAsia="Times New Roman" w:cs="Times New Roman"/>
          <w:bCs/>
          <w:szCs w:val="24"/>
          <w:lang w:eastAsia="es-MX"/>
        </w:rPr>
        <w:t>CD8,</w:t>
      </w:r>
      <w:r w:rsidRPr="00AC4B8E">
        <w:rPr>
          <w:rFonts w:eastAsia="Calibri" w:cs="Times New Roman"/>
          <w:bCs/>
          <w:szCs w:val="24"/>
        </w:rPr>
        <w:t xml:space="preserve"> anti-CD69, anti-CD25, Ghost Dye Red 780, and analyzed by flow cytometry. </w:t>
      </w:r>
      <w:r w:rsidRPr="00AC4B8E">
        <w:rPr>
          <w:rFonts w:eastAsia="Calibri" w:cs="Times New Roman"/>
          <w:szCs w:val="24"/>
        </w:rPr>
        <w:t>Lymphocytes were defined by FCS and SSC characteristics, after singlets sele</w:t>
      </w:r>
      <w:r w:rsidR="005078FA">
        <w:rPr>
          <w:rFonts w:eastAsia="Calibri" w:cs="Times New Roman"/>
          <w:szCs w:val="24"/>
        </w:rPr>
        <w:t>ction, dead cells were excluded.</w:t>
      </w:r>
      <w:r w:rsidRPr="00AC4B8E">
        <w:rPr>
          <w:rFonts w:eastAsia="Calibri" w:cs="Times New Roman"/>
          <w:szCs w:val="24"/>
        </w:rPr>
        <w:t xml:space="preserve"> </w:t>
      </w:r>
      <w:r w:rsidR="005078FA">
        <w:rPr>
          <w:rFonts w:eastAsia="Calibri" w:cs="Times New Roman"/>
          <w:szCs w:val="24"/>
        </w:rPr>
        <w:t>(A) R</w:t>
      </w:r>
      <w:r w:rsidRPr="00AC4B8E">
        <w:rPr>
          <w:rFonts w:eastAsia="Calibri" w:cs="Times New Roman"/>
          <w:szCs w:val="24"/>
        </w:rPr>
        <w:t>epresentative analysis of CD69 and CD25 expression pattern</w:t>
      </w:r>
      <w:r>
        <w:rPr>
          <w:rFonts w:eastAsia="Calibri" w:cs="Times New Roman"/>
          <w:szCs w:val="24"/>
        </w:rPr>
        <w:t>s</w:t>
      </w:r>
      <w:r w:rsidRPr="00AC4B8E">
        <w:rPr>
          <w:rFonts w:eastAsia="Calibri" w:cs="Times New Roman"/>
          <w:szCs w:val="24"/>
        </w:rPr>
        <w:t xml:space="preserve"> in CD4</w:t>
      </w:r>
      <w:r w:rsidRPr="00AC4B8E">
        <w:rPr>
          <w:rFonts w:eastAsia="Calibri" w:cs="Times New Roman"/>
          <w:szCs w:val="24"/>
          <w:vertAlign w:val="superscript"/>
        </w:rPr>
        <w:t xml:space="preserve">+ </w:t>
      </w:r>
      <w:r w:rsidRPr="00AC4B8E">
        <w:rPr>
          <w:rFonts w:eastAsia="Calibri" w:cs="Times New Roman"/>
          <w:szCs w:val="24"/>
        </w:rPr>
        <w:t xml:space="preserve">and </w:t>
      </w:r>
      <w:r w:rsidRPr="00AC4B8E">
        <w:rPr>
          <w:rFonts w:eastAsia="Times New Roman" w:cs="Times New Roman"/>
          <w:szCs w:val="24"/>
          <w:lang w:eastAsia="es-MX"/>
        </w:rPr>
        <w:t>CD8</w:t>
      </w:r>
      <w:r w:rsidRPr="00AC4B8E">
        <w:rPr>
          <w:rFonts w:eastAsia="Times New Roman" w:cs="Times New Roman"/>
          <w:szCs w:val="24"/>
          <w:vertAlign w:val="superscript"/>
          <w:lang w:eastAsia="es-MX"/>
        </w:rPr>
        <w:t>+</w:t>
      </w:r>
      <w:r>
        <w:rPr>
          <w:rFonts w:eastAsia="Calibri" w:cs="Times New Roman"/>
          <w:szCs w:val="24"/>
        </w:rPr>
        <w:t xml:space="preserve"> T cells is shown.</w:t>
      </w:r>
      <w:r w:rsidR="005078FA" w:rsidRPr="005078FA">
        <w:rPr>
          <w:rFonts w:eastAsia="Calibri" w:cs="Times New Roman"/>
          <w:szCs w:val="24"/>
        </w:rPr>
        <w:t xml:space="preserve"> </w:t>
      </w:r>
      <w:r w:rsidR="005078FA">
        <w:rPr>
          <w:rFonts w:eastAsia="Calibri" w:cs="Times New Roman"/>
          <w:szCs w:val="24"/>
        </w:rPr>
        <w:t xml:space="preserve">(B) </w:t>
      </w:r>
      <w:r w:rsidR="005078FA" w:rsidRPr="00AC4B8E">
        <w:rPr>
          <w:rFonts w:eastAsia="Calibri" w:cs="Times New Roman"/>
          <w:szCs w:val="24"/>
        </w:rPr>
        <w:t>Representative proliferation pattern analys</w:t>
      </w:r>
      <w:r w:rsidR="005078FA">
        <w:rPr>
          <w:rFonts w:eastAsia="Calibri" w:cs="Times New Roman"/>
          <w:szCs w:val="24"/>
        </w:rPr>
        <w:t>e</w:t>
      </w:r>
      <w:r w:rsidR="005078FA" w:rsidRPr="00AC4B8E">
        <w:rPr>
          <w:rFonts w:eastAsia="Calibri" w:cs="Times New Roman"/>
          <w:szCs w:val="24"/>
        </w:rPr>
        <w:t>s of CD4</w:t>
      </w:r>
      <w:r w:rsidR="005078FA" w:rsidRPr="00AC4B8E">
        <w:rPr>
          <w:rFonts w:eastAsia="Calibri" w:cs="Times New Roman"/>
          <w:szCs w:val="24"/>
          <w:vertAlign w:val="superscript"/>
        </w:rPr>
        <w:t xml:space="preserve">+ </w:t>
      </w:r>
      <w:r w:rsidR="005078FA" w:rsidRPr="00AC4B8E">
        <w:rPr>
          <w:rFonts w:eastAsia="Calibri" w:cs="Times New Roman"/>
          <w:szCs w:val="24"/>
        </w:rPr>
        <w:t xml:space="preserve">and </w:t>
      </w:r>
      <w:r w:rsidR="005078FA" w:rsidRPr="00AC4B8E">
        <w:rPr>
          <w:rFonts w:eastAsia="Times New Roman" w:cs="Times New Roman"/>
          <w:szCs w:val="24"/>
          <w:lang w:eastAsia="es-MX"/>
        </w:rPr>
        <w:t>CD8</w:t>
      </w:r>
      <w:r w:rsidR="005078FA" w:rsidRPr="00AC4B8E">
        <w:rPr>
          <w:rFonts w:eastAsia="Times New Roman" w:cs="Times New Roman"/>
          <w:szCs w:val="24"/>
          <w:vertAlign w:val="superscript"/>
          <w:lang w:eastAsia="es-MX"/>
        </w:rPr>
        <w:t>+</w:t>
      </w:r>
      <w:r w:rsidR="005078FA" w:rsidRPr="00AC4B8E">
        <w:rPr>
          <w:rFonts w:eastAsia="Calibri" w:cs="Times New Roman"/>
          <w:szCs w:val="24"/>
        </w:rPr>
        <w:t xml:space="preserve"> cells </w:t>
      </w:r>
      <w:r w:rsidR="005078FA">
        <w:rPr>
          <w:rFonts w:eastAsia="Calibri" w:cs="Times New Roman"/>
          <w:szCs w:val="24"/>
        </w:rPr>
        <w:t>are shown.</w:t>
      </w:r>
      <w:r w:rsidR="005078FA" w:rsidRPr="005078FA">
        <w:rPr>
          <w:rFonts w:eastAsia="Calibri" w:cs="Times New Roman"/>
          <w:bCs/>
          <w:szCs w:val="24"/>
        </w:rPr>
        <w:t xml:space="preserve"> </w:t>
      </w:r>
      <w:r w:rsidR="005078FA">
        <w:rPr>
          <w:rFonts w:eastAsia="Calibri" w:cs="Times New Roman"/>
          <w:bCs/>
          <w:szCs w:val="24"/>
        </w:rPr>
        <w:t xml:space="preserve">(C) </w:t>
      </w:r>
      <w:r w:rsidR="005078FA" w:rsidRPr="00AC4B8E">
        <w:rPr>
          <w:rFonts w:eastAsia="Calibri" w:cs="Times New Roman"/>
          <w:bCs/>
          <w:szCs w:val="24"/>
        </w:rPr>
        <w:t>Negatively separated T cells</w:t>
      </w:r>
      <w:r w:rsidR="005078FA" w:rsidRPr="00AC4B8E">
        <w:rPr>
          <w:rFonts w:eastAsia="Calibri" w:cs="Times New Roman"/>
          <w:szCs w:val="24"/>
        </w:rPr>
        <w:t xml:space="preserve"> were </w:t>
      </w:r>
      <w:r w:rsidR="005078FA">
        <w:rPr>
          <w:rFonts w:eastAsia="Calibri" w:cs="Times New Roman"/>
          <w:szCs w:val="24"/>
        </w:rPr>
        <w:t>stimulated with</w:t>
      </w:r>
      <w:r w:rsidR="005078FA">
        <w:rPr>
          <w:rFonts w:eastAsia="Calibri" w:cs="Times New Roman"/>
          <w:bCs/>
          <w:szCs w:val="24"/>
        </w:rPr>
        <w:t xml:space="preserve">, anti-CD28, </w:t>
      </w:r>
      <w:r w:rsidR="005078FA" w:rsidRPr="00324B8E">
        <w:rPr>
          <w:rFonts w:eastAsia="Calibri" w:cs="Times New Roman"/>
          <w:bCs/>
          <w:szCs w:val="24"/>
        </w:rPr>
        <w:t>ALL</w:t>
      </w:r>
      <w:r w:rsidR="005078FA">
        <w:rPr>
          <w:rFonts w:eastAsia="Calibri" w:cs="Times New Roman"/>
          <w:bCs/>
          <w:szCs w:val="24"/>
        </w:rPr>
        <w:t xml:space="preserve"> or anti-Moesin only, </w:t>
      </w:r>
      <w:r w:rsidR="005078FA" w:rsidRPr="00AC4B8E">
        <w:rPr>
          <w:rFonts w:eastAsia="Calibri" w:cs="Times New Roman"/>
          <w:szCs w:val="24"/>
        </w:rPr>
        <w:t>anti-CD28/ALL, or anti-CD28/anti-moesin. After 48 h, culture supernatants were collected and IL-2 concentration was determined by ELISA</w:t>
      </w:r>
      <w:r w:rsidR="005078FA">
        <w:rPr>
          <w:rFonts w:eastAsia="Calibri" w:cs="Times New Roman"/>
          <w:szCs w:val="24"/>
        </w:rPr>
        <w:t>.</w:t>
      </w:r>
    </w:p>
    <w:sectPr w:rsidR="00C94566" w:rsidRPr="005078FA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85723B" w14:textId="77777777" w:rsidR="00FA1660" w:rsidRDefault="00FA1660" w:rsidP="00117666">
      <w:pPr>
        <w:spacing w:after="0"/>
      </w:pPr>
      <w:r>
        <w:separator/>
      </w:r>
    </w:p>
  </w:endnote>
  <w:endnote w:type="continuationSeparator" w:id="0">
    <w:p w14:paraId="41A0C0A6" w14:textId="77777777" w:rsidR="00FA1660" w:rsidRDefault="00FA166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EA61A13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A482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EA61A13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A482D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98EBE7E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A482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98EBE7E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A482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999809" w14:textId="77777777" w:rsidR="00FA1660" w:rsidRDefault="00FA1660" w:rsidP="00117666">
      <w:pPr>
        <w:spacing w:after="0"/>
      </w:pPr>
      <w:r>
        <w:separator/>
      </w:r>
    </w:p>
  </w:footnote>
  <w:footnote w:type="continuationSeparator" w:id="0">
    <w:p w14:paraId="593DE0A9" w14:textId="77777777" w:rsidR="00FA1660" w:rsidRDefault="00FA166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s-ES" w:eastAsia="es-ES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c3NTYyNTAzNDAzsDRQ0lEKTi0uzszPAykwqwUAubO5kiwAAAA="/>
  </w:docVars>
  <w:rsids>
    <w:rsidRoot w:val="00ED20B5"/>
    <w:rsid w:val="0001436A"/>
    <w:rsid w:val="00034304"/>
    <w:rsid w:val="00035434"/>
    <w:rsid w:val="00052A14"/>
    <w:rsid w:val="00077D53"/>
    <w:rsid w:val="000A482D"/>
    <w:rsid w:val="000B25F9"/>
    <w:rsid w:val="000D0729"/>
    <w:rsid w:val="00105FD9"/>
    <w:rsid w:val="00117666"/>
    <w:rsid w:val="001549D3"/>
    <w:rsid w:val="00160065"/>
    <w:rsid w:val="00177D84"/>
    <w:rsid w:val="00267D18"/>
    <w:rsid w:val="00274347"/>
    <w:rsid w:val="00275C28"/>
    <w:rsid w:val="002868E2"/>
    <w:rsid w:val="002869C3"/>
    <w:rsid w:val="002936E4"/>
    <w:rsid w:val="002B4A57"/>
    <w:rsid w:val="002C74CA"/>
    <w:rsid w:val="00311C52"/>
    <w:rsid w:val="003123F4"/>
    <w:rsid w:val="003544FB"/>
    <w:rsid w:val="003B02EF"/>
    <w:rsid w:val="003D2F2D"/>
    <w:rsid w:val="00401590"/>
    <w:rsid w:val="00447801"/>
    <w:rsid w:val="00452E9C"/>
    <w:rsid w:val="004735C8"/>
    <w:rsid w:val="004902BF"/>
    <w:rsid w:val="004947A6"/>
    <w:rsid w:val="004961FF"/>
    <w:rsid w:val="005078FA"/>
    <w:rsid w:val="00517A89"/>
    <w:rsid w:val="005250F2"/>
    <w:rsid w:val="00593EEA"/>
    <w:rsid w:val="005A5EEE"/>
    <w:rsid w:val="00601149"/>
    <w:rsid w:val="00635CAC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5774A"/>
    <w:rsid w:val="00790BB3"/>
    <w:rsid w:val="00793235"/>
    <w:rsid w:val="007C206C"/>
    <w:rsid w:val="00817DD6"/>
    <w:rsid w:val="0083759F"/>
    <w:rsid w:val="00885156"/>
    <w:rsid w:val="009151AA"/>
    <w:rsid w:val="0093429D"/>
    <w:rsid w:val="00943573"/>
    <w:rsid w:val="00964134"/>
    <w:rsid w:val="009641F8"/>
    <w:rsid w:val="00970F7D"/>
    <w:rsid w:val="00994A3D"/>
    <w:rsid w:val="00997C57"/>
    <w:rsid w:val="009C2B12"/>
    <w:rsid w:val="009E70B6"/>
    <w:rsid w:val="00A174D9"/>
    <w:rsid w:val="00A65C0D"/>
    <w:rsid w:val="00AA4D24"/>
    <w:rsid w:val="00AB6715"/>
    <w:rsid w:val="00B1671E"/>
    <w:rsid w:val="00B25EB8"/>
    <w:rsid w:val="00B26BA2"/>
    <w:rsid w:val="00B37F4D"/>
    <w:rsid w:val="00BA721F"/>
    <w:rsid w:val="00C52A7B"/>
    <w:rsid w:val="00C56BAF"/>
    <w:rsid w:val="00C679AA"/>
    <w:rsid w:val="00C75972"/>
    <w:rsid w:val="00C94566"/>
    <w:rsid w:val="00CD066B"/>
    <w:rsid w:val="00CD432C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EE263B"/>
    <w:rsid w:val="00EE438D"/>
    <w:rsid w:val="00F46900"/>
    <w:rsid w:val="00F61D89"/>
    <w:rsid w:val="00F77FBF"/>
    <w:rsid w:val="00F94A89"/>
    <w:rsid w:val="00FA1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02EF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461A8C0-152D-4266-B15A-915130654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36</TotalTime>
  <Pages>4</Pages>
  <Words>407</Words>
  <Characters>2239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Eda P. Tenorio</cp:lastModifiedBy>
  <cp:revision>3</cp:revision>
  <cp:lastPrinted>2013-10-03T12:51:00Z</cp:lastPrinted>
  <dcterms:created xsi:type="dcterms:W3CDTF">2021-11-06T18:59:00Z</dcterms:created>
  <dcterms:modified xsi:type="dcterms:W3CDTF">2021-11-23T01:01:00Z</dcterms:modified>
</cp:coreProperties>
</file>