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10751" w14:textId="77777777" w:rsidR="00794E13" w:rsidRDefault="003841EB">
      <w:pPr>
        <w:suppressLineNumbers/>
        <w:spacing w:beforeLines="100" w:before="312" w:afterLines="100" w:after="312" w:line="360" w:lineRule="auto"/>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468BAD0B" wp14:editId="777A5456">
            <wp:extent cx="5178425" cy="623697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0628" cy="6239681"/>
                    </a:xfrm>
                    <a:prstGeom prst="rect">
                      <a:avLst/>
                    </a:prstGeom>
                    <a:noFill/>
                  </pic:spPr>
                </pic:pic>
              </a:graphicData>
            </a:graphic>
          </wp:inline>
        </w:drawing>
      </w:r>
    </w:p>
    <w:p w14:paraId="45028B90" w14:textId="77777777" w:rsidR="00794E13" w:rsidRDefault="003841EB">
      <w:pPr>
        <w:suppressLineNumbers/>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Figure S1. Changes in plant hormone content and synthase gene expression under osmotic stress in watermelon cells. (A) Ethylene synthesis-related genes; (B) Salicylic acid synthesis-related genes; (C) Gibberellin synthesis-related genes; (D) Jasmonic acid synthesis-related genes; (E) Abscisic acid synthesis-related genes; (F) Changes in phytohormone content under osmotic stress. The heat map from blue to red indicates the expression level of genes from low to high. The same below.</w:t>
      </w:r>
    </w:p>
    <w:p w14:paraId="0DB0E4B0" w14:textId="77777777" w:rsidR="00794E13" w:rsidRDefault="003841EB">
      <w:pPr>
        <w:suppressLineNumbers/>
        <w:spacing w:beforeLines="100" w:before="312" w:afterLines="100" w:after="312" w:line="360" w:lineRule="auto"/>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2B02632D" wp14:editId="15A3799C">
            <wp:extent cx="5685790" cy="166116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01931" cy="1665862"/>
                    </a:xfrm>
                    <a:prstGeom prst="rect">
                      <a:avLst/>
                    </a:prstGeom>
                    <a:noFill/>
                  </pic:spPr>
                </pic:pic>
              </a:graphicData>
            </a:graphic>
          </wp:inline>
        </w:drawing>
      </w:r>
    </w:p>
    <w:p w14:paraId="5641F174" w14:textId="77777777" w:rsidR="00794E13" w:rsidRDefault="003841EB">
      <w:pPr>
        <w:suppressLineNumbers/>
        <w:spacing w:beforeLines="100" w:before="312" w:afterLines="100" w:after="312" w:line="360" w:lineRule="auto"/>
        <w:rPr>
          <w:rFonts w:ascii="Times New Roman" w:eastAsia="宋体" w:hAnsi="Times New Roman" w:cs="Times New Roman"/>
          <w:sz w:val="24"/>
          <w:szCs w:val="24"/>
        </w:rPr>
      </w:pPr>
      <w:r>
        <w:rPr>
          <w:rFonts w:ascii="Times New Roman" w:eastAsia="宋体" w:hAnsi="Times New Roman" w:cs="Times New Roman"/>
          <w:sz w:val="24"/>
          <w:szCs w:val="24"/>
        </w:rPr>
        <w:t>Figure S2. Expression levels of DEGs associated with reactive oxygen scavenging.</w:t>
      </w:r>
      <w:r>
        <w:rPr>
          <w:rFonts w:ascii="Times New Roman" w:eastAsia="宋体" w:hAnsi="Times New Roman" w:cs="Times New Roman"/>
          <w:sz w:val="24"/>
          <w:szCs w:val="24"/>
        </w:rPr>
        <w:br w:type="page"/>
      </w:r>
    </w:p>
    <w:p w14:paraId="3AD8CDDA" w14:textId="77777777" w:rsidR="00794E13" w:rsidRDefault="003841EB">
      <w:pPr>
        <w:suppressLineNumbers/>
        <w:spacing w:beforeLines="100" w:before="312" w:afterLines="100" w:after="312" w:line="360" w:lineRule="auto"/>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3B7D1B5B" wp14:editId="498F490D">
            <wp:extent cx="5509895" cy="4853940"/>
            <wp:effectExtent l="0" t="0" r="1905" b="228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05587" cy="4849885"/>
                    </a:xfrm>
                    <a:prstGeom prst="rect">
                      <a:avLst/>
                    </a:prstGeom>
                    <a:noFill/>
                  </pic:spPr>
                </pic:pic>
              </a:graphicData>
            </a:graphic>
          </wp:inline>
        </w:drawing>
      </w:r>
    </w:p>
    <w:p w14:paraId="6BE70CAF" w14:textId="450478D3" w:rsidR="009D0D0D" w:rsidRDefault="003841EB">
      <w:pPr>
        <w:suppressLineNumbers/>
        <w:spacing w:beforeLines="100" w:before="312" w:afterLines="100" w:after="312" w:line="360" w:lineRule="auto"/>
        <w:rPr>
          <w:rFonts w:ascii="Times New Roman" w:eastAsia="宋体" w:hAnsi="Times New Roman" w:cs="Times New Roman"/>
          <w:sz w:val="24"/>
          <w:szCs w:val="24"/>
        </w:rPr>
      </w:pPr>
      <w:r>
        <w:rPr>
          <w:rFonts w:ascii="Times New Roman" w:eastAsia="宋体" w:hAnsi="Times New Roman" w:cs="Times New Roman"/>
          <w:sz w:val="24"/>
          <w:szCs w:val="24"/>
        </w:rPr>
        <w:t>Figure S3. Changes in the content of osmoregulatory substances and expression of anabolic enzyme genes in watermelon cells under osmotic stress. (A) Heat map of expression of genes related to osmoregulatory substances; (B) Changes in osmoregulatory substances content under osmotic stress.</w:t>
      </w:r>
      <w:r>
        <w:rPr>
          <w:rFonts w:ascii="Times New Roman" w:eastAsia="宋体" w:hAnsi="Times New Roman" w:cs="Times New Roman"/>
          <w:sz w:val="24"/>
          <w:szCs w:val="24"/>
        </w:rPr>
        <w:br w:type="page"/>
      </w:r>
    </w:p>
    <w:p w14:paraId="6CAEDDC3" w14:textId="09CA7DEA" w:rsidR="009D0D0D" w:rsidRDefault="009D0D0D">
      <w:pPr>
        <w:suppressLineNumbers/>
        <w:spacing w:beforeLines="100" w:before="312" w:afterLines="100" w:after="312" w:line="360" w:lineRule="auto"/>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2A5AD407" wp14:editId="46F539FB">
            <wp:extent cx="5791250" cy="15411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6121" cy="1542441"/>
                    </a:xfrm>
                    <a:prstGeom prst="rect">
                      <a:avLst/>
                    </a:prstGeom>
                    <a:noFill/>
                  </pic:spPr>
                </pic:pic>
              </a:graphicData>
            </a:graphic>
          </wp:inline>
        </w:drawing>
      </w:r>
    </w:p>
    <w:p w14:paraId="1AAE9DAF" w14:textId="77777777" w:rsidR="00794E13" w:rsidRDefault="003841EB">
      <w:pPr>
        <w:suppressLineNumbers/>
        <w:spacing w:beforeLines="100" w:before="312" w:afterLines="100" w:after="312"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Figure S4. Changes in methylation of secondary metabolite anabolic genes associated with osmoregulation. Red </w:t>
      </w:r>
      <w:proofErr w:type="gramStart"/>
      <w:r>
        <w:rPr>
          <w:rFonts w:ascii="Times New Roman" w:eastAsia="宋体" w:hAnsi="Times New Roman" w:cs="Times New Roman"/>
          <w:sz w:val="24"/>
          <w:szCs w:val="24"/>
        </w:rPr>
        <w:t>indicate</w:t>
      </w:r>
      <w:proofErr w:type="gramEnd"/>
      <w:r>
        <w:rPr>
          <w:rFonts w:ascii="Times New Roman" w:eastAsia="宋体" w:hAnsi="Times New Roman" w:cs="Times New Roman"/>
          <w:sz w:val="24"/>
          <w:szCs w:val="24"/>
        </w:rPr>
        <w:t xml:space="preserve"> hyper methylation, blue indicate hypo methylation.</w:t>
      </w:r>
    </w:p>
    <w:p w14:paraId="37E40FAD" w14:textId="2687EE6C" w:rsidR="00794E13" w:rsidRDefault="003841EB">
      <w:pPr>
        <w:suppressLineNumbers/>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56855733" w14:textId="77777777" w:rsidR="00794E13" w:rsidRDefault="003841EB">
      <w:pPr>
        <w:suppressLineNumbers/>
        <w:spacing w:beforeLines="100" w:before="312" w:afterLines="100" w:after="312" w:line="360" w:lineRule="auto"/>
        <w:rPr>
          <w:rFonts w:ascii="Times New Roman" w:eastAsia="宋体" w:hAnsi="Times New Roman" w:cs="Times New Roman"/>
          <w:sz w:val="24"/>
          <w:szCs w:val="24"/>
        </w:rPr>
      </w:pPr>
      <w:r>
        <w:rPr>
          <w:rFonts w:ascii="Calibri" w:eastAsia="宋体" w:hAnsi="Calibri" w:cs="Times New Roman"/>
          <w:noProof/>
        </w:rPr>
        <w:lastRenderedPageBreak/>
        <w:drawing>
          <wp:inline distT="0" distB="0" distL="114300" distR="114300" wp14:anchorId="6FE8327D" wp14:editId="39E5CBD6">
            <wp:extent cx="5076190" cy="7205345"/>
            <wp:effectExtent l="0" t="0" r="3810" b="0"/>
            <wp:docPr id="6"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内容占位符 3"/>
                    <pic:cNvPicPr>
                      <a:picLocks noGrp="1" noChangeAspect="1"/>
                    </pic:cNvPicPr>
                  </pic:nvPicPr>
                  <pic:blipFill>
                    <a:blip r:embed="rId11"/>
                    <a:stretch>
                      <a:fillRect/>
                    </a:stretch>
                  </pic:blipFill>
                  <pic:spPr>
                    <a:xfrm>
                      <a:off x="0" y="0"/>
                      <a:ext cx="5076190" cy="7205345"/>
                    </a:xfrm>
                    <a:prstGeom prst="rect">
                      <a:avLst/>
                    </a:prstGeom>
                  </pic:spPr>
                </pic:pic>
              </a:graphicData>
            </a:graphic>
          </wp:inline>
        </w:drawing>
      </w:r>
    </w:p>
    <w:p w14:paraId="0C4FA5E5" w14:textId="77777777" w:rsidR="00382287" w:rsidRDefault="003841EB" w:rsidP="00382287">
      <w:pPr>
        <w:suppressLineNumbers/>
        <w:spacing w:beforeLines="100" w:before="312" w:afterLines="50" w:after="156" w:line="360" w:lineRule="auto"/>
        <w:jc w:val="center"/>
        <w:rPr>
          <w:rFonts w:ascii="Times New Roman" w:eastAsia="宋体" w:hAnsi="Times New Roman" w:cs="Times New Roman"/>
          <w:sz w:val="24"/>
        </w:rPr>
      </w:pPr>
      <w:r>
        <w:rPr>
          <w:rFonts w:ascii="Times New Roman" w:eastAsia="宋体" w:hAnsi="Times New Roman" w:cs="Times New Roman" w:hint="eastAsia"/>
          <w:sz w:val="24"/>
          <w:szCs w:val="24"/>
        </w:rPr>
        <w:t>Figure S</w:t>
      </w:r>
      <w:r w:rsidR="001F65FF">
        <w:rPr>
          <w:rFonts w:ascii="Times New Roman" w:eastAsia="宋体" w:hAnsi="Times New Roman" w:cs="Times New Roman"/>
          <w:sz w:val="24"/>
          <w:szCs w:val="24"/>
        </w:rPr>
        <w:t>5</w:t>
      </w:r>
      <w:r>
        <w:rPr>
          <w:rFonts w:ascii="Times New Roman" w:eastAsia="宋体" w:hAnsi="Times New Roman" w:cs="Times New Roman"/>
          <w:sz w:val="24"/>
          <w:szCs w:val="24"/>
        </w:rPr>
        <w:t xml:space="preserve"> Expression characteristics of hormone induced </w:t>
      </w:r>
      <w:r>
        <w:rPr>
          <w:rFonts w:ascii="Times New Roman Italic" w:eastAsia="宋体" w:hAnsi="Times New Roman Italic" w:cs="Times New Roman Italic"/>
          <w:i/>
          <w:iCs/>
          <w:sz w:val="24"/>
          <w:szCs w:val="24"/>
          <w:lang w:eastAsia="zh-Hans"/>
        </w:rPr>
        <w:t>ClMIPS</w:t>
      </w:r>
      <w:r>
        <w:rPr>
          <w:rFonts w:ascii="Times New Roman" w:eastAsia="宋体" w:hAnsi="Times New Roman" w:cs="Times New Roman"/>
          <w:sz w:val="24"/>
          <w:szCs w:val="24"/>
          <w:lang w:eastAsia="zh-Hans"/>
        </w:rPr>
        <w:t xml:space="preserve">. (A) Putative </w:t>
      </w:r>
      <w:r>
        <w:rPr>
          <w:rFonts w:ascii="Times New Roman Italic" w:eastAsia="宋体" w:hAnsi="Times New Roman Italic" w:cs="Times New Roman Italic"/>
          <w:i/>
          <w:iCs/>
          <w:sz w:val="24"/>
          <w:szCs w:val="24"/>
          <w:lang w:eastAsia="zh-Hans"/>
        </w:rPr>
        <w:t>cis</w:t>
      </w:r>
      <w:r>
        <w:rPr>
          <w:rFonts w:ascii="Times New Roman" w:eastAsia="宋体" w:hAnsi="Times New Roman" w:cs="Times New Roman"/>
          <w:sz w:val="24"/>
          <w:szCs w:val="24"/>
          <w:lang w:eastAsia="zh-Hans"/>
        </w:rPr>
        <w:t xml:space="preserve">-regulatory elements identified in the promoter regions of </w:t>
      </w:r>
      <w:r>
        <w:rPr>
          <w:rFonts w:ascii="Times New Roman Italic" w:eastAsia="宋体" w:hAnsi="Times New Roman Italic" w:cs="Times New Roman Italic"/>
          <w:i/>
          <w:iCs/>
          <w:sz w:val="24"/>
          <w:szCs w:val="24"/>
          <w:lang w:eastAsia="zh-Hans"/>
        </w:rPr>
        <w:t xml:space="preserve">ClMIPS. </w:t>
      </w:r>
      <w:r>
        <w:rPr>
          <w:rFonts w:ascii="Times New Roman" w:eastAsia="宋体" w:hAnsi="Times New Roman" w:cs="Times New Roman"/>
          <w:sz w:val="24"/>
          <w:szCs w:val="24"/>
          <w:lang w:eastAsia="zh-Hans"/>
        </w:rPr>
        <w:t xml:space="preserve">(B) The relative expression of </w:t>
      </w:r>
      <w:r>
        <w:rPr>
          <w:rFonts w:ascii="Times New Roman Italic" w:eastAsia="宋体" w:hAnsi="Times New Roman Italic" w:cs="Times New Roman Italic"/>
          <w:i/>
          <w:iCs/>
          <w:sz w:val="24"/>
          <w:szCs w:val="24"/>
          <w:lang w:eastAsia="zh-Hans"/>
        </w:rPr>
        <w:t>ClMIPS</w:t>
      </w:r>
      <w:r>
        <w:rPr>
          <w:rFonts w:ascii="Times New Roman" w:eastAsia="宋体" w:hAnsi="Times New Roman" w:cs="Times New Roman"/>
          <w:sz w:val="24"/>
          <w:szCs w:val="24"/>
          <w:lang w:eastAsia="zh-Hans"/>
        </w:rPr>
        <w:t xml:space="preserve"> induced by different hormones. * </w:t>
      </w:r>
      <w:proofErr w:type="gramStart"/>
      <w:r w:rsidR="00683A98">
        <w:rPr>
          <w:rFonts w:ascii="Times New Roman" w:eastAsia="宋体" w:hAnsi="Times New Roman" w:cs="Times New Roman"/>
          <w:sz w:val="24"/>
          <w:szCs w:val="24"/>
          <w:lang w:eastAsia="zh-Hans"/>
        </w:rPr>
        <w:t>indicate</w:t>
      </w:r>
      <w:proofErr w:type="gramEnd"/>
      <w:r>
        <w:rPr>
          <w:rFonts w:ascii="Times New Roman" w:eastAsia="宋体" w:hAnsi="Times New Roman" w:cs="Times New Roman"/>
          <w:sz w:val="24"/>
          <w:szCs w:val="24"/>
          <w:lang w:eastAsia="zh-Hans"/>
        </w:rPr>
        <w:t xml:space="preserve"> statistical significant difference at confidence levels of </w:t>
      </w:r>
      <w:r>
        <w:rPr>
          <w:rFonts w:ascii="Times New Roman Italic" w:eastAsia="宋体" w:hAnsi="Times New Roman Italic" w:cs="Times New Roman Italic"/>
          <w:i/>
          <w:iCs/>
          <w:sz w:val="24"/>
          <w:szCs w:val="24"/>
          <w:lang w:eastAsia="zh-Hans"/>
        </w:rPr>
        <w:t>p</w:t>
      </w:r>
      <w:r>
        <w:rPr>
          <w:rFonts w:ascii="Times New Roman" w:eastAsia="宋体" w:hAnsi="Times New Roman" w:cs="Times New Roman"/>
          <w:sz w:val="24"/>
          <w:szCs w:val="24"/>
          <w:lang w:eastAsia="zh-Hans"/>
        </w:rPr>
        <w:t xml:space="preserve"> &lt; 0.05.</w:t>
      </w:r>
      <w:r w:rsidR="00382287" w:rsidRPr="00382287">
        <w:rPr>
          <w:rFonts w:ascii="Times New Roman" w:eastAsia="宋体" w:hAnsi="Times New Roman" w:cs="Times New Roman" w:hint="eastAsia"/>
          <w:sz w:val="24"/>
        </w:rPr>
        <w:t xml:space="preserve"> </w:t>
      </w:r>
    </w:p>
    <w:p w14:paraId="5ECA5EA1" w14:textId="48E4CB14" w:rsidR="00382287" w:rsidRDefault="00382287" w:rsidP="00382287">
      <w:pPr>
        <w:suppressLineNumbers/>
        <w:spacing w:beforeLines="100" w:before="312" w:afterLines="50" w:after="156" w:line="360" w:lineRule="auto"/>
        <w:jc w:val="center"/>
        <w:rPr>
          <w:rFonts w:ascii="Times New Roman" w:eastAsia="宋体" w:hAnsi="Times New Roman" w:cs="Times New Roman"/>
          <w:sz w:val="24"/>
        </w:rPr>
      </w:pPr>
      <w:r>
        <w:rPr>
          <w:rFonts w:ascii="Times New Roman" w:eastAsia="宋体" w:hAnsi="Times New Roman" w:cs="Times New Roman" w:hint="eastAsia"/>
          <w:sz w:val="24"/>
        </w:rPr>
        <w:lastRenderedPageBreak/>
        <w:t>Table S</w:t>
      </w:r>
      <w:r>
        <w:rPr>
          <w:rFonts w:ascii="Times New Roman" w:eastAsia="宋体" w:hAnsi="Times New Roman" w:cs="Times New Roman"/>
          <w:sz w:val="24"/>
        </w:rPr>
        <w:t>1</w:t>
      </w:r>
      <w:r>
        <w:rPr>
          <w:rFonts w:ascii="Times New Roman" w:eastAsia="宋体" w:hAnsi="Times New Roman" w:cs="Times New Roman" w:hint="eastAsia"/>
          <w:sz w:val="24"/>
        </w:rPr>
        <w:t xml:space="preserve">. Primers used in this study. </w:t>
      </w:r>
    </w:p>
    <w:tbl>
      <w:tblPr>
        <w:tblW w:w="10065" w:type="dxa"/>
        <w:tblInd w:w="-459" w:type="dxa"/>
        <w:tblBorders>
          <w:top w:val="single" w:sz="12" w:space="0" w:color="auto"/>
          <w:bottom w:val="single" w:sz="12" w:space="0" w:color="auto"/>
        </w:tblBorders>
        <w:tblLayout w:type="fixed"/>
        <w:tblLook w:val="04A0" w:firstRow="1" w:lastRow="0" w:firstColumn="1" w:lastColumn="0" w:noHBand="0" w:noVBand="1"/>
      </w:tblPr>
      <w:tblGrid>
        <w:gridCol w:w="2064"/>
        <w:gridCol w:w="3748"/>
        <w:gridCol w:w="4253"/>
      </w:tblGrid>
      <w:tr w:rsidR="00382287" w14:paraId="62B8C984" w14:textId="77777777" w:rsidTr="00A4753A">
        <w:tc>
          <w:tcPr>
            <w:tcW w:w="2064" w:type="dxa"/>
            <w:tcBorders>
              <w:top w:val="single" w:sz="12" w:space="0" w:color="auto"/>
              <w:bottom w:val="single" w:sz="6" w:space="0" w:color="auto"/>
            </w:tcBorders>
          </w:tcPr>
          <w:p w14:paraId="149D30AA" w14:textId="77777777" w:rsidR="00382287" w:rsidRDefault="00382287" w:rsidP="00A4753A">
            <w:pPr>
              <w:suppressLineNumbers/>
              <w:spacing w:line="360" w:lineRule="auto"/>
              <w:jc w:val="center"/>
              <w:rPr>
                <w:rFonts w:ascii="Times New Roman" w:eastAsia="宋体" w:hAnsi="Times New Roman" w:cs="Times New Roman"/>
                <w:szCs w:val="21"/>
              </w:rPr>
            </w:pPr>
            <w:r>
              <w:rPr>
                <w:rFonts w:ascii="Times New Roman" w:eastAsia="宋体" w:hAnsi="Times New Roman" w:cs="Times New Roman"/>
                <w:szCs w:val="21"/>
              </w:rPr>
              <w:t>Primer name</w:t>
            </w:r>
          </w:p>
        </w:tc>
        <w:tc>
          <w:tcPr>
            <w:tcW w:w="3748" w:type="dxa"/>
            <w:tcBorders>
              <w:top w:val="single" w:sz="12" w:space="0" w:color="auto"/>
              <w:bottom w:val="single" w:sz="6" w:space="0" w:color="auto"/>
            </w:tcBorders>
          </w:tcPr>
          <w:p w14:paraId="6D60ABFE" w14:textId="77777777" w:rsidR="00382287" w:rsidRDefault="00382287" w:rsidP="00A4753A">
            <w:pPr>
              <w:suppressLineNumbers/>
              <w:spacing w:line="360" w:lineRule="auto"/>
              <w:jc w:val="center"/>
              <w:rPr>
                <w:rFonts w:ascii="Times New Roman" w:eastAsia="宋体" w:hAnsi="Times New Roman" w:cs="Times New Roman"/>
                <w:szCs w:val="21"/>
              </w:rPr>
            </w:pPr>
            <w:r>
              <w:rPr>
                <w:rFonts w:ascii="Times New Roman" w:eastAsia="宋体" w:hAnsi="Times New Roman" w:cs="Times New Roman"/>
                <w:szCs w:val="21"/>
              </w:rPr>
              <w:t>Forward primer</w:t>
            </w:r>
          </w:p>
        </w:tc>
        <w:tc>
          <w:tcPr>
            <w:tcW w:w="4253" w:type="dxa"/>
            <w:tcBorders>
              <w:top w:val="single" w:sz="12" w:space="0" w:color="auto"/>
              <w:bottom w:val="single" w:sz="6" w:space="0" w:color="auto"/>
            </w:tcBorders>
          </w:tcPr>
          <w:p w14:paraId="30B31EFE" w14:textId="77777777" w:rsidR="00382287" w:rsidRDefault="00382287" w:rsidP="00A4753A">
            <w:pPr>
              <w:suppressLineNumbers/>
              <w:spacing w:line="360" w:lineRule="auto"/>
              <w:jc w:val="center"/>
              <w:rPr>
                <w:rFonts w:ascii="Times New Roman" w:eastAsia="宋体" w:hAnsi="Times New Roman" w:cs="Times New Roman"/>
                <w:szCs w:val="21"/>
              </w:rPr>
            </w:pPr>
            <w:r>
              <w:rPr>
                <w:rFonts w:ascii="Times New Roman" w:eastAsia="宋体" w:hAnsi="Times New Roman" w:cs="Times New Roman"/>
                <w:szCs w:val="21"/>
              </w:rPr>
              <w:t>Reverse primer</w:t>
            </w:r>
          </w:p>
        </w:tc>
      </w:tr>
      <w:tr w:rsidR="00382287" w14:paraId="17C7D8E8" w14:textId="77777777" w:rsidTr="00A4753A">
        <w:tc>
          <w:tcPr>
            <w:tcW w:w="2064" w:type="dxa"/>
            <w:tcBorders>
              <w:top w:val="single" w:sz="6" w:space="0" w:color="auto"/>
            </w:tcBorders>
          </w:tcPr>
          <w:p w14:paraId="6617C596" w14:textId="77777777" w:rsidR="00382287" w:rsidRDefault="00382287" w:rsidP="00A4753A">
            <w:pPr>
              <w:suppressLineNumbers/>
              <w:spacing w:line="360" w:lineRule="auto"/>
              <w:jc w:val="center"/>
              <w:rPr>
                <w:rFonts w:ascii="Times New Roman" w:eastAsia="宋体" w:hAnsi="Times New Roman" w:cs="Times New Roman"/>
                <w:szCs w:val="21"/>
              </w:rPr>
            </w:pPr>
            <w:r>
              <w:rPr>
                <w:rFonts w:ascii="Times New Roman" w:eastAsia="宋体" w:hAnsi="Times New Roman" w:cs="Times New Roman"/>
                <w:szCs w:val="21"/>
              </w:rPr>
              <w:t>qRT-PCR-</w:t>
            </w:r>
            <w:r>
              <w:rPr>
                <w:rFonts w:ascii="Times New Roman" w:eastAsia="宋体" w:hAnsi="Times New Roman" w:cs="Times New Roman"/>
                <w:i/>
                <w:szCs w:val="21"/>
              </w:rPr>
              <w:t>18s</w:t>
            </w:r>
            <w:r>
              <w:rPr>
                <w:rFonts w:ascii="Times New Roman" w:eastAsia="宋体" w:hAnsi="Times New Roman" w:cs="Times New Roman"/>
                <w:szCs w:val="21"/>
              </w:rPr>
              <w:t>*</w:t>
            </w:r>
          </w:p>
        </w:tc>
        <w:tc>
          <w:tcPr>
            <w:tcW w:w="3748" w:type="dxa"/>
            <w:tcBorders>
              <w:top w:val="single" w:sz="6" w:space="0" w:color="auto"/>
            </w:tcBorders>
          </w:tcPr>
          <w:p w14:paraId="3903F644" w14:textId="77777777" w:rsidR="00382287" w:rsidRDefault="00382287" w:rsidP="00A4753A">
            <w:pPr>
              <w:suppressLineNumbers/>
              <w:spacing w:line="360" w:lineRule="auto"/>
              <w:jc w:val="center"/>
              <w:rPr>
                <w:rFonts w:ascii="Times New Roman" w:eastAsia="宋体" w:hAnsi="Times New Roman" w:cs="Times New Roman"/>
                <w:szCs w:val="21"/>
              </w:rPr>
            </w:pPr>
            <w:r>
              <w:rPr>
                <w:rFonts w:ascii="Times New Roman" w:eastAsia="宋体" w:hAnsi="Times New Roman" w:cs="Times New Roman"/>
                <w:szCs w:val="21"/>
              </w:rPr>
              <w:t>CATCCAAGGAAGGCAGCAGG</w:t>
            </w:r>
          </w:p>
        </w:tc>
        <w:tc>
          <w:tcPr>
            <w:tcW w:w="4253" w:type="dxa"/>
            <w:tcBorders>
              <w:top w:val="single" w:sz="6" w:space="0" w:color="auto"/>
            </w:tcBorders>
          </w:tcPr>
          <w:p w14:paraId="680B6252" w14:textId="77777777" w:rsidR="00382287" w:rsidRDefault="00382287" w:rsidP="00A4753A">
            <w:pPr>
              <w:suppressLineNumbers/>
              <w:spacing w:line="360" w:lineRule="auto"/>
              <w:jc w:val="center"/>
              <w:rPr>
                <w:rFonts w:ascii="Times New Roman" w:eastAsia="宋体" w:hAnsi="Times New Roman" w:cs="Times New Roman"/>
                <w:szCs w:val="21"/>
              </w:rPr>
            </w:pPr>
            <w:r>
              <w:rPr>
                <w:rFonts w:ascii="Times New Roman" w:eastAsia="宋体" w:hAnsi="Times New Roman" w:cs="Times New Roman"/>
                <w:szCs w:val="21"/>
              </w:rPr>
              <w:t>CAGACTCGAAGAGCCCGGTA</w:t>
            </w:r>
          </w:p>
        </w:tc>
      </w:tr>
      <w:tr w:rsidR="00382287" w14:paraId="71042073" w14:textId="77777777" w:rsidTr="00A4753A">
        <w:tc>
          <w:tcPr>
            <w:tcW w:w="2064" w:type="dxa"/>
          </w:tcPr>
          <w:p w14:paraId="68D8EC15" w14:textId="77777777" w:rsidR="00382287" w:rsidRDefault="00382287" w:rsidP="00A4753A">
            <w:pPr>
              <w:suppressLineNumbers/>
              <w:spacing w:line="360" w:lineRule="auto"/>
              <w:jc w:val="center"/>
              <w:rPr>
                <w:rFonts w:ascii="Times New Roman" w:eastAsia="宋体" w:hAnsi="Times New Roman" w:cs="Times New Roman"/>
                <w:szCs w:val="21"/>
              </w:rPr>
            </w:pPr>
            <w:r>
              <w:rPr>
                <w:rFonts w:ascii="Times New Roman" w:eastAsia="宋体" w:hAnsi="Times New Roman" w:cs="Times New Roman"/>
                <w:szCs w:val="21"/>
              </w:rPr>
              <w:t>pET-28a-</w:t>
            </w:r>
            <w:r>
              <w:rPr>
                <w:rFonts w:ascii="Times New Roman" w:eastAsia="宋体" w:hAnsi="Times New Roman" w:cs="Times New Roman"/>
                <w:i/>
                <w:szCs w:val="21"/>
              </w:rPr>
              <w:t>Cl</w:t>
            </w:r>
            <w:r>
              <w:rPr>
                <w:rFonts w:ascii="Times New Roman" w:eastAsia="宋体" w:hAnsi="Times New Roman" w:cs="Times New Roman" w:hint="eastAsia"/>
                <w:i/>
                <w:szCs w:val="21"/>
              </w:rPr>
              <w:t>a014489</w:t>
            </w:r>
          </w:p>
        </w:tc>
        <w:tc>
          <w:tcPr>
            <w:tcW w:w="3748" w:type="dxa"/>
          </w:tcPr>
          <w:p w14:paraId="64E5DD7C" w14:textId="77777777" w:rsidR="00382287" w:rsidRDefault="00382287" w:rsidP="00A4753A">
            <w:pPr>
              <w:suppressLineNumbers/>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bdr w:val="single" w:sz="6" w:space="0" w:color="auto"/>
              </w:rPr>
              <w:t>GTGCCGCGCGGCAGCCAT</w:t>
            </w:r>
            <w:r>
              <w:rPr>
                <w:rFonts w:ascii="Times New Roman" w:eastAsia="宋体" w:hAnsi="Times New Roman" w:cs="Times New Roman"/>
                <w:szCs w:val="21"/>
              </w:rPr>
              <w:t>ATGTTCATCGACAGCTTTAAGGTCG</w:t>
            </w:r>
          </w:p>
        </w:tc>
        <w:tc>
          <w:tcPr>
            <w:tcW w:w="4253" w:type="dxa"/>
          </w:tcPr>
          <w:p w14:paraId="616EC18D" w14:textId="77777777" w:rsidR="00382287" w:rsidRDefault="00382287" w:rsidP="00A4753A">
            <w:pPr>
              <w:suppressLineNumbers/>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bdr w:val="single" w:sz="6" w:space="0" w:color="auto"/>
              </w:rPr>
              <w:t>TTGTCGACGGAGCTCGAATTC</w:t>
            </w:r>
            <w:r>
              <w:rPr>
                <w:rFonts w:ascii="Times New Roman" w:eastAsia="宋体" w:hAnsi="Times New Roman" w:cs="Times New Roman"/>
                <w:szCs w:val="21"/>
              </w:rPr>
              <w:t>TCACTTGTATTCCAAAATCATGTTGT</w:t>
            </w:r>
          </w:p>
        </w:tc>
      </w:tr>
      <w:tr w:rsidR="00382287" w14:paraId="625B43EB" w14:textId="77777777" w:rsidTr="00A4753A">
        <w:tc>
          <w:tcPr>
            <w:tcW w:w="2064" w:type="dxa"/>
          </w:tcPr>
          <w:p w14:paraId="465DE100" w14:textId="77777777" w:rsidR="00382287" w:rsidRDefault="00382287" w:rsidP="00A4753A">
            <w:pPr>
              <w:suppressLineNumbers/>
              <w:spacing w:line="360" w:lineRule="auto"/>
              <w:jc w:val="center"/>
              <w:rPr>
                <w:rFonts w:ascii="Times New Roman" w:eastAsia="宋体" w:hAnsi="Times New Roman" w:cs="Times New Roman"/>
                <w:i/>
                <w:szCs w:val="21"/>
              </w:rPr>
            </w:pPr>
            <w:r>
              <w:rPr>
                <w:rFonts w:ascii="Times New Roman" w:eastAsia="宋体" w:hAnsi="Times New Roman" w:cs="Times New Roman"/>
                <w:szCs w:val="21"/>
              </w:rPr>
              <w:t>qRT-PCR-</w:t>
            </w:r>
            <w:r>
              <w:rPr>
                <w:rFonts w:ascii="Times New Roman" w:eastAsia="宋体" w:hAnsi="Times New Roman" w:cs="Times New Roman"/>
                <w:i/>
                <w:szCs w:val="21"/>
              </w:rPr>
              <w:t>Cl</w:t>
            </w:r>
            <w:r>
              <w:rPr>
                <w:rFonts w:ascii="Times New Roman" w:eastAsia="宋体" w:hAnsi="Times New Roman" w:cs="Times New Roman" w:hint="eastAsia"/>
                <w:i/>
                <w:szCs w:val="21"/>
              </w:rPr>
              <w:t>a014489</w:t>
            </w:r>
          </w:p>
          <w:p w14:paraId="1A8D9558" w14:textId="77777777" w:rsidR="00382287" w:rsidRDefault="00382287" w:rsidP="00A4753A">
            <w:pPr>
              <w:suppressLineNumbers/>
              <w:spacing w:line="360" w:lineRule="auto"/>
              <w:jc w:val="center"/>
              <w:rPr>
                <w:rFonts w:ascii="Times New Roman" w:eastAsia="宋体" w:hAnsi="Times New Roman" w:cs="Times New Roman"/>
                <w:i/>
                <w:szCs w:val="21"/>
              </w:rPr>
            </w:pPr>
            <w:r>
              <w:rPr>
                <w:rFonts w:ascii="Times New Roman" w:eastAsia="宋体" w:hAnsi="Times New Roman" w:cs="Times New Roman"/>
                <w:szCs w:val="21"/>
              </w:rPr>
              <w:t>qRT-PCR-</w:t>
            </w:r>
            <w:r>
              <w:rPr>
                <w:rFonts w:ascii="Times New Roman" w:eastAsia="宋体" w:hAnsi="Times New Roman" w:cs="Times New Roman"/>
                <w:i/>
                <w:szCs w:val="21"/>
              </w:rPr>
              <w:t>Cl</w:t>
            </w:r>
            <w:r>
              <w:rPr>
                <w:rFonts w:ascii="Times New Roman" w:eastAsia="宋体" w:hAnsi="Times New Roman" w:cs="Times New Roman" w:hint="eastAsia"/>
                <w:i/>
                <w:szCs w:val="21"/>
              </w:rPr>
              <w:t>a014161</w:t>
            </w:r>
          </w:p>
        </w:tc>
        <w:tc>
          <w:tcPr>
            <w:tcW w:w="3748" w:type="dxa"/>
          </w:tcPr>
          <w:p w14:paraId="44A70A5D" w14:textId="77777777" w:rsidR="00382287" w:rsidRDefault="00382287" w:rsidP="00A4753A">
            <w:pPr>
              <w:suppressLineNumbers/>
              <w:spacing w:line="360" w:lineRule="auto"/>
              <w:jc w:val="center"/>
              <w:rPr>
                <w:rFonts w:ascii="Times New Roman" w:eastAsia="宋体" w:hAnsi="Times New Roman" w:cs="Times New Roman"/>
                <w:szCs w:val="21"/>
              </w:rPr>
            </w:pPr>
            <w:r>
              <w:rPr>
                <w:rFonts w:ascii="Times New Roman" w:eastAsia="宋体" w:hAnsi="Times New Roman" w:cs="Times New Roman"/>
                <w:szCs w:val="21"/>
              </w:rPr>
              <w:t>TCTCACTGGAGGTATCATAG</w:t>
            </w:r>
          </w:p>
          <w:p w14:paraId="574570DE" w14:textId="77777777" w:rsidR="00382287" w:rsidRDefault="00382287" w:rsidP="00A4753A">
            <w:pPr>
              <w:suppressLineNumbers/>
              <w:spacing w:line="360" w:lineRule="auto"/>
              <w:jc w:val="center"/>
              <w:rPr>
                <w:rFonts w:ascii="Times New Roman" w:eastAsia="宋体" w:hAnsi="Times New Roman" w:cs="Times New Roman"/>
                <w:szCs w:val="21"/>
              </w:rPr>
            </w:pPr>
            <w:r>
              <w:rPr>
                <w:rFonts w:ascii="Times New Roman" w:eastAsia="宋体" w:hAnsi="Times New Roman" w:cs="Times New Roman"/>
                <w:szCs w:val="21"/>
              </w:rPr>
              <w:t>GGGAGCATCCAGACCATGTTGTAG</w:t>
            </w:r>
          </w:p>
        </w:tc>
        <w:tc>
          <w:tcPr>
            <w:tcW w:w="4253" w:type="dxa"/>
          </w:tcPr>
          <w:p w14:paraId="1E07E1BF" w14:textId="77777777" w:rsidR="00382287" w:rsidRDefault="00382287" w:rsidP="00A4753A">
            <w:pPr>
              <w:suppressLineNumbers/>
              <w:spacing w:line="360" w:lineRule="auto"/>
              <w:jc w:val="center"/>
              <w:rPr>
                <w:rFonts w:ascii="Times New Roman" w:eastAsia="宋体" w:hAnsi="Times New Roman" w:cs="Times New Roman"/>
                <w:szCs w:val="21"/>
              </w:rPr>
            </w:pPr>
            <w:r>
              <w:rPr>
                <w:rFonts w:ascii="Times New Roman" w:eastAsia="宋体" w:hAnsi="Times New Roman" w:cs="Times New Roman"/>
                <w:szCs w:val="21"/>
              </w:rPr>
              <w:t>GATCTCCTCACCATCAATAG</w:t>
            </w:r>
          </w:p>
          <w:p w14:paraId="2F6C21D9" w14:textId="77777777" w:rsidR="00382287" w:rsidRDefault="00382287" w:rsidP="00A4753A">
            <w:pPr>
              <w:suppressLineNumbers/>
              <w:spacing w:line="360" w:lineRule="auto"/>
              <w:jc w:val="center"/>
              <w:rPr>
                <w:rFonts w:ascii="Times New Roman" w:eastAsia="宋体" w:hAnsi="Times New Roman" w:cs="Times New Roman"/>
                <w:szCs w:val="21"/>
              </w:rPr>
            </w:pPr>
            <w:r>
              <w:rPr>
                <w:rFonts w:ascii="Times New Roman" w:eastAsia="宋体" w:hAnsi="Times New Roman" w:cs="Times New Roman"/>
                <w:szCs w:val="21"/>
              </w:rPr>
              <w:t>GGGAGTCCTCGCATGTGTTGTG</w:t>
            </w:r>
          </w:p>
        </w:tc>
      </w:tr>
    </w:tbl>
    <w:p w14:paraId="62497027" w14:textId="77777777" w:rsidR="00382287" w:rsidRDefault="00382287" w:rsidP="00382287">
      <w:pPr>
        <w:suppressLineNumbers/>
        <w:spacing w:line="300" w:lineRule="auto"/>
        <w:jc w:val="left"/>
        <w:rPr>
          <w:rFonts w:ascii="Times New Roman" w:eastAsia="宋体" w:hAnsi="Times New Roman" w:cs="Times New Roman"/>
          <w:szCs w:val="21"/>
        </w:rPr>
      </w:pPr>
      <w:r>
        <w:rPr>
          <w:rFonts w:ascii="Times New Roman" w:eastAsia="宋体" w:hAnsi="Times New Roman" w:cs="Times New Roman" w:hint="eastAsia"/>
          <w:szCs w:val="21"/>
        </w:rPr>
        <w:t>Note</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The restriction site of endonuclease </w:t>
      </w:r>
      <w:proofErr w:type="gramStart"/>
      <w:r>
        <w:rPr>
          <w:rFonts w:ascii="Times New Roman" w:eastAsia="宋体" w:hAnsi="Times New Roman" w:cs="Times New Roman" w:hint="eastAsia"/>
          <w:szCs w:val="21"/>
        </w:rPr>
        <w:t>are</w:t>
      </w:r>
      <w:proofErr w:type="gramEnd"/>
      <w:r>
        <w:rPr>
          <w:rFonts w:ascii="Times New Roman" w:eastAsia="宋体" w:hAnsi="Times New Roman" w:cs="Times New Roman" w:hint="eastAsia"/>
          <w:szCs w:val="21"/>
        </w:rPr>
        <w:t xml:space="preserve"> shown in the box.</w:t>
      </w:r>
    </w:p>
    <w:p w14:paraId="546F2282" w14:textId="36606395" w:rsidR="00794E13" w:rsidRPr="00382287" w:rsidRDefault="00794E13">
      <w:pPr>
        <w:suppressLineNumbers/>
        <w:spacing w:beforeLines="100" w:before="312" w:afterLines="100" w:after="312" w:line="360" w:lineRule="auto"/>
        <w:rPr>
          <w:rFonts w:ascii="Times New Roman" w:eastAsia="宋体" w:hAnsi="Times New Roman" w:cs="Times New Roman"/>
          <w:szCs w:val="21"/>
        </w:rPr>
      </w:pPr>
    </w:p>
    <w:sectPr w:rsidR="00794E13" w:rsidRPr="00382287">
      <w:pgSz w:w="11906" w:h="16838"/>
      <w:pgMar w:top="1440" w:right="1800" w:bottom="1440" w:left="1800" w:header="851" w:footer="992" w:gutter="0"/>
      <w:lnNumType w:countBy="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7C8D5" w14:textId="77777777" w:rsidR="00B2060B" w:rsidRDefault="00B2060B" w:rsidP="009D0D0D">
      <w:r>
        <w:separator/>
      </w:r>
    </w:p>
  </w:endnote>
  <w:endnote w:type="continuationSeparator" w:id="0">
    <w:p w14:paraId="35136A61" w14:textId="77777777" w:rsidR="00B2060B" w:rsidRDefault="00B2060B" w:rsidP="009D0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 New Roman Italic">
    <w:altName w:val="Times New Roman"/>
    <w:panose1 w:val="02020503050405090304"/>
    <w:charset w:val="00"/>
    <w:family w:val="auto"/>
    <w:pitch w:val="default"/>
    <w:sig w:usb0="00000000" w:usb1="00000000" w:usb2="00000009" w:usb3="00000000" w:csb0="400001FF" w:csb1="FFFF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89554" w14:textId="77777777" w:rsidR="00B2060B" w:rsidRDefault="00B2060B" w:rsidP="009D0D0D">
      <w:r>
        <w:separator/>
      </w:r>
    </w:p>
  </w:footnote>
  <w:footnote w:type="continuationSeparator" w:id="0">
    <w:p w14:paraId="59073665" w14:textId="77777777" w:rsidR="00B2060B" w:rsidRDefault="00B2060B" w:rsidP="009D0D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04D0"/>
    <w:rsid w:val="00107DC9"/>
    <w:rsid w:val="001F65FF"/>
    <w:rsid w:val="00382287"/>
    <w:rsid w:val="003841EB"/>
    <w:rsid w:val="003E4272"/>
    <w:rsid w:val="00683A98"/>
    <w:rsid w:val="007949B0"/>
    <w:rsid w:val="00794E13"/>
    <w:rsid w:val="008A04D0"/>
    <w:rsid w:val="00925CB7"/>
    <w:rsid w:val="009C1291"/>
    <w:rsid w:val="009D0D0D"/>
    <w:rsid w:val="00A22C08"/>
    <w:rsid w:val="00B2060B"/>
    <w:rsid w:val="00EF0AE7"/>
    <w:rsid w:val="00F0036C"/>
    <w:rsid w:val="1AEF62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99CA6"/>
  <w15:docId w15:val="{59CBD0DB-1AC3-4625-9625-6DA5F459F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character" w:styleId="a9">
    <w:name w:val="line number"/>
    <w:basedOn w:val="a0"/>
    <w:uiPriority w:val="99"/>
    <w:semiHidden/>
    <w:unhideWhenUsed/>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265</Words>
  <Characters>1513</Characters>
  <Application>Microsoft Office Word</Application>
  <DocSecurity>0</DocSecurity>
  <Lines>12</Lines>
  <Paragraphs>3</Paragraphs>
  <ScaleCrop>false</ScaleCrop>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朱　芳銘</cp:lastModifiedBy>
  <cp:revision>7</cp:revision>
  <dcterms:created xsi:type="dcterms:W3CDTF">2021-08-09T04:50:00Z</dcterms:created>
  <dcterms:modified xsi:type="dcterms:W3CDTF">2021-10-09T06:41:00Z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33F2499396E748AD8E89A774327A7E95</vt:lpwstr>
  </property>
</Properties>
</file>