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D378" w14:textId="4B5735A4" w:rsidR="00994A3D" w:rsidRPr="004F1301" w:rsidRDefault="00654E8F" w:rsidP="004F1301">
      <w:pPr>
        <w:pStyle w:val="SupplementaryMaterial"/>
        <w:rPr>
          <w:b w:val="0"/>
        </w:rPr>
      </w:pPr>
      <w:r w:rsidRPr="001549D3">
        <w:t>Supplementary Material</w:t>
      </w:r>
    </w:p>
    <w:p w14:paraId="3C419443" w14:textId="60E76280" w:rsidR="00994A3D" w:rsidRPr="001549D3" w:rsidRDefault="00F4493A" w:rsidP="00994A3D">
      <w:pPr>
        <w:keepNext/>
        <w:jc w:val="center"/>
        <w:rPr>
          <w:rFonts w:cs="Times New Roman"/>
          <w:szCs w:val="24"/>
        </w:rPr>
      </w:pPr>
      <w:r>
        <w:rPr>
          <w:rFonts w:cs="Times New Roman"/>
          <w:noProof/>
          <w:szCs w:val="24"/>
        </w:rPr>
        <w:drawing>
          <wp:inline distT="0" distB="0" distL="0" distR="0" wp14:anchorId="2C3CBCF3" wp14:editId="01507923">
            <wp:extent cx="5033176" cy="6558006"/>
            <wp:effectExtent l="0" t="0" r="0" b="0"/>
            <wp:docPr id="11" name="図 1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6180" cy="6666156"/>
                    </a:xfrm>
                    <a:prstGeom prst="rect">
                      <a:avLst/>
                    </a:prstGeom>
                  </pic:spPr>
                </pic:pic>
              </a:graphicData>
            </a:graphic>
          </wp:inline>
        </w:drawing>
      </w:r>
    </w:p>
    <w:p w14:paraId="62F87668" w14:textId="77777777" w:rsidR="00244CEF" w:rsidRDefault="00994A3D" w:rsidP="00244CEF">
      <w:pPr>
        <w:widowControl w:val="0"/>
        <w:rPr>
          <w:b/>
          <w:bCs/>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44CEF" w:rsidRPr="00411DCF">
        <w:rPr>
          <w:b/>
          <w:bCs/>
        </w:rPr>
        <w:t xml:space="preserve">Properties of KRIL31, </w:t>
      </w:r>
      <w:r w:rsidR="00244CEF">
        <w:rPr>
          <w:b/>
          <w:bCs/>
        </w:rPr>
        <w:t>the chromosome donor</w:t>
      </w:r>
      <w:r w:rsidR="00244CEF" w:rsidRPr="00411DCF">
        <w:rPr>
          <w:b/>
          <w:bCs/>
        </w:rPr>
        <w:t xml:space="preserve"> for GP9-7</w:t>
      </w:r>
      <w:r w:rsidR="00244CEF" w:rsidRPr="00D002CE">
        <w:rPr>
          <w:b/>
          <w:bCs/>
        </w:rPr>
        <w:t xml:space="preserve">. </w:t>
      </w:r>
    </w:p>
    <w:p w14:paraId="3AE196DF" w14:textId="0A8A439C" w:rsidR="00994A3D" w:rsidRPr="00244CEF" w:rsidRDefault="00244CEF" w:rsidP="00244CEF">
      <w:pPr>
        <w:widowControl w:val="0"/>
        <w:rPr>
          <w:b/>
          <w:bCs/>
        </w:rPr>
      </w:pPr>
      <w:r w:rsidRPr="00D002CE">
        <w:t>Tiller numbers of each line from the KRIL chromosome segment substitution lines</w:t>
      </w:r>
      <w:r>
        <w:t xml:space="preserve"> </w:t>
      </w:r>
      <w:r w:rsidR="003D7CAE">
        <w:fldChar w:fldCharType="begin"/>
      </w:r>
      <w:r w:rsidR="00577705">
        <w:instrText xml:space="preserve"> ADDIN EN.CITE &lt;EndNote&gt;&lt;Cite&gt;&lt;Author&gt;Hirabayashi&lt;/Author&gt;&lt;Year&gt;2010&lt;/Year&gt;&lt;RecNum&gt;8&lt;/RecNum&gt;&lt;DisplayText&gt;(Hirabayashi et al., 2010)&lt;/DisplayText&gt;&lt;record&gt;&lt;rec-number&gt;8&lt;/rec-number&gt;&lt;foreign-keys&gt;&lt;key app="EN" db-id="9vt5w5xed99fz4ew5ezvepacsdrvfx9e2zdp" timestamp="1586930316"&gt;8&lt;/key&gt;&lt;/foreign-keys&gt;&lt;ref-type name="Journal Article"&gt;17&lt;/ref-type&gt;&lt;contributors&gt;&lt;authors&gt;&lt;author&gt;Hirabayashi, H.&lt;/author&gt;&lt;author&gt;Sato, H.&lt;/author&gt;&lt;author&gt;Nonoue, Y.&lt;/author&gt;&lt;author&gt;Kuno-Takemoto, Y.&lt;/author&gt;&lt;author&gt;Takeuchi, Y.&lt;/author&gt;&lt;author&gt;Kato, H.&lt;/author&gt;&lt;author&gt;Nemoto, H.&lt;/author&gt;&lt;author&gt;Ogawa, T.&lt;/author&gt;&lt;author&gt;Yano, M.&lt;/author&gt;&lt;author&gt;Imbe, T.&lt;/author&gt;&lt;author&gt;Ando, I.&lt;/author&gt;&lt;/authors&gt;&lt;/contributors&gt;&lt;titles&gt;&lt;title&gt;&lt;style face="normal" font="default" size="100%"&gt;Development of introgression lines derived from &lt;/style&gt;&lt;style face="italic" font="default" size="100%"&gt;Oryza rufipogon&lt;/style&gt;&lt;style face="normal" font="default" size="100%"&gt; and &lt;/style&gt;&lt;style face="italic" font="default" size="100%"&gt;O. glumaepatula&lt;/style&gt;&lt;style face="normal" font="default" size="100%"&gt; in the genetic background of &lt;/style&gt;&lt;style face="italic" font="default" size="100%"&gt;japonica&lt;/style&gt;&lt;style face="normal" font="default" size="100%"&gt; cultivated rice (&lt;/style&gt;&lt;style face="italic" font="default" size="100%"&gt;O. sativa&lt;/style&gt;&lt;style face="normal" font="default" size="100%"&gt; L.) and evaluation of resistance to rice blast&lt;/style&gt;&lt;/title&gt;&lt;secondary-title&gt;Breed. Sci.&lt;/secondary-title&gt;&lt;/titles&gt;&lt;pages&gt;604-612&lt;/pages&gt;&lt;volume&gt;60&lt;/volume&gt;&lt;dates&gt;&lt;year&gt;2010&lt;/year&gt;&lt;/dates&gt;&lt;urls&gt;&lt;/urls&gt;&lt;electronic-resource-num&gt;10.1270/jsbbs.60.604&lt;/electronic-resource-num&gt;&lt;/record&gt;&lt;/Cite&gt;&lt;/EndNote&gt;</w:instrText>
      </w:r>
      <w:r w:rsidR="003D7CAE">
        <w:fldChar w:fldCharType="separate"/>
      </w:r>
      <w:r w:rsidR="003D7CAE">
        <w:rPr>
          <w:noProof/>
        </w:rPr>
        <w:t>(Hirabayashi et al., 2010)</w:t>
      </w:r>
      <w:r w:rsidR="003D7CAE">
        <w:fldChar w:fldCharType="end"/>
      </w:r>
      <w:r w:rsidR="0031150E">
        <w:t xml:space="preserve"> </w:t>
      </w:r>
      <w:r w:rsidRPr="00D002CE">
        <w:t>at the ripening stage grown under sparse (</w:t>
      </w:r>
      <w:r w:rsidR="00154147">
        <w:t>A</w:t>
      </w:r>
      <w:r w:rsidRPr="00D002CE">
        <w:t>) and dense (</w:t>
      </w:r>
      <w:r w:rsidR="00154147">
        <w:t>B</w:t>
      </w:r>
      <w:r w:rsidRPr="00D002CE">
        <w:t xml:space="preserve">) planting densities. The means of </w:t>
      </w:r>
      <w:r>
        <w:t>5</w:t>
      </w:r>
      <w:r w:rsidRPr="00D002CE">
        <w:t xml:space="preserve"> plants and their </w:t>
      </w:r>
      <w:r>
        <w:t>SD value</w:t>
      </w:r>
      <w:r w:rsidRPr="00D002CE">
        <w:t xml:space="preserve">s are shown. </w:t>
      </w:r>
      <w:proofErr w:type="spellStart"/>
      <w:r w:rsidRPr="00D002CE">
        <w:t>Koshihikari</w:t>
      </w:r>
      <w:proofErr w:type="spellEnd"/>
      <w:r w:rsidRPr="00D002CE">
        <w:t xml:space="preserve"> (Ko: blue bar) and KRILs were cultivated in a test field at Tsukuba, Japan in the summer of 2010. The number of tillers of KRIL31 are indicated by red bars. Photographs </w:t>
      </w:r>
      <w:r w:rsidR="00154147">
        <w:t>C</w:t>
      </w:r>
      <w:r w:rsidRPr="00D002CE">
        <w:t xml:space="preserve"> document the typical plant shapes of </w:t>
      </w:r>
      <w:proofErr w:type="spellStart"/>
      <w:r w:rsidRPr="00D002CE">
        <w:t>Koshihikari</w:t>
      </w:r>
      <w:proofErr w:type="spellEnd"/>
      <w:r w:rsidRPr="00D002CE">
        <w:t xml:space="preserve"> and KRIL31 under the sparse planting conditions. These photographs were taken at 29 DAP. Scale bars: 10 cm.</w:t>
      </w:r>
      <w:r w:rsidR="00994A3D" w:rsidRPr="001549D3">
        <w:rPr>
          <w:rFonts w:cs="Times New Roman"/>
          <w:szCs w:val="24"/>
        </w:rPr>
        <w:t xml:space="preserve"> </w:t>
      </w:r>
    </w:p>
    <w:p w14:paraId="17B92C94" w14:textId="2410AF3B" w:rsidR="006D5877" w:rsidRPr="001549D3" w:rsidRDefault="004C3BFE" w:rsidP="006D5877">
      <w:pPr>
        <w:keepNext/>
        <w:jc w:val="center"/>
        <w:rPr>
          <w:rFonts w:cs="Times New Roman"/>
          <w:szCs w:val="24"/>
        </w:rPr>
      </w:pPr>
      <w:r>
        <w:rPr>
          <w:rFonts w:cs="Times New Roman"/>
          <w:noProof/>
          <w:szCs w:val="24"/>
        </w:rPr>
        <w:lastRenderedPageBreak/>
        <w:drawing>
          <wp:inline distT="0" distB="0" distL="0" distR="0" wp14:anchorId="39D5F4D4" wp14:editId="2F1F3391">
            <wp:extent cx="5992495" cy="7084695"/>
            <wp:effectExtent l="0" t="0" r="1905" b="1905"/>
            <wp:docPr id="12"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2495" cy="7084695"/>
                    </a:xfrm>
                    <a:prstGeom prst="rect">
                      <a:avLst/>
                    </a:prstGeom>
                  </pic:spPr>
                </pic:pic>
              </a:graphicData>
            </a:graphic>
          </wp:inline>
        </w:drawing>
      </w:r>
    </w:p>
    <w:p w14:paraId="35EFECD4" w14:textId="6D2ACA71" w:rsidR="006D5877" w:rsidRDefault="006D5877" w:rsidP="006D5877">
      <w:pPr>
        <w:widowControl w:val="0"/>
        <w:rPr>
          <w:b/>
          <w:bCs/>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EC5824" w:rsidRPr="001304F0">
        <w:rPr>
          <w:b/>
          <w:bCs/>
        </w:rPr>
        <w:t>Schematic genotype of KRIL31 and genotypic-phenotypic analyses to detect the corresponding segment controlling tiller spreading and increase.</w:t>
      </w:r>
      <w:r w:rsidRPr="00D002CE">
        <w:rPr>
          <w:b/>
          <w:bCs/>
        </w:rPr>
        <w:t xml:space="preserve"> </w:t>
      </w:r>
    </w:p>
    <w:p w14:paraId="505D4A4B" w14:textId="087237AC" w:rsidR="006D5877" w:rsidRPr="00244CEF" w:rsidRDefault="00F54571" w:rsidP="006D5877">
      <w:pPr>
        <w:widowControl w:val="0"/>
        <w:rPr>
          <w:b/>
          <w:bCs/>
        </w:rPr>
      </w:pPr>
      <w:r w:rsidRPr="001304F0">
        <w:t>Graphic representation of the KRIL31 genotype (</w:t>
      </w:r>
      <w:r>
        <w:t>A</w:t>
      </w:r>
      <w:r w:rsidRPr="001304F0">
        <w:t>)</w:t>
      </w:r>
      <w:r w:rsidR="00C61DC4" w:rsidRPr="00C61DC4">
        <w:t xml:space="preserve"> </w:t>
      </w:r>
      <w:r w:rsidR="003D7CAE">
        <w:fldChar w:fldCharType="begin"/>
      </w:r>
      <w:r w:rsidR="00577705">
        <w:instrText xml:space="preserve"> ADDIN EN.CITE &lt;EndNote&gt;&lt;Cite&gt;&lt;Author&gt;Hirabayashi&lt;/Author&gt;&lt;Year&gt;2010&lt;/Year&gt;&lt;RecNum&gt;8&lt;/RecNum&gt;&lt;DisplayText&gt;(Hirabayashi et al., 2010)&lt;/DisplayText&gt;&lt;record&gt;&lt;rec-number&gt;8&lt;/rec-number&gt;&lt;foreign-keys&gt;&lt;key app="EN" db-id="9vt5w5xed99fz4ew5ezvepacsdrvfx9e2zdp" timestamp="1586930316"&gt;8&lt;/key&gt;&lt;/foreign-keys&gt;&lt;ref-type name="Journal Article"&gt;17&lt;/ref-type&gt;&lt;contributors&gt;&lt;authors&gt;&lt;author&gt;Hirabayashi, H.&lt;/author&gt;&lt;author&gt;Sato, H.&lt;/author&gt;&lt;author&gt;Nonoue, Y.&lt;/author&gt;&lt;author&gt;Kuno-Takemoto, Y.&lt;/author&gt;&lt;author&gt;Takeuchi, Y.&lt;/author&gt;&lt;author&gt;Kato, H.&lt;/author&gt;&lt;author&gt;Nemoto, H.&lt;/author&gt;&lt;author&gt;Ogawa, T.&lt;/author&gt;&lt;author&gt;Yano, M.&lt;/author&gt;&lt;author&gt;Imbe, T.&lt;/author&gt;&lt;author&gt;Ando, I.&lt;/author&gt;&lt;/authors&gt;&lt;/contributors&gt;&lt;titles&gt;&lt;title&gt;&lt;style face="normal" font="default" size="100%"&gt;Development of introgression lines derived from &lt;/style&gt;&lt;style face="italic" font="default" size="100%"&gt;Oryza rufipogon&lt;/style&gt;&lt;style face="normal" font="default" size="100%"&gt; and &lt;/style&gt;&lt;style face="italic" font="default" size="100%"&gt;O. glumaepatula&lt;/style&gt;&lt;style face="normal" font="default" size="100%"&gt; in the genetic background of &lt;/style&gt;&lt;style face="italic" font="default" size="100%"&gt;japonica&lt;/style&gt;&lt;style face="normal" font="default" size="100%"&gt; cultivated rice (&lt;/style&gt;&lt;style face="italic" font="default" size="100%"&gt;O. sativa&lt;/style&gt;&lt;style face="normal" font="default" size="100%"&gt; L.) and evaluation of resistance to rice blast&lt;/style&gt;&lt;/title&gt;&lt;secondary-title&gt;Breed. Sci.&lt;/secondary-title&gt;&lt;/titles&gt;&lt;pages&gt;604-612&lt;/pages&gt;&lt;volume&gt;60&lt;/volume&gt;&lt;dates&gt;&lt;year&gt;2010&lt;/year&gt;&lt;/dates&gt;&lt;urls&gt;&lt;/urls&gt;&lt;electronic-resource-num&gt;10.1270/jsbbs.60.604&lt;/electronic-resource-num&gt;&lt;/record&gt;&lt;/Cite&gt;&lt;/EndNote&gt;</w:instrText>
      </w:r>
      <w:r w:rsidR="003D7CAE">
        <w:fldChar w:fldCharType="separate"/>
      </w:r>
      <w:r w:rsidR="003D7CAE">
        <w:rPr>
          <w:noProof/>
        </w:rPr>
        <w:t>(Hirabayashi et al., 2010)</w:t>
      </w:r>
      <w:r w:rsidR="003D7CAE">
        <w:fldChar w:fldCharType="end"/>
      </w:r>
      <w:r w:rsidRPr="001304F0">
        <w:t xml:space="preserve">. Diagram </w:t>
      </w:r>
      <w:r>
        <w:t>B</w:t>
      </w:r>
      <w:r w:rsidRPr="001304F0">
        <w:t xml:space="preserve"> summarizes the genotypic-phenotypic analyses of plants from the BC</w:t>
      </w:r>
      <w:r w:rsidRPr="00241196">
        <w:rPr>
          <w:vertAlign w:val="subscript"/>
        </w:rPr>
        <w:t>2</w:t>
      </w:r>
      <w:r w:rsidRPr="001304F0">
        <w:t>F</w:t>
      </w:r>
      <w:r w:rsidRPr="00241196">
        <w:rPr>
          <w:vertAlign w:val="subscript"/>
        </w:rPr>
        <w:t xml:space="preserve">2 </w:t>
      </w:r>
      <w:r w:rsidRPr="001304F0">
        <w:t xml:space="preserve">generation to locate the corresponding segment controlling tiller spreading and increase in tiller number relative to SSR markers. The yellow zones indicate the segments derived from </w:t>
      </w:r>
      <w:proofErr w:type="spellStart"/>
      <w:r w:rsidRPr="001304F0">
        <w:t>Koshihikari</w:t>
      </w:r>
      <w:proofErr w:type="spellEnd"/>
      <w:r w:rsidRPr="001304F0">
        <w:t xml:space="preserve">, and the red zones represent the segments contributed by </w:t>
      </w:r>
      <w:r w:rsidRPr="00241196">
        <w:rPr>
          <w:i/>
          <w:iCs/>
        </w:rPr>
        <w:t xml:space="preserve">O. </w:t>
      </w:r>
      <w:proofErr w:type="spellStart"/>
      <w:r w:rsidRPr="00241196">
        <w:rPr>
          <w:i/>
          <w:iCs/>
        </w:rPr>
        <w:t>rufipogon</w:t>
      </w:r>
      <w:proofErr w:type="spellEnd"/>
      <w:r w:rsidRPr="001304F0">
        <w:t>. Blue zones show the heterozygous segments of both genotypes.</w:t>
      </w:r>
      <w:r w:rsidR="006D5877" w:rsidRPr="001549D3">
        <w:rPr>
          <w:rFonts w:cs="Times New Roman"/>
          <w:szCs w:val="24"/>
        </w:rPr>
        <w:t xml:space="preserve"> </w:t>
      </w:r>
    </w:p>
    <w:p w14:paraId="249ADD11" w14:textId="7E9F1461" w:rsidR="006D5877" w:rsidRPr="001549D3" w:rsidRDefault="00796FCF" w:rsidP="006D5877">
      <w:pPr>
        <w:keepNext/>
        <w:jc w:val="center"/>
        <w:rPr>
          <w:rFonts w:cs="Times New Roman"/>
          <w:szCs w:val="24"/>
        </w:rPr>
      </w:pPr>
      <w:r>
        <w:rPr>
          <w:rFonts w:cs="Times New Roman"/>
          <w:noProof/>
          <w:szCs w:val="24"/>
        </w:rPr>
        <w:lastRenderedPageBreak/>
        <w:drawing>
          <wp:inline distT="0" distB="0" distL="0" distR="0" wp14:anchorId="554AB4E5" wp14:editId="37DDC486">
            <wp:extent cx="5992495" cy="6675120"/>
            <wp:effectExtent l="0" t="0" r="1905" b="5080"/>
            <wp:docPr id="13" name="図 13"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2495" cy="6675120"/>
                    </a:xfrm>
                    <a:prstGeom prst="rect">
                      <a:avLst/>
                    </a:prstGeom>
                  </pic:spPr>
                </pic:pic>
              </a:graphicData>
            </a:graphic>
          </wp:inline>
        </w:drawing>
      </w:r>
    </w:p>
    <w:p w14:paraId="641FABF1" w14:textId="0652EB9E" w:rsidR="006D5877" w:rsidRDefault="006D5877" w:rsidP="006D5877">
      <w:pPr>
        <w:widowControl w:val="0"/>
        <w:rPr>
          <w:b/>
          <w:bCs/>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0E17FE" w:rsidRPr="00DA7650">
        <w:rPr>
          <w:b/>
          <w:bCs/>
        </w:rPr>
        <w:t xml:space="preserve">Comparison of sequences of the Prog1 from </w:t>
      </w:r>
      <w:proofErr w:type="spellStart"/>
      <w:r w:rsidR="000E17FE" w:rsidRPr="00DA7650">
        <w:rPr>
          <w:b/>
          <w:bCs/>
        </w:rPr>
        <w:t>Koshihikari</w:t>
      </w:r>
      <w:proofErr w:type="spellEnd"/>
      <w:r w:rsidR="000E17FE" w:rsidRPr="00DA7650">
        <w:rPr>
          <w:b/>
          <w:bCs/>
        </w:rPr>
        <w:t xml:space="preserve">, several accessions of </w:t>
      </w:r>
      <w:r w:rsidR="000E17FE" w:rsidRPr="00BC2525">
        <w:rPr>
          <w:b/>
          <w:bCs/>
          <w:i/>
          <w:iCs/>
        </w:rPr>
        <w:t xml:space="preserve">O. </w:t>
      </w:r>
      <w:proofErr w:type="spellStart"/>
      <w:r w:rsidR="000E17FE" w:rsidRPr="00BC2525">
        <w:rPr>
          <w:b/>
          <w:bCs/>
          <w:i/>
          <w:iCs/>
        </w:rPr>
        <w:t>rufipogon</w:t>
      </w:r>
      <w:proofErr w:type="spellEnd"/>
      <w:r w:rsidR="000E17FE" w:rsidRPr="00DA7650">
        <w:rPr>
          <w:b/>
          <w:bCs/>
        </w:rPr>
        <w:t xml:space="preserve"> and GP9-7. </w:t>
      </w:r>
      <w:r w:rsidRPr="00D002CE">
        <w:rPr>
          <w:b/>
          <w:bCs/>
        </w:rPr>
        <w:t xml:space="preserve"> </w:t>
      </w:r>
    </w:p>
    <w:p w14:paraId="2E14236E" w14:textId="1655C2F1" w:rsidR="006D5877" w:rsidRPr="00244CEF" w:rsidRDefault="00E871D6" w:rsidP="006D5877">
      <w:pPr>
        <w:widowControl w:val="0"/>
        <w:rPr>
          <w:b/>
          <w:bCs/>
        </w:rPr>
      </w:pPr>
      <w:r w:rsidRPr="00DA7650">
        <w:t>(</w:t>
      </w:r>
      <w:r>
        <w:t>A</w:t>
      </w:r>
      <w:r w:rsidRPr="00DA7650">
        <w:t xml:space="preserve">) Comparison of nucleotide sequences of the </w:t>
      </w:r>
      <w:r w:rsidRPr="00241196">
        <w:rPr>
          <w:i/>
          <w:iCs/>
        </w:rPr>
        <w:t>Prog1</w:t>
      </w:r>
      <w:r w:rsidRPr="00DA7650">
        <w:t xml:space="preserve"> gene from </w:t>
      </w:r>
      <w:proofErr w:type="spellStart"/>
      <w:r w:rsidRPr="00DA7650">
        <w:t>Koshihikari</w:t>
      </w:r>
      <w:proofErr w:type="spellEnd"/>
      <w:r w:rsidRPr="00DA7650">
        <w:t xml:space="preserve"> and GP9-7. Sequence </w:t>
      </w:r>
      <w:r w:rsidR="00A37B83">
        <w:t>a</w:t>
      </w:r>
      <w:r w:rsidRPr="00DA7650">
        <w:t xml:space="preserve">: </w:t>
      </w:r>
      <w:proofErr w:type="spellStart"/>
      <w:r w:rsidRPr="00DA7650">
        <w:t>Koshihikari</w:t>
      </w:r>
      <w:proofErr w:type="spellEnd"/>
      <w:r w:rsidRPr="00DA7650">
        <w:t xml:space="preserve"> (DDBJ/EMBL/GenBank: LC573903), sequence </w:t>
      </w:r>
      <w:r w:rsidR="00A37B83">
        <w:t>b</w:t>
      </w:r>
      <w:r w:rsidRPr="00DA7650">
        <w:t>: GP9-7 (DDBJ/EMBL/GenBank: LC573904). (</w:t>
      </w:r>
      <w:r>
        <w:t>B</w:t>
      </w:r>
      <w:r w:rsidRPr="00DA7650">
        <w:t xml:space="preserve">) Comparison of the deduced amino acid sequences of Prog1 from several accessions of </w:t>
      </w:r>
      <w:r w:rsidRPr="00241196">
        <w:rPr>
          <w:i/>
          <w:iCs/>
        </w:rPr>
        <w:t xml:space="preserve">O. </w:t>
      </w:r>
      <w:proofErr w:type="spellStart"/>
      <w:r w:rsidRPr="00241196">
        <w:rPr>
          <w:i/>
          <w:iCs/>
        </w:rPr>
        <w:t>rufipogon</w:t>
      </w:r>
      <w:proofErr w:type="spellEnd"/>
      <w:r w:rsidRPr="00DA7650">
        <w:t xml:space="preserve">, </w:t>
      </w:r>
      <w:proofErr w:type="spellStart"/>
      <w:r w:rsidRPr="00DA7650">
        <w:t>Koshihikari</w:t>
      </w:r>
      <w:proofErr w:type="spellEnd"/>
      <w:r w:rsidRPr="00DA7650">
        <w:t xml:space="preserve"> and GP9-7. Sequence </w:t>
      </w:r>
      <w:r w:rsidR="00A37B83">
        <w:t>a</w:t>
      </w:r>
      <w:r w:rsidRPr="00DA7650">
        <w:t xml:space="preserve">: </w:t>
      </w:r>
      <w:r w:rsidRPr="00241196">
        <w:rPr>
          <w:i/>
          <w:iCs/>
        </w:rPr>
        <w:t xml:space="preserve">O. </w:t>
      </w:r>
      <w:proofErr w:type="spellStart"/>
      <w:r w:rsidRPr="00241196">
        <w:rPr>
          <w:i/>
          <w:iCs/>
        </w:rPr>
        <w:t>rufipogon</w:t>
      </w:r>
      <w:proofErr w:type="spellEnd"/>
      <w:r w:rsidRPr="00DA7650">
        <w:t xml:space="preserve"> (accession: YJCWR; GenBank: ACE06775.1), sequence </w:t>
      </w:r>
      <w:r w:rsidR="00A37B83">
        <w:t>b</w:t>
      </w:r>
      <w:r w:rsidRPr="00DA7650">
        <w:t xml:space="preserve">: </w:t>
      </w:r>
      <w:r w:rsidRPr="00241196">
        <w:rPr>
          <w:i/>
          <w:iCs/>
        </w:rPr>
        <w:t xml:space="preserve">O. </w:t>
      </w:r>
      <w:proofErr w:type="spellStart"/>
      <w:r w:rsidRPr="00241196">
        <w:rPr>
          <w:i/>
          <w:iCs/>
        </w:rPr>
        <w:t>rufipogon</w:t>
      </w:r>
      <w:proofErr w:type="spellEnd"/>
      <w:r w:rsidRPr="00DA7650">
        <w:t xml:space="preserve"> (isolate: YD2-0772; GenBank: ACE06777.1), Sequence </w:t>
      </w:r>
      <w:r w:rsidR="00A37B83">
        <w:t>c</w:t>
      </w:r>
      <w:r w:rsidRPr="00DA7650">
        <w:t xml:space="preserve">: </w:t>
      </w:r>
      <w:proofErr w:type="spellStart"/>
      <w:r w:rsidRPr="00DA7650">
        <w:t>Koshihikari</w:t>
      </w:r>
      <w:proofErr w:type="spellEnd"/>
      <w:r w:rsidRPr="00DA7650">
        <w:t xml:space="preserve">, sequence </w:t>
      </w:r>
      <w:r w:rsidR="00A37B83">
        <w:t>d</w:t>
      </w:r>
      <w:r w:rsidRPr="00DA7650">
        <w:t xml:space="preserve">: </w:t>
      </w:r>
      <w:r w:rsidRPr="00241196">
        <w:rPr>
          <w:i/>
          <w:iCs/>
        </w:rPr>
        <w:t xml:space="preserve">O. </w:t>
      </w:r>
      <w:proofErr w:type="spellStart"/>
      <w:r w:rsidRPr="00241196">
        <w:rPr>
          <w:i/>
          <w:iCs/>
        </w:rPr>
        <w:t>rufipogon</w:t>
      </w:r>
      <w:proofErr w:type="spellEnd"/>
      <w:r w:rsidRPr="00241196">
        <w:rPr>
          <w:i/>
          <w:iCs/>
        </w:rPr>
        <w:t xml:space="preserve"> </w:t>
      </w:r>
      <w:r w:rsidRPr="00DA7650">
        <w:t xml:space="preserve">(accession: DXCWR; GenBank: ASR75314.1) and sequence </w:t>
      </w:r>
      <w:r w:rsidR="00A37B83">
        <w:t>e</w:t>
      </w:r>
      <w:r w:rsidRPr="00DA7650">
        <w:t>: GP9-7. The deletion detected in GP9-7 is highlighted with a pink background. Characteristic motifs shown in Prog1, such as the C</w:t>
      </w:r>
      <w:r w:rsidRPr="00241196">
        <w:rPr>
          <w:vertAlign w:val="subscript"/>
        </w:rPr>
        <w:t>2</w:t>
      </w:r>
      <w:r w:rsidRPr="00DA7650">
        <w:t>H</w:t>
      </w:r>
      <w:r w:rsidRPr="00241196">
        <w:rPr>
          <w:vertAlign w:val="subscript"/>
        </w:rPr>
        <w:t>2</w:t>
      </w:r>
      <w:r w:rsidRPr="00DA7650">
        <w:t xml:space="preserve">-type Zn-finger domains </w:t>
      </w:r>
      <w:r w:rsidR="003D7CAE">
        <w:fldChar w:fldCharType="begin"/>
      </w:r>
      <w:r w:rsidR="003D7CAE">
        <w:instrText xml:space="preserve"> ADDIN EN.CITE &lt;EndNote&gt;&lt;Cite&gt;&lt;Author&gt;Agarwal&lt;/Author&gt;&lt;Year&gt;2007&lt;/Year&gt;&lt;RecNum&gt;45&lt;/RecNum&gt;&lt;DisplayText&gt;(Agarwal et al., 2007)&lt;/DisplayText&gt;&lt;record&gt;&lt;rec-number&gt;45&lt;/rec-number&gt;&lt;foreign-keys&gt;&lt;key app="EN" db-id="9vt5w5xed99fz4ew5ezvepacsdrvfx9e2zdp" timestamp="1605434016"&gt;45&lt;/key&gt;&lt;/foreign-keys&gt;&lt;ref-type name="Journal Article"&gt;17&lt;/ref-type&gt;&lt;contributors&gt;&lt;authors&gt;&lt;author&gt;Agarwal, P.&lt;/author&gt;&lt;author&gt;Arora, R.&lt;/author&gt;&lt;author&gt;Ray, S.&lt;/author&gt;&lt;author&gt;Singh, A. K.&lt;/author&gt;&lt;author&gt;Singh, V. P.&lt;/author&gt;&lt;author&gt;Takatsuji, H.&lt;/author&gt;&lt;author&gt;Kapoor, S.&lt;/author&gt;&lt;author&gt;Tyagi, A. K.&lt;/author&gt;&lt;/authors&gt;&lt;/contributors&gt;&lt;auth-address&gt;Interdisciplinary Centre for Plant Genomics and Department of Plant Molecular Biology, University of Delhi South Campus, Benito Juarez Road, New Delhi 110021, India.&lt;/auth-address&gt;&lt;titles&gt;&lt;title&gt;Genome-wide identification of C2H2 zinc-finger gene family in rice and their phylogeny and expression analysis&lt;/title&gt;&lt;secondary-title&gt;Plant Mol. Biol.&lt;/secondary-title&gt;&lt;/titles&gt;&lt;periodical&gt;&lt;full-title&gt;Plant Mol. Biol.&lt;/full-title&gt;&lt;/periodical&gt;&lt;pages&gt;467-85&lt;/pages&gt;&lt;volume&gt;65&lt;/volume&gt;&lt;number&gt;4&lt;/number&gt;&lt;edition&gt;2007/07/05&lt;/edition&gt;&lt;keywords&gt;&lt;keyword&gt;Chromosome Mapping&lt;/keyword&gt;&lt;keyword&gt;Chromosomes, Plant&lt;/keyword&gt;&lt;keyword&gt;Evolution, Molecular&lt;/keyword&gt;&lt;keyword&gt;*Gene Expression Profiling&lt;/keyword&gt;&lt;keyword&gt;*Genome, Plant&lt;/keyword&gt;&lt;keyword&gt;Oryza/*genetics&lt;/keyword&gt;&lt;keyword&gt;*Phylogeny&lt;/keyword&gt;&lt;keyword&gt;Zinc Fingers/*genetics&lt;/keyword&gt;&lt;/keywords&gt;&lt;dates&gt;&lt;year&gt;2007&lt;/year&gt;&lt;pub-dates&gt;&lt;date&gt;Nov&lt;/date&gt;&lt;/pub-dates&gt;&lt;/dates&gt;&lt;isbn&gt;0167-4412 (Print)&amp;#xD;0167-4412 (Linking)&lt;/isbn&gt;&lt;accession-num&gt;17610133&lt;/accession-num&gt;&lt;urls&gt;&lt;related-urls&gt;&lt;url&gt;https://www.ncbi.nlm.nih.gov/pubmed/17610133&lt;/url&gt;&lt;/related-urls&gt;&lt;/urls&gt;&lt;electronic-resource-num&gt;10.1007/s11103-007-9199-y&lt;/electronic-resource-num&gt;&lt;/record&gt;&lt;/Cite&gt;&lt;/EndNote&gt;</w:instrText>
      </w:r>
      <w:r w:rsidR="003D7CAE">
        <w:fldChar w:fldCharType="separate"/>
      </w:r>
      <w:r w:rsidR="003D7CAE">
        <w:rPr>
          <w:noProof/>
        </w:rPr>
        <w:t>(Agarwal et al., 2007)</w:t>
      </w:r>
      <w:r w:rsidR="003D7CAE">
        <w:fldChar w:fldCharType="end"/>
      </w:r>
      <w:r w:rsidR="004F5905">
        <w:t xml:space="preserve"> </w:t>
      </w:r>
      <w:r w:rsidRPr="00DA7650">
        <w:t xml:space="preserve">and the </w:t>
      </w:r>
      <w:proofErr w:type="spellStart"/>
      <w:r w:rsidRPr="00DA7650">
        <w:t>EAR-like</w:t>
      </w:r>
      <w:proofErr w:type="spellEnd"/>
      <w:r w:rsidRPr="00DA7650">
        <w:t xml:space="preserve"> motif </w:t>
      </w:r>
      <w:r w:rsidR="003D7CAE">
        <w:fldChar w:fldCharType="begin"/>
      </w:r>
      <w:r w:rsidR="003D7CAE">
        <w:instrText xml:space="preserve"> ADDIN EN.CITE &lt;EndNote&gt;&lt;Cite&gt;&lt;Author&gt;Kagale&lt;/Author&gt;&lt;Year&gt;2010&lt;/Year&gt;&lt;RecNum&gt;44&lt;/RecNum&gt;&lt;DisplayText&gt;(Kagale et al., 2010)&lt;/DisplayText&gt;&lt;record&gt;&lt;rec-number&gt;44&lt;/rec-number&gt;&lt;foreign-keys&gt;&lt;key app="EN" db-id="9vt5w5xed99fz4ew5ezvepacsdrvfx9e2zdp" timestamp="1605431409"&gt;44&lt;/key&gt;&lt;/foreign-keys&gt;&lt;ref-type name="Journal Article"&gt;17&lt;/ref-type&gt;&lt;contributors&gt;&lt;authors&gt;&lt;author&gt;Kagale, S.&lt;/author&gt;&lt;author&gt;Links, M. G.&lt;/author&gt;&lt;author&gt;Rozwadowski, K.&lt;/author&gt;&lt;/authors&gt;&lt;/contributors&gt;&lt;auth-address&gt;Saskatoon Research Centre, Agriculture and Agri-Food Canada, Saskatoon, Saskatchewan S7N 0X2, Canada.&lt;/auth-address&gt;&lt;titles&gt;&lt;title&gt;Genome-wide analysis of ethylene-responsive element binding factor-associated amphiphilic repression motif-containing transcriptional regulators in Arabidopsis&lt;/title&gt;&lt;secondary-title&gt;Plant Physiol.&lt;/secondary-title&gt;&lt;/titles&gt;&lt;periodical&gt;&lt;full-title&gt;Plant Physiol.&lt;/full-title&gt;&lt;/periodical&gt;&lt;pages&gt;1109-34&lt;/pages&gt;&lt;volume&gt;152&lt;/volume&gt;&lt;number&gt;3&lt;/number&gt;&lt;edition&gt;2010/01/26&lt;/edition&gt;&lt;keywords&gt;&lt;keyword&gt;Amino Acid Motifs&lt;/keyword&gt;&lt;keyword&gt;Amino Acid Sequence&lt;/keyword&gt;&lt;keyword&gt;Arabidopsis/*genetics/metabolism&lt;/keyword&gt;&lt;keyword&gt;Arabidopsis Proteins/*genetics/metabolism&lt;/keyword&gt;&lt;keyword&gt;Computational Biology&lt;/keyword&gt;&lt;keyword&gt;Ethylenes/*metabolism&lt;/keyword&gt;&lt;keyword&gt;Gene Expression Regulation, Plant&lt;/keyword&gt;&lt;keyword&gt;*Genome, Plant&lt;/keyword&gt;&lt;keyword&gt;Molecular Sequence Data&lt;/keyword&gt;&lt;keyword&gt;Multigene Family&lt;/keyword&gt;&lt;keyword&gt;Phosphorylation&lt;/keyword&gt;&lt;keyword&gt;Sequence Alignment&lt;/keyword&gt;&lt;keyword&gt;Sequence Analysis, Protein&lt;/keyword&gt;&lt;keyword&gt;Transcription Factors/genetics/metabolism&lt;/keyword&gt;&lt;/keywords&gt;&lt;dates&gt;&lt;year&gt;2010&lt;/year&gt;&lt;pub-dates&gt;&lt;date&gt;Mar&lt;/date&gt;&lt;/pub-dates&gt;&lt;/dates&gt;&lt;isbn&gt;1532-2548 (Electronic)&amp;#xD;0032-0889 (Linking)&lt;/isbn&gt;&lt;accession-num&gt;20097792&lt;/accession-num&gt;&lt;urls&gt;&lt;related-urls&gt;&lt;url&gt;https://www.ncbi.nlm.nih.gov/pubmed/20097792&lt;/url&gt;&lt;/related-urls&gt;&lt;/urls&gt;&lt;custom2&gt;PMC2832246&lt;/custom2&gt;&lt;electronic-resource-num&gt;10.1104/pp.109.151704&lt;/electronic-resource-num&gt;&lt;/record&gt;&lt;/Cite&gt;&lt;/EndNote&gt;</w:instrText>
      </w:r>
      <w:r w:rsidR="003D7CAE">
        <w:fldChar w:fldCharType="separate"/>
      </w:r>
      <w:r w:rsidR="003D7CAE">
        <w:rPr>
          <w:noProof/>
        </w:rPr>
        <w:t>(Kagale et al., 2010)</w:t>
      </w:r>
      <w:r w:rsidR="003D7CAE">
        <w:fldChar w:fldCharType="end"/>
      </w:r>
      <w:r w:rsidR="00270B14">
        <w:t xml:space="preserve"> </w:t>
      </w:r>
      <w:r w:rsidRPr="00DA7650">
        <w:t xml:space="preserve">are highlighted with orange and blue backgrounds, respectively. </w:t>
      </w:r>
      <w:r w:rsidR="006D5877" w:rsidRPr="001549D3">
        <w:rPr>
          <w:rFonts w:cs="Times New Roman"/>
          <w:szCs w:val="24"/>
        </w:rPr>
        <w:t xml:space="preserve"> </w:t>
      </w:r>
    </w:p>
    <w:p w14:paraId="505A4ED5" w14:textId="59D87187" w:rsidR="006D5877" w:rsidRPr="001549D3" w:rsidRDefault="00796FCF" w:rsidP="006D5877">
      <w:pPr>
        <w:keepNext/>
        <w:jc w:val="center"/>
        <w:rPr>
          <w:rFonts w:cs="Times New Roman"/>
          <w:szCs w:val="24"/>
        </w:rPr>
      </w:pPr>
      <w:r>
        <w:rPr>
          <w:rFonts w:cs="Times New Roman"/>
          <w:noProof/>
          <w:szCs w:val="24"/>
        </w:rPr>
        <w:lastRenderedPageBreak/>
        <w:drawing>
          <wp:inline distT="0" distB="0" distL="0" distR="0" wp14:anchorId="24D708C1" wp14:editId="1D943B57">
            <wp:extent cx="5589766" cy="7404057"/>
            <wp:effectExtent l="0" t="0" r="0" b="6985"/>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180" cy="7435071"/>
                    </a:xfrm>
                    <a:prstGeom prst="rect">
                      <a:avLst/>
                    </a:prstGeom>
                  </pic:spPr>
                </pic:pic>
              </a:graphicData>
            </a:graphic>
          </wp:inline>
        </w:drawing>
      </w:r>
    </w:p>
    <w:p w14:paraId="338F34B2" w14:textId="5E72E1EA" w:rsidR="006D5877" w:rsidRDefault="006D5877" w:rsidP="006D5877">
      <w:pPr>
        <w:widowControl w:val="0"/>
        <w:rPr>
          <w:b/>
          <w:bCs/>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0001095C" w:rsidRPr="00EF002B">
        <w:rPr>
          <w:b/>
          <w:bCs/>
        </w:rPr>
        <w:t xml:space="preserve">Verification of the </w:t>
      </w:r>
      <w:r w:rsidR="0001095C" w:rsidRPr="001939EE">
        <w:rPr>
          <w:b/>
          <w:bCs/>
          <w:i/>
          <w:iCs/>
        </w:rPr>
        <w:t>RPAD</w:t>
      </w:r>
      <w:r w:rsidR="0001095C" w:rsidRPr="00EF002B">
        <w:rPr>
          <w:b/>
          <w:bCs/>
        </w:rPr>
        <w:t xml:space="preserve"> insertion in GP9-7 by PCR analysis.</w:t>
      </w:r>
    </w:p>
    <w:p w14:paraId="17E5590C" w14:textId="0E0E8166" w:rsidR="006D5877" w:rsidRPr="00244CEF" w:rsidRDefault="00B31959" w:rsidP="006D5877">
      <w:pPr>
        <w:widowControl w:val="0"/>
        <w:rPr>
          <w:b/>
          <w:bCs/>
        </w:rPr>
      </w:pPr>
      <w:r w:rsidRPr="00EF002B">
        <w:t>(</w:t>
      </w:r>
      <w:r>
        <w:t>A</w:t>
      </w:r>
      <w:r w:rsidRPr="00EF002B">
        <w:t xml:space="preserve">) Verification of </w:t>
      </w:r>
      <w:r w:rsidRPr="001939EE">
        <w:rPr>
          <w:i/>
          <w:iCs/>
        </w:rPr>
        <w:t>RPAD</w:t>
      </w:r>
      <w:r w:rsidRPr="00EF002B">
        <w:t xml:space="preserve"> insertion </w:t>
      </w:r>
      <w:r w:rsidR="003D7CAE">
        <w:fldChar w:fldCharType="begin">
          <w:fldData xml:space="preserve">PEVuZE5vdGU+PENpdGU+PEF1dGhvcj5XdTwvQXV0aG9yPjxZZWFyPjIwMTg8L1llYXI+PFJlY051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</w:fldData>
        </w:fldChar>
      </w:r>
      <w:r w:rsidR="003D7CAE">
        <w:instrText xml:space="preserve"> ADDIN EN.CITE </w:instrText>
      </w:r>
      <w:r w:rsidR="003D7CAE">
        <w:fldChar w:fldCharType="begin">
          <w:fldData xml:space="preserve">PEVuZE5vdGU+PENpdGU+PEF1dGhvcj5XdTwvQXV0aG9yPjxZZWFyPjIwMTg8L1llYXI+PFJlY051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</w:fldData>
        </w:fldChar>
      </w:r>
      <w:r w:rsidR="003D7CAE">
        <w:instrText xml:space="preserve"> ADDIN EN.CITE.DATA </w:instrText>
      </w:r>
      <w:r w:rsidR="003D7CAE">
        <w:fldChar w:fldCharType="end"/>
      </w:r>
      <w:r w:rsidR="003D7CAE">
        <w:fldChar w:fldCharType="separate"/>
      </w:r>
      <w:r w:rsidR="003D7CAE">
        <w:rPr>
          <w:noProof/>
        </w:rPr>
        <w:t>(Wu et al., 2018)</w:t>
      </w:r>
      <w:r w:rsidR="003D7CAE">
        <w:fldChar w:fldCharType="end"/>
      </w:r>
      <w:r w:rsidR="00F44283">
        <w:t xml:space="preserve"> </w:t>
      </w:r>
      <w:r w:rsidRPr="00EF002B">
        <w:t xml:space="preserve">by agarose gel electrophoresis of PCR products. The diagram </w:t>
      </w:r>
      <w:r>
        <w:t>B</w:t>
      </w:r>
      <w:r w:rsidRPr="00EF002B">
        <w:t xml:space="preserve"> summarizes PCR primer design and positional relationships among </w:t>
      </w:r>
      <w:r w:rsidRPr="001939EE">
        <w:rPr>
          <w:i/>
          <w:iCs/>
        </w:rPr>
        <w:t>Prog1</w:t>
      </w:r>
      <w:r w:rsidRPr="00EF002B">
        <w:t xml:space="preserve">, the SSR markers and </w:t>
      </w:r>
      <w:r w:rsidRPr="001939EE">
        <w:rPr>
          <w:i/>
          <w:iCs/>
        </w:rPr>
        <w:t>RPAD</w:t>
      </w:r>
      <w:r w:rsidRPr="00EF002B">
        <w:t xml:space="preserve">. The upper bar represents ca. 440 </w:t>
      </w:r>
      <w:proofErr w:type="spellStart"/>
      <w:r w:rsidRPr="00EF002B">
        <w:t>kbp</w:t>
      </w:r>
      <w:proofErr w:type="spellEnd"/>
      <w:r w:rsidRPr="00EF002B">
        <w:t xml:space="preserve"> segment of chromosome 7 located between two SSR markers, RM20973 and RM21002. The lower bar represents a magnified 13.5 </w:t>
      </w:r>
      <w:proofErr w:type="spellStart"/>
      <w:r w:rsidRPr="00EF002B">
        <w:t>kbp</w:t>
      </w:r>
      <w:proofErr w:type="spellEnd"/>
      <w:r w:rsidRPr="00EF002B">
        <w:t xml:space="preserve"> region of chromosome 7 showing the location used for PCR primer design (arrows).</w:t>
      </w:r>
      <w:r w:rsidR="006D5877" w:rsidRPr="001549D3">
        <w:rPr>
          <w:rFonts w:cs="Times New Roman"/>
          <w:szCs w:val="24"/>
        </w:rPr>
        <w:t xml:space="preserve"> </w:t>
      </w:r>
    </w:p>
    <w:p w14:paraId="5CBB18E0" w14:textId="11B14EF3" w:rsidR="006D5877" w:rsidRPr="001549D3" w:rsidRDefault="00F17104" w:rsidP="006D5877">
      <w:pPr>
        <w:keepNext/>
        <w:jc w:val="center"/>
        <w:rPr>
          <w:rFonts w:cs="Times New Roman"/>
          <w:szCs w:val="24"/>
        </w:rPr>
      </w:pPr>
      <w:r>
        <w:rPr>
          <w:rFonts w:cs="Times New Roman"/>
          <w:noProof/>
          <w:szCs w:val="24"/>
        </w:rPr>
        <w:lastRenderedPageBreak/>
        <w:drawing>
          <wp:inline distT="0" distB="0" distL="0" distR="0" wp14:anchorId="03B1175D" wp14:editId="699DB1DF">
            <wp:extent cx="3700172" cy="3695075"/>
            <wp:effectExtent l="0" t="0" r="0" b="635"/>
            <wp:docPr id="15" name="図 1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折れ線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0831" cy="3705719"/>
                    </a:xfrm>
                    <a:prstGeom prst="rect">
                      <a:avLst/>
                    </a:prstGeom>
                  </pic:spPr>
                </pic:pic>
              </a:graphicData>
            </a:graphic>
          </wp:inline>
        </w:drawing>
      </w:r>
    </w:p>
    <w:p w14:paraId="16D380C7" w14:textId="77777777" w:rsidR="00E0009A" w:rsidRDefault="006D5877" w:rsidP="00E0009A">
      <w:pPr>
        <w:widowControl w:val="0"/>
        <w:rPr>
          <w:b/>
          <w:bCs/>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00000179" w:rsidRPr="009827F1">
        <w:rPr>
          <w:b/>
          <w:bCs/>
        </w:rPr>
        <w:t xml:space="preserve">Increase in tiller numbers of </w:t>
      </w:r>
      <w:proofErr w:type="spellStart"/>
      <w:r w:rsidR="00000179" w:rsidRPr="009827F1">
        <w:rPr>
          <w:b/>
          <w:bCs/>
        </w:rPr>
        <w:t>Koshihikari</w:t>
      </w:r>
      <w:proofErr w:type="spellEnd"/>
      <w:r w:rsidR="00000179" w:rsidRPr="009827F1">
        <w:rPr>
          <w:b/>
          <w:bCs/>
        </w:rPr>
        <w:t xml:space="preserve"> and GP9-7 during the early vegetative growth phase.</w:t>
      </w:r>
      <w:r w:rsidRPr="00D002CE">
        <w:rPr>
          <w:b/>
          <w:bCs/>
        </w:rPr>
        <w:t xml:space="preserve"> </w:t>
      </w:r>
    </w:p>
    <w:p w14:paraId="0A6A6578" w14:textId="3309B78E" w:rsidR="00B11B41" w:rsidRPr="00E0009A" w:rsidRDefault="00B11B41" w:rsidP="00E0009A">
      <w:pPr>
        <w:widowControl w:val="0"/>
        <w:rPr>
          <w:b/>
          <w:bCs/>
        </w:rPr>
      </w:pPr>
      <w:r w:rsidRPr="009827F1">
        <w:t xml:space="preserve">Increase in tiller numbers of </w:t>
      </w:r>
      <w:proofErr w:type="spellStart"/>
      <w:r w:rsidRPr="009827F1">
        <w:t>Koshihikari</w:t>
      </w:r>
      <w:proofErr w:type="spellEnd"/>
      <w:r w:rsidRPr="009827F1">
        <w:t xml:space="preserve"> (blue circles</w:t>
      </w:r>
      <w:r>
        <w:t xml:space="preserve"> with broken lines</w:t>
      </w:r>
      <w:r w:rsidRPr="009827F1">
        <w:t>) and GP9-7 (red triangles</w:t>
      </w:r>
      <w:r>
        <w:t xml:space="preserve"> with solid lines</w:t>
      </w:r>
      <w:r w:rsidRPr="009827F1">
        <w:t xml:space="preserve">) during the early vegetative growth phase in the test field in Tsukuba, Japan. </w:t>
      </w:r>
      <w:r>
        <w:t xml:space="preserve">Mean values of 6 plants with SE values are plotted. </w:t>
      </w:r>
      <w:r w:rsidRPr="009827F1">
        <w:t xml:space="preserve">Symbols, ***, ** and * indicate statistically significant differences compared to </w:t>
      </w:r>
      <w:proofErr w:type="spellStart"/>
      <w:r w:rsidRPr="009827F1">
        <w:t>Koshihikari</w:t>
      </w:r>
      <w:proofErr w:type="spellEnd"/>
      <w:r w:rsidRPr="009827F1">
        <w:t xml:space="preserve"> at </w:t>
      </w:r>
      <w:r w:rsidRPr="00FC0A4B">
        <w:rPr>
          <w:i/>
          <w:iCs/>
        </w:rPr>
        <w:t>p</w:t>
      </w:r>
      <w:r w:rsidRPr="009827F1">
        <w:t xml:space="preserve"> &lt; 0.001, </w:t>
      </w:r>
      <w:r w:rsidRPr="00FC0A4B">
        <w:rPr>
          <w:i/>
          <w:iCs/>
        </w:rPr>
        <w:t>p</w:t>
      </w:r>
      <w:r w:rsidRPr="009827F1">
        <w:t xml:space="preserve"> &lt; 0.01 and </w:t>
      </w:r>
      <w:r w:rsidRPr="00FC0A4B">
        <w:rPr>
          <w:i/>
          <w:iCs/>
        </w:rPr>
        <w:t>p</w:t>
      </w:r>
      <w:r w:rsidRPr="009827F1">
        <w:t xml:space="preserve"> &lt; 0.05, respectively, calculated by Welch’s </w:t>
      </w:r>
      <w:r w:rsidRPr="00FC0A4B">
        <w:rPr>
          <w:i/>
          <w:iCs/>
        </w:rPr>
        <w:t>t</w:t>
      </w:r>
      <w:r w:rsidRPr="009827F1">
        <w:t xml:space="preserve">-test. </w:t>
      </w:r>
    </w:p>
    <w:p w14:paraId="007B70AA" w14:textId="5DF204C8" w:rsidR="006D5877" w:rsidRPr="001549D3" w:rsidRDefault="00F17104" w:rsidP="006D5877">
      <w:pPr>
        <w:keepNext/>
        <w:jc w:val="center"/>
        <w:rPr>
          <w:rFonts w:cs="Times New Roman"/>
          <w:szCs w:val="24"/>
        </w:rPr>
      </w:pPr>
      <w:r>
        <w:rPr>
          <w:rFonts w:cs="Times New Roman"/>
          <w:noProof/>
          <w:szCs w:val="24"/>
        </w:rPr>
        <w:lastRenderedPageBreak/>
        <w:drawing>
          <wp:inline distT="0" distB="0" distL="0" distR="0" wp14:anchorId="66D30C7F" wp14:editId="2945ED39">
            <wp:extent cx="3432748" cy="6905325"/>
            <wp:effectExtent l="0" t="0" r="0" b="3810"/>
            <wp:docPr id="16" name="図 1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中程度の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751" cy="7040109"/>
                    </a:xfrm>
                    <a:prstGeom prst="rect">
                      <a:avLst/>
                    </a:prstGeom>
                  </pic:spPr>
                </pic:pic>
              </a:graphicData>
            </a:graphic>
          </wp:inline>
        </w:drawing>
      </w:r>
    </w:p>
    <w:p w14:paraId="1A9DE9E6" w14:textId="4282F920" w:rsidR="006D5877" w:rsidRDefault="006D5877" w:rsidP="006D5877">
      <w:pPr>
        <w:widowControl w:val="0"/>
        <w:rPr>
          <w:b/>
          <w:bCs/>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sidR="0052115F" w:rsidRPr="009827F1">
        <w:rPr>
          <w:b/>
          <w:bCs/>
        </w:rPr>
        <w:t xml:space="preserve">Photographs showing the tiller bases and the gravitropic responses of </w:t>
      </w:r>
      <w:proofErr w:type="spellStart"/>
      <w:r w:rsidR="0052115F" w:rsidRPr="009827F1">
        <w:rPr>
          <w:b/>
          <w:bCs/>
        </w:rPr>
        <w:t>Koshihikari</w:t>
      </w:r>
      <w:proofErr w:type="spellEnd"/>
      <w:r w:rsidR="0052115F" w:rsidRPr="009827F1">
        <w:rPr>
          <w:b/>
          <w:bCs/>
        </w:rPr>
        <w:t xml:space="preserve"> and GP9-7.</w:t>
      </w:r>
    </w:p>
    <w:p w14:paraId="3F4C42DD" w14:textId="2B60CD23" w:rsidR="0024331F" w:rsidRPr="00D25505" w:rsidRDefault="004D306F" w:rsidP="00D25505">
      <w:r w:rsidRPr="009827F1">
        <w:t xml:space="preserve">Photographs </w:t>
      </w:r>
      <w:r>
        <w:t>A</w:t>
      </w:r>
      <w:r w:rsidRPr="009827F1">
        <w:t xml:space="preserve"> showing the cut surfaces of the tiller bases of </w:t>
      </w:r>
      <w:proofErr w:type="spellStart"/>
      <w:r w:rsidRPr="009827F1">
        <w:t>Koshihikari</w:t>
      </w:r>
      <w:proofErr w:type="spellEnd"/>
      <w:r w:rsidRPr="009827F1">
        <w:t xml:space="preserve"> and the GP9-7 at the fully ripe stage. Photographs </w:t>
      </w:r>
      <w:r>
        <w:t>B</w:t>
      </w:r>
      <w:r w:rsidRPr="009827F1">
        <w:t xml:space="preserve"> indicating the gravitropic responses of coleoptiles of </w:t>
      </w:r>
      <w:proofErr w:type="spellStart"/>
      <w:r w:rsidRPr="009827F1">
        <w:t>Koshihikari</w:t>
      </w:r>
      <w:proofErr w:type="spellEnd"/>
      <w:r w:rsidRPr="009827F1">
        <w:t xml:space="preserve"> and GP9-7. Photographs on the right show the gravitropic response of the seedlings leaned horizontally at the midpoint of the incubation. Photographs </w:t>
      </w:r>
      <w:r>
        <w:t>C</w:t>
      </w:r>
      <w:r w:rsidRPr="009827F1">
        <w:t xml:space="preserve"> displaying the gravitropic bend at nodes between the elongated internodes of </w:t>
      </w:r>
      <w:proofErr w:type="spellStart"/>
      <w:r w:rsidRPr="009827F1">
        <w:t>Koshihikari</w:t>
      </w:r>
      <w:proofErr w:type="spellEnd"/>
      <w:r w:rsidRPr="009827F1">
        <w:t xml:space="preserve"> and GP9-7 at the fully ripe stage. All leaf sheaths were removed manually. Arrows point to node positions. In particular, node positions between internode III and IV are indicated by red arrows. Roman numerals identify internode numbers.</w:t>
      </w:r>
    </w:p>
    <w:p w14:paraId="7C6394A3" w14:textId="475560AE" w:rsidR="00042563" w:rsidRDefault="00042563" w:rsidP="00042563">
      <w:pPr>
        <w:widowControl w:val="0"/>
        <w:spacing w:line="480" w:lineRule="auto"/>
        <w:rPr>
          <w:b/>
          <w:bCs/>
          <w:lang w:eastAsia="ja-JP"/>
        </w:rPr>
      </w:pPr>
      <w:r w:rsidRPr="00042563">
        <w:rPr>
          <w:b/>
          <w:bCs/>
          <w:lang w:eastAsia="ja-JP"/>
        </w:rPr>
        <w:lastRenderedPageBreak/>
        <w:t>Supplementary Table 1</w:t>
      </w:r>
      <w:r w:rsidR="009F7907">
        <w:rPr>
          <w:b/>
          <w:bCs/>
          <w:lang w:eastAsia="ja-JP"/>
        </w:rPr>
        <w:t>.</w:t>
      </w:r>
      <w:r>
        <w:rPr>
          <w:rFonts w:hint="eastAsia"/>
          <w:b/>
          <w:bCs/>
          <w:lang w:eastAsia="ja-JP"/>
        </w:rPr>
        <w:t xml:space="preserve"> </w:t>
      </w:r>
      <w:r w:rsidRPr="00042563">
        <w:rPr>
          <w:b/>
          <w:bCs/>
          <w:lang w:eastAsia="ja-JP"/>
        </w:rPr>
        <w:t>A summary of the climate conditions of the fields used in this study.</w:t>
      </w:r>
    </w:p>
    <w:p w14:paraId="223C71B0" w14:textId="7ADB148C" w:rsidR="00042563" w:rsidRDefault="00DA6582" w:rsidP="00042563">
      <w:pPr>
        <w:widowControl w:val="0"/>
        <w:spacing w:line="480" w:lineRule="auto"/>
        <w:rPr>
          <w:b/>
          <w:bCs/>
          <w:lang w:eastAsia="ja-JP"/>
        </w:rPr>
      </w:pPr>
      <w:r>
        <w:rPr>
          <w:b/>
          <w:bCs/>
          <w:noProof/>
          <w:lang w:eastAsia="ja-JP"/>
        </w:rPr>
        <w:drawing>
          <wp:inline distT="0" distB="0" distL="0" distR="0" wp14:anchorId="41B02CEE" wp14:editId="53D7F3AA">
            <wp:extent cx="5992495" cy="4334510"/>
            <wp:effectExtent l="0" t="0" r="1905" b="0"/>
            <wp:docPr id="4" name="図 4"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中程度の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992495" cy="4334510"/>
                    </a:xfrm>
                    <a:prstGeom prst="rect">
                      <a:avLst/>
                    </a:prstGeom>
                  </pic:spPr>
                </pic:pic>
              </a:graphicData>
            </a:graphic>
          </wp:inline>
        </w:drawing>
      </w:r>
    </w:p>
    <w:p w14:paraId="6B09A938" w14:textId="77777777" w:rsidR="009F7907" w:rsidRDefault="009F7907">
      <w:pPr>
        <w:spacing w:before="0" w:after="200" w:line="276" w:lineRule="auto"/>
        <w:rPr>
          <w:b/>
          <w:bCs/>
          <w:lang w:eastAsia="ja-JP"/>
        </w:rPr>
      </w:pPr>
      <w:r>
        <w:rPr>
          <w:b/>
          <w:bCs/>
          <w:lang w:eastAsia="ja-JP"/>
        </w:rPr>
        <w:br w:type="page"/>
      </w:r>
    </w:p>
    <w:p w14:paraId="3D9D3249" w14:textId="5DAD448F" w:rsidR="00601096" w:rsidRDefault="00601096" w:rsidP="00042563">
      <w:pPr>
        <w:widowControl w:val="0"/>
        <w:spacing w:line="480" w:lineRule="auto"/>
        <w:rPr>
          <w:rFonts w:asciiTheme="minorHAnsi" w:hAnsiTheme="minorHAnsi" w:cstheme="minorHAnsi"/>
          <w:b/>
          <w:bCs/>
        </w:rPr>
      </w:pPr>
      <w:r w:rsidRPr="00E700AC">
        <w:rPr>
          <w:b/>
          <w:bCs/>
          <w:lang w:eastAsia="ja-JP"/>
        </w:rPr>
        <w:lastRenderedPageBreak/>
        <w:t xml:space="preserve">Supplementary </w:t>
      </w:r>
      <w:r w:rsidRPr="00A862A3">
        <w:rPr>
          <w:b/>
          <w:bCs/>
        </w:rPr>
        <w:t xml:space="preserve">Table </w:t>
      </w:r>
      <w:r w:rsidR="009F7907">
        <w:rPr>
          <w:b/>
          <w:bCs/>
        </w:rPr>
        <w:t>2</w:t>
      </w:r>
      <w:r w:rsidR="00C220F5">
        <w:rPr>
          <w:b/>
          <w:bCs/>
        </w:rPr>
        <w:t>.</w:t>
      </w:r>
      <w:r w:rsidRPr="00A862A3">
        <w:rPr>
          <w:b/>
          <w:bCs/>
        </w:rPr>
        <w:t xml:space="preserve"> Sequences of PCR primers used in this study.  </w:t>
      </w:r>
    </w:p>
    <w:p w14:paraId="529EFF4C" w14:textId="2B849A32" w:rsidR="00601096" w:rsidRDefault="00D16770" w:rsidP="00601096">
      <w:pPr>
        <w:widowControl w:val="0"/>
        <w:spacing w:line="480" w:lineRule="auto"/>
        <w:rPr>
          <w:rFonts w:asciiTheme="minorHAnsi" w:hAnsiTheme="minorHAnsi" w:cstheme="minorHAnsi"/>
          <w:b/>
          <w:bCs/>
        </w:rPr>
      </w:pPr>
      <w:r>
        <w:rPr>
          <w:rFonts w:asciiTheme="minorHAnsi" w:hAnsiTheme="minorHAnsi" w:cstheme="minorHAnsi"/>
          <w:b/>
          <w:bCs/>
          <w:noProof/>
        </w:rPr>
        <w:drawing>
          <wp:inline distT="0" distB="0" distL="0" distR="0" wp14:anchorId="191C2CDC" wp14:editId="486BDDFA">
            <wp:extent cx="5992495" cy="5898515"/>
            <wp:effectExtent l="0" t="0" r="1905" b="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2495" cy="5898515"/>
                    </a:xfrm>
                    <a:prstGeom prst="rect">
                      <a:avLst/>
                    </a:prstGeom>
                  </pic:spPr>
                </pic:pic>
              </a:graphicData>
            </a:graphic>
          </wp:inline>
        </w:drawing>
      </w:r>
    </w:p>
    <w:p w14:paraId="233BFB0A" w14:textId="77777777" w:rsidR="000871F6" w:rsidRDefault="000871F6">
      <w:pPr>
        <w:spacing w:before="0" w:after="200" w:line="276" w:lineRule="auto"/>
        <w:rPr>
          <w:b/>
          <w:bCs/>
          <w:lang w:eastAsia="ja-JP"/>
        </w:rPr>
      </w:pPr>
      <w:r>
        <w:rPr>
          <w:b/>
          <w:bCs/>
          <w:lang w:eastAsia="ja-JP"/>
        </w:rPr>
        <w:br w:type="page"/>
      </w:r>
    </w:p>
    <w:p w14:paraId="2633E59A" w14:textId="07372F1D" w:rsidR="003C0DEB" w:rsidRDefault="003C0DEB" w:rsidP="003C0DEB">
      <w:pPr>
        <w:widowControl w:val="0"/>
        <w:spacing w:line="480" w:lineRule="auto"/>
        <w:rPr>
          <w:rFonts w:asciiTheme="minorHAnsi" w:hAnsiTheme="minorHAnsi" w:cstheme="minorHAnsi"/>
          <w:b/>
          <w:bCs/>
        </w:rPr>
      </w:pPr>
      <w:r w:rsidRPr="00E700AC">
        <w:rPr>
          <w:b/>
          <w:bCs/>
          <w:lang w:eastAsia="ja-JP"/>
        </w:rPr>
        <w:lastRenderedPageBreak/>
        <w:t xml:space="preserve">Supplementary </w:t>
      </w:r>
      <w:r w:rsidRPr="00A862A3">
        <w:rPr>
          <w:b/>
          <w:bCs/>
        </w:rPr>
        <w:t xml:space="preserve">Table </w:t>
      </w:r>
      <w:r w:rsidR="00E20B07">
        <w:rPr>
          <w:b/>
          <w:bCs/>
        </w:rPr>
        <w:t>3</w:t>
      </w:r>
      <w:r>
        <w:rPr>
          <w:b/>
          <w:bCs/>
        </w:rPr>
        <w:t>.</w:t>
      </w:r>
      <w:r w:rsidRPr="00A862A3">
        <w:rPr>
          <w:b/>
          <w:bCs/>
        </w:rPr>
        <w:t xml:space="preserve"> </w:t>
      </w:r>
      <w:r w:rsidR="001B38F3">
        <w:rPr>
          <w:b/>
          <w:bCs/>
        </w:rPr>
        <w:t>A s</w:t>
      </w:r>
      <w:r w:rsidR="00FA56E6" w:rsidRPr="00FA56E6">
        <w:rPr>
          <w:b/>
          <w:bCs/>
        </w:rPr>
        <w:t xml:space="preserve">ummary of yield survey </w:t>
      </w:r>
      <w:r w:rsidR="00CF73B6">
        <w:rPr>
          <w:b/>
          <w:bCs/>
        </w:rPr>
        <w:t>data</w:t>
      </w:r>
      <w:r w:rsidR="00FA56E6" w:rsidRPr="00FA56E6">
        <w:rPr>
          <w:b/>
          <w:bCs/>
        </w:rPr>
        <w:t xml:space="preserve"> conducted </w:t>
      </w:r>
      <w:r w:rsidR="00080041">
        <w:rPr>
          <w:b/>
          <w:bCs/>
        </w:rPr>
        <w:t>for</w:t>
      </w:r>
      <w:r w:rsidR="00FA56E6" w:rsidRPr="00FA56E6">
        <w:rPr>
          <w:b/>
          <w:bCs/>
        </w:rPr>
        <w:t xml:space="preserve"> multiple years</w:t>
      </w:r>
      <w:r w:rsidRPr="00A862A3">
        <w:rPr>
          <w:b/>
          <w:bCs/>
        </w:rPr>
        <w:t>.</w:t>
      </w:r>
    </w:p>
    <w:p w14:paraId="0E71E10E" w14:textId="7F18DD48" w:rsidR="00E20B07" w:rsidRDefault="00E05F21">
      <w:pPr>
        <w:spacing w:before="0" w:after="200" w:line="276" w:lineRule="auto"/>
        <w:rPr>
          <w:b/>
          <w:bCs/>
          <w:lang w:eastAsia="ja-JP"/>
        </w:rPr>
      </w:pPr>
      <w:r>
        <w:rPr>
          <w:b/>
          <w:bCs/>
          <w:noProof/>
          <w:lang w:eastAsia="ja-JP"/>
        </w:rPr>
        <w:drawing>
          <wp:inline distT="0" distB="0" distL="0" distR="0" wp14:anchorId="77EE178D" wp14:editId="71BDF790">
            <wp:extent cx="5992495" cy="6066155"/>
            <wp:effectExtent l="0" t="0" r="1905" b="4445"/>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992495" cy="6066155"/>
                    </a:xfrm>
                    <a:prstGeom prst="rect">
                      <a:avLst/>
                    </a:prstGeom>
                  </pic:spPr>
                </pic:pic>
              </a:graphicData>
            </a:graphic>
          </wp:inline>
        </w:drawing>
      </w:r>
      <w:r w:rsidR="00E20B07">
        <w:rPr>
          <w:b/>
          <w:bCs/>
          <w:lang w:eastAsia="ja-JP"/>
        </w:rPr>
        <w:br w:type="page"/>
      </w:r>
    </w:p>
    <w:p w14:paraId="723F5239" w14:textId="4E1B755A" w:rsidR="00A61670" w:rsidRPr="0024682A" w:rsidRDefault="00A61670" w:rsidP="00A61670">
      <w:pPr>
        <w:widowControl w:val="0"/>
        <w:spacing w:line="360" w:lineRule="auto"/>
        <w:rPr>
          <w:b/>
          <w:bCs/>
        </w:rPr>
      </w:pPr>
      <w:r w:rsidRPr="00E700AC">
        <w:rPr>
          <w:b/>
          <w:bCs/>
          <w:lang w:eastAsia="ja-JP"/>
        </w:rPr>
        <w:lastRenderedPageBreak/>
        <w:t xml:space="preserve">Supplementary </w:t>
      </w:r>
      <w:r w:rsidRPr="0024682A">
        <w:rPr>
          <w:b/>
          <w:bCs/>
        </w:rPr>
        <w:t>Movie 1</w:t>
      </w:r>
      <w:r w:rsidR="007B6C5A">
        <w:rPr>
          <w:b/>
          <w:bCs/>
        </w:rPr>
        <w:t>.</w:t>
      </w:r>
      <w:r w:rsidRPr="0024682A">
        <w:rPr>
          <w:b/>
          <w:bCs/>
        </w:rPr>
        <w:t xml:space="preserve"> Tiller spreading during the early vegetative growth phase of </w:t>
      </w:r>
      <w:proofErr w:type="spellStart"/>
      <w:r w:rsidRPr="0024682A">
        <w:rPr>
          <w:b/>
          <w:bCs/>
        </w:rPr>
        <w:t>Koshihikari</w:t>
      </w:r>
      <w:proofErr w:type="spellEnd"/>
      <w:r w:rsidRPr="0024682A">
        <w:rPr>
          <w:b/>
          <w:bCs/>
        </w:rPr>
        <w:t xml:space="preserve"> (left) and GP9-7 (right).  </w:t>
      </w:r>
    </w:p>
    <w:p w14:paraId="0242403C" w14:textId="77777777" w:rsidR="00A61670" w:rsidRPr="0024682A" w:rsidRDefault="00A61670" w:rsidP="00A61670">
      <w:pPr>
        <w:widowControl w:val="0"/>
        <w:spacing w:line="360" w:lineRule="auto"/>
      </w:pPr>
      <w:r w:rsidRPr="0024682A">
        <w:t xml:space="preserve">For the video, 31 days was compressed into 8 seconds. The black triangles on the backboard are spaced 10 cm apart. </w:t>
      </w:r>
    </w:p>
    <w:p w14:paraId="42A6E416" w14:textId="77777777" w:rsidR="00A61670" w:rsidRDefault="00A61670" w:rsidP="00A61670">
      <w:pPr>
        <w:widowControl w:val="0"/>
        <w:spacing w:line="360" w:lineRule="auto"/>
        <w:rPr>
          <w:b/>
          <w:bCs/>
        </w:rPr>
      </w:pPr>
    </w:p>
    <w:p w14:paraId="1788F2DE" w14:textId="77777777" w:rsidR="00A61670" w:rsidRPr="0024682A" w:rsidRDefault="00A61670" w:rsidP="00A61670">
      <w:pPr>
        <w:widowControl w:val="0"/>
        <w:spacing w:line="360" w:lineRule="auto"/>
        <w:rPr>
          <w:b/>
          <w:bCs/>
        </w:rPr>
      </w:pPr>
    </w:p>
    <w:p w14:paraId="7BD9F514" w14:textId="6D8F97D1" w:rsidR="00A61670" w:rsidRPr="0024682A" w:rsidRDefault="00A61670" w:rsidP="00A61670">
      <w:pPr>
        <w:widowControl w:val="0"/>
        <w:spacing w:line="360" w:lineRule="auto"/>
        <w:rPr>
          <w:b/>
          <w:bCs/>
        </w:rPr>
      </w:pPr>
      <w:r w:rsidRPr="00E700AC">
        <w:rPr>
          <w:b/>
          <w:bCs/>
          <w:lang w:eastAsia="ja-JP"/>
        </w:rPr>
        <w:t xml:space="preserve">Supplementary </w:t>
      </w:r>
      <w:r w:rsidRPr="0024682A">
        <w:rPr>
          <w:b/>
          <w:bCs/>
        </w:rPr>
        <w:t>Movie 2</w:t>
      </w:r>
      <w:r w:rsidR="007B6C5A">
        <w:rPr>
          <w:b/>
          <w:bCs/>
        </w:rPr>
        <w:t>.</w:t>
      </w:r>
      <w:r w:rsidRPr="0024682A">
        <w:rPr>
          <w:b/>
          <w:bCs/>
        </w:rPr>
        <w:t xml:space="preserve"> Tiller closing during the transition from the vegetative to the reproductive growth phases of </w:t>
      </w:r>
      <w:proofErr w:type="spellStart"/>
      <w:r w:rsidRPr="0024682A">
        <w:rPr>
          <w:b/>
          <w:bCs/>
        </w:rPr>
        <w:t>Koshihikari</w:t>
      </w:r>
      <w:proofErr w:type="spellEnd"/>
      <w:r w:rsidRPr="0024682A">
        <w:rPr>
          <w:b/>
          <w:bCs/>
        </w:rPr>
        <w:t xml:space="preserve"> (left) and GP9-7 (right).  </w:t>
      </w:r>
    </w:p>
    <w:p w14:paraId="739BF693" w14:textId="77777777" w:rsidR="00A61670" w:rsidRPr="0024682A" w:rsidRDefault="00A61670" w:rsidP="00A61670">
      <w:pPr>
        <w:widowControl w:val="0"/>
        <w:spacing w:line="360" w:lineRule="auto"/>
      </w:pPr>
      <w:r w:rsidRPr="0024682A">
        <w:t>For the video, 39 days was compressed into 10 seconds. The black triangles on the backboard are spaced 10 cm apart.</w:t>
      </w:r>
    </w:p>
    <w:p w14:paraId="17E6F881" w14:textId="77777777" w:rsidR="003D7CAE" w:rsidRDefault="003D7CAE" w:rsidP="00654E8F">
      <w:pPr>
        <w:spacing w:before="240"/>
      </w:pPr>
    </w:p>
    <w:p w14:paraId="0BFDF182" w14:textId="08F0C07F" w:rsidR="003D7CAE" w:rsidRPr="003D7CAE" w:rsidRDefault="003D7CAE" w:rsidP="00654E8F">
      <w:pPr>
        <w:spacing w:before="240"/>
        <w:rPr>
          <w:b/>
          <w:bCs/>
          <w:lang w:eastAsia="ja-JP"/>
        </w:rPr>
      </w:pPr>
      <w:r w:rsidRPr="003D7CAE">
        <w:rPr>
          <w:rFonts w:hint="eastAsia"/>
          <w:b/>
          <w:bCs/>
          <w:lang w:eastAsia="ja-JP"/>
        </w:rPr>
        <w:t>R</w:t>
      </w:r>
      <w:r w:rsidRPr="003D7CAE">
        <w:rPr>
          <w:b/>
          <w:bCs/>
          <w:lang w:eastAsia="ja-JP"/>
        </w:rPr>
        <w:t>eferences</w:t>
      </w:r>
    </w:p>
    <w:p w14:paraId="7D639C8A" w14:textId="7E6FE735" w:rsidR="00577705" w:rsidRPr="00577705" w:rsidRDefault="003D7CAE" w:rsidP="00577705">
      <w:pPr>
        <w:pStyle w:val="EndNoteBibliography"/>
        <w:spacing w:after="0"/>
        <w:ind w:left="720" w:hanging="720"/>
      </w:pPr>
      <w:r>
        <w:fldChar w:fldCharType="begin"/>
      </w:r>
      <w:r>
        <w:instrText xml:space="preserve"> ADDIN EN.REFLIST </w:instrText>
      </w:r>
      <w:r>
        <w:fldChar w:fldCharType="separate"/>
      </w:r>
      <w:r w:rsidR="00577705" w:rsidRPr="00577705">
        <w:t>Agarwal, P., Arora, R., Ray, S., Singh, A.K., Singh, V.P., Takatsuji, H., et al. (2007). Genome-wide identification of C</w:t>
      </w:r>
      <w:r w:rsidR="00577705" w:rsidRPr="007F23A2">
        <w:rPr>
          <w:vertAlign w:val="subscript"/>
        </w:rPr>
        <w:t>2</w:t>
      </w:r>
      <w:r w:rsidR="00577705" w:rsidRPr="00577705">
        <w:t>H</w:t>
      </w:r>
      <w:r w:rsidR="00577705" w:rsidRPr="007F23A2">
        <w:rPr>
          <w:vertAlign w:val="subscript"/>
        </w:rPr>
        <w:t>2</w:t>
      </w:r>
      <w:r w:rsidR="00577705" w:rsidRPr="00577705">
        <w:t xml:space="preserve"> zinc-finger gene family in rice and their phylogeny and expression analysis. </w:t>
      </w:r>
      <w:r w:rsidR="00577705" w:rsidRPr="00577705">
        <w:rPr>
          <w:i/>
        </w:rPr>
        <w:t>Plant Mol. Biol.</w:t>
      </w:r>
      <w:r w:rsidR="00577705" w:rsidRPr="00577705">
        <w:t xml:space="preserve"> 65</w:t>
      </w:r>
      <w:r w:rsidR="00577705" w:rsidRPr="00577705">
        <w:rPr>
          <w:b/>
        </w:rPr>
        <w:t>,</w:t>
      </w:r>
      <w:r w:rsidR="00577705" w:rsidRPr="00577705">
        <w:t xml:space="preserve"> 467-485. doi: 10.1007/s11103-007-9199-y.</w:t>
      </w:r>
    </w:p>
    <w:p w14:paraId="1C5E30D6" w14:textId="77777777" w:rsidR="00577705" w:rsidRPr="00577705" w:rsidRDefault="00577705" w:rsidP="00577705">
      <w:pPr>
        <w:pStyle w:val="EndNoteBibliography"/>
        <w:spacing w:after="0"/>
        <w:ind w:left="720" w:hanging="720"/>
      </w:pPr>
      <w:r w:rsidRPr="00577705">
        <w:t xml:space="preserve">Hirabayashi, H., Sato, H., Nonoue, Y., Kuno-Takemoto, Y., Takeuchi, Y., Kato, H., et al. (2010). Development of introgression lines derived from </w:t>
      </w:r>
      <w:r w:rsidRPr="00577705">
        <w:rPr>
          <w:i/>
        </w:rPr>
        <w:t>Oryza rufipogon</w:t>
      </w:r>
      <w:r w:rsidRPr="00577705">
        <w:t xml:space="preserve"> and </w:t>
      </w:r>
      <w:r w:rsidRPr="00577705">
        <w:rPr>
          <w:i/>
        </w:rPr>
        <w:t>O. glumaepatula</w:t>
      </w:r>
      <w:r w:rsidRPr="00577705">
        <w:t xml:space="preserve"> in the genetic background of </w:t>
      </w:r>
      <w:r w:rsidRPr="00577705">
        <w:rPr>
          <w:i/>
        </w:rPr>
        <w:t>japonica</w:t>
      </w:r>
      <w:r w:rsidRPr="00577705">
        <w:t xml:space="preserve"> cultivated rice (</w:t>
      </w:r>
      <w:r w:rsidRPr="00577705">
        <w:rPr>
          <w:i/>
        </w:rPr>
        <w:t>O. sativa</w:t>
      </w:r>
      <w:r w:rsidRPr="00577705">
        <w:t xml:space="preserve"> L.) and evaluation of resistance to rice blast. </w:t>
      </w:r>
      <w:r w:rsidRPr="00577705">
        <w:rPr>
          <w:i/>
        </w:rPr>
        <w:t>Breed. Sci.</w:t>
      </w:r>
      <w:r w:rsidRPr="00577705">
        <w:t xml:space="preserve"> 60</w:t>
      </w:r>
      <w:r w:rsidRPr="00577705">
        <w:rPr>
          <w:b/>
        </w:rPr>
        <w:t>,</w:t>
      </w:r>
      <w:r w:rsidRPr="00577705">
        <w:t xml:space="preserve"> 604-612. doi: 10.1270/jsbbs.60.604.</w:t>
      </w:r>
    </w:p>
    <w:p w14:paraId="75F25B26" w14:textId="75B135F1" w:rsidR="00577705" w:rsidRPr="00577705" w:rsidRDefault="00577705" w:rsidP="00577705">
      <w:pPr>
        <w:pStyle w:val="EndNoteBibliography"/>
        <w:spacing w:after="0"/>
        <w:ind w:left="720" w:hanging="720"/>
      </w:pPr>
      <w:r w:rsidRPr="00577705">
        <w:t xml:space="preserve">Kagale, S., Links, M.G., and Rozwadowski, K. (2010). Genome-wide analysis of ethylene-responsive element binding factor-associated amphiphilic repression motif-containing transcriptional regulators in Arabidopsis. </w:t>
      </w:r>
      <w:r w:rsidRPr="00577705">
        <w:rPr>
          <w:i/>
        </w:rPr>
        <w:t>Plant Physiol.</w:t>
      </w:r>
      <w:r w:rsidRPr="00577705">
        <w:t xml:space="preserve"> 152</w:t>
      </w:r>
      <w:r w:rsidRPr="00577705">
        <w:rPr>
          <w:b/>
        </w:rPr>
        <w:t>,</w:t>
      </w:r>
      <w:r w:rsidRPr="00577705">
        <w:t xml:space="preserve"> 1109-1134. doi: 10.1104/pp.109.151704.</w:t>
      </w:r>
    </w:p>
    <w:p w14:paraId="76595ED1" w14:textId="39CD07F5" w:rsidR="00577705" w:rsidRPr="00577705" w:rsidRDefault="00577705" w:rsidP="00577705">
      <w:pPr>
        <w:pStyle w:val="EndNoteBibliography"/>
        <w:ind w:left="720" w:hanging="720"/>
      </w:pPr>
      <w:r w:rsidRPr="00577705">
        <w:t xml:space="preserve">Wu, Y., Zhao, S., Li, X., Zhang, B., Jiang, L., Tang, Y., et al. (2018). Deletions linked to </w:t>
      </w:r>
      <w:r w:rsidRPr="00E9008B">
        <w:rPr>
          <w:i/>
          <w:iCs/>
        </w:rPr>
        <w:t>PROG1</w:t>
      </w:r>
      <w:r w:rsidRPr="00577705">
        <w:t xml:space="preserve"> gene participate in plant architecture domestication in Asian and African rice. </w:t>
      </w:r>
      <w:r w:rsidRPr="00577705">
        <w:rPr>
          <w:i/>
        </w:rPr>
        <w:t>Nat. Commun.</w:t>
      </w:r>
      <w:r w:rsidRPr="00577705">
        <w:t xml:space="preserve"> 9</w:t>
      </w:r>
      <w:r w:rsidRPr="00577705">
        <w:rPr>
          <w:b/>
        </w:rPr>
        <w:t>,</w:t>
      </w:r>
      <w:r w:rsidRPr="00577705">
        <w:t xml:space="preserve"> 4157. doi: 10.1038/s41467-018-06509-2.</w:t>
      </w:r>
    </w:p>
    <w:p w14:paraId="7B65BC41" w14:textId="2288D4D3" w:rsidR="00DE23E8" w:rsidRPr="001549D3" w:rsidRDefault="003D7CAE" w:rsidP="00654E8F">
      <w:pPr>
        <w:spacing w:before="240"/>
      </w:pPr>
      <w:r>
        <w:fldChar w:fldCharType="end"/>
      </w:r>
    </w:p>
    <w:sectPr w:rsidR="00DE23E8" w:rsidRPr="001549D3" w:rsidSect="00E87219">
      <w:headerReference w:type="even" r:id="rId17"/>
      <w:footerReference w:type="even" r:id="rId18"/>
      <w:footerReference w:type="default" r:id="rId19"/>
      <w:headerReference w:type="first" r:id="rId20"/>
      <w:pgSz w:w="11900" w:h="16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F8CA" w14:textId="77777777" w:rsidR="00577849" w:rsidRDefault="00577849" w:rsidP="00117666">
      <w:pPr>
        <w:spacing w:after="0"/>
      </w:pPr>
      <w:r>
        <w:separator/>
      </w:r>
    </w:p>
  </w:endnote>
  <w:endnote w:type="continuationSeparator" w:id="0">
    <w:p w14:paraId="5F257570" w14:textId="77777777" w:rsidR="00577849" w:rsidRDefault="00577849" w:rsidP="00117666">
      <w:pPr>
        <w:spacing w:after="0"/>
      </w:pPr>
      <w:r>
        <w:continuationSeparator/>
      </w:r>
    </w:p>
  </w:endnote>
  <w:endnote w:type="continuationNotice" w:id="1">
    <w:p w14:paraId="03E58AC2" w14:textId="77777777" w:rsidR="00577849" w:rsidRDefault="005778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392FDF"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92FD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392FDF"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92FD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434D" w14:textId="77777777" w:rsidR="00577849" w:rsidRDefault="00577849" w:rsidP="00117666">
      <w:pPr>
        <w:spacing w:after="0"/>
      </w:pPr>
      <w:r>
        <w:separator/>
      </w:r>
    </w:p>
  </w:footnote>
  <w:footnote w:type="continuationSeparator" w:id="0">
    <w:p w14:paraId="2350003C" w14:textId="77777777" w:rsidR="00577849" w:rsidRDefault="00577849" w:rsidP="00117666">
      <w:pPr>
        <w:spacing w:after="0"/>
      </w:pPr>
      <w:r>
        <w:continuationSeparator/>
      </w:r>
    </w:p>
  </w:footnote>
  <w:footnote w:type="continuationNotice" w:id="1">
    <w:p w14:paraId="7716B92E" w14:textId="77777777" w:rsidR="00577849" w:rsidRDefault="0057784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392FD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392FDF"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spelling="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5w5xed99fz4ew5ezvepacsdrvfx9e2zdp&quot;&gt;Prog1_2020_1&lt;record-ids&gt;&lt;item&gt;5&lt;/item&gt;&lt;item&gt;8&lt;/item&gt;&lt;item&gt;44&lt;/item&gt;&lt;item&gt;45&lt;/item&gt;&lt;/record-ids&gt;&lt;/item&gt;&lt;/Libraries&gt;"/>
  </w:docVars>
  <w:rsids>
    <w:rsidRoot w:val="00ED20B5"/>
    <w:rsid w:val="00000179"/>
    <w:rsid w:val="0001095C"/>
    <w:rsid w:val="00013113"/>
    <w:rsid w:val="0001436A"/>
    <w:rsid w:val="00034304"/>
    <w:rsid w:val="00035434"/>
    <w:rsid w:val="000406E2"/>
    <w:rsid w:val="00042563"/>
    <w:rsid w:val="00052A14"/>
    <w:rsid w:val="00077D53"/>
    <w:rsid w:val="00080041"/>
    <w:rsid w:val="000871F6"/>
    <w:rsid w:val="00090DF4"/>
    <w:rsid w:val="000C0C52"/>
    <w:rsid w:val="000D0C70"/>
    <w:rsid w:val="000E17FE"/>
    <w:rsid w:val="000F0BF7"/>
    <w:rsid w:val="00105FD9"/>
    <w:rsid w:val="00117666"/>
    <w:rsid w:val="00154147"/>
    <w:rsid w:val="001549D3"/>
    <w:rsid w:val="00160065"/>
    <w:rsid w:val="00177D84"/>
    <w:rsid w:val="00196EB1"/>
    <w:rsid w:val="001A74AA"/>
    <w:rsid w:val="001B38F3"/>
    <w:rsid w:val="0023087C"/>
    <w:rsid w:val="0024331F"/>
    <w:rsid w:val="00244CEF"/>
    <w:rsid w:val="00253E4D"/>
    <w:rsid w:val="00267D18"/>
    <w:rsid w:val="00270B14"/>
    <w:rsid w:val="00274347"/>
    <w:rsid w:val="002868E2"/>
    <w:rsid w:val="002869C3"/>
    <w:rsid w:val="002936E4"/>
    <w:rsid w:val="002B4A57"/>
    <w:rsid w:val="002C74CA"/>
    <w:rsid w:val="002F4300"/>
    <w:rsid w:val="0031150E"/>
    <w:rsid w:val="003123F4"/>
    <w:rsid w:val="00331A90"/>
    <w:rsid w:val="003544FB"/>
    <w:rsid w:val="00392FDF"/>
    <w:rsid w:val="003C0DEB"/>
    <w:rsid w:val="003D2F2D"/>
    <w:rsid w:val="003D7CAE"/>
    <w:rsid w:val="00401590"/>
    <w:rsid w:val="00424DE6"/>
    <w:rsid w:val="00447801"/>
    <w:rsid w:val="00452E9C"/>
    <w:rsid w:val="004735C8"/>
    <w:rsid w:val="004947A6"/>
    <w:rsid w:val="004961FF"/>
    <w:rsid w:val="004C3BFE"/>
    <w:rsid w:val="004D306F"/>
    <w:rsid w:val="004F1301"/>
    <w:rsid w:val="004F5905"/>
    <w:rsid w:val="00517A89"/>
    <w:rsid w:val="0052115F"/>
    <w:rsid w:val="005250F2"/>
    <w:rsid w:val="0055773E"/>
    <w:rsid w:val="00577705"/>
    <w:rsid w:val="00577849"/>
    <w:rsid w:val="00593EEA"/>
    <w:rsid w:val="005A5EEE"/>
    <w:rsid w:val="005E3B26"/>
    <w:rsid w:val="00601096"/>
    <w:rsid w:val="006375C7"/>
    <w:rsid w:val="00654E8F"/>
    <w:rsid w:val="00660D05"/>
    <w:rsid w:val="006820B1"/>
    <w:rsid w:val="006B7D14"/>
    <w:rsid w:val="006D5877"/>
    <w:rsid w:val="006D67FA"/>
    <w:rsid w:val="00701727"/>
    <w:rsid w:val="007019B8"/>
    <w:rsid w:val="00704FAC"/>
    <w:rsid w:val="0070566C"/>
    <w:rsid w:val="00714C50"/>
    <w:rsid w:val="00725A7D"/>
    <w:rsid w:val="007501BE"/>
    <w:rsid w:val="00790BB3"/>
    <w:rsid w:val="00796FCF"/>
    <w:rsid w:val="007A2ABB"/>
    <w:rsid w:val="007B33A8"/>
    <w:rsid w:val="007B6C5A"/>
    <w:rsid w:val="007C206C"/>
    <w:rsid w:val="007F23A2"/>
    <w:rsid w:val="00802EF1"/>
    <w:rsid w:val="008128F2"/>
    <w:rsid w:val="00817DD6"/>
    <w:rsid w:val="0083759F"/>
    <w:rsid w:val="00885156"/>
    <w:rsid w:val="009151AA"/>
    <w:rsid w:val="00924916"/>
    <w:rsid w:val="0093429D"/>
    <w:rsid w:val="00943573"/>
    <w:rsid w:val="0095293C"/>
    <w:rsid w:val="00964134"/>
    <w:rsid w:val="00970F7D"/>
    <w:rsid w:val="00992E17"/>
    <w:rsid w:val="00994A3D"/>
    <w:rsid w:val="009C2B12"/>
    <w:rsid w:val="009F4A19"/>
    <w:rsid w:val="009F7907"/>
    <w:rsid w:val="00A174D9"/>
    <w:rsid w:val="00A37B83"/>
    <w:rsid w:val="00A61670"/>
    <w:rsid w:val="00A63C11"/>
    <w:rsid w:val="00A858CA"/>
    <w:rsid w:val="00AA4D24"/>
    <w:rsid w:val="00AB2403"/>
    <w:rsid w:val="00AB6715"/>
    <w:rsid w:val="00AC5806"/>
    <w:rsid w:val="00B11B41"/>
    <w:rsid w:val="00B131A8"/>
    <w:rsid w:val="00B1671E"/>
    <w:rsid w:val="00B25EB8"/>
    <w:rsid w:val="00B31959"/>
    <w:rsid w:val="00B37F4D"/>
    <w:rsid w:val="00BC2525"/>
    <w:rsid w:val="00C220F5"/>
    <w:rsid w:val="00C52A7B"/>
    <w:rsid w:val="00C56BAF"/>
    <w:rsid w:val="00C61DC4"/>
    <w:rsid w:val="00C679AA"/>
    <w:rsid w:val="00C73E6C"/>
    <w:rsid w:val="00C75972"/>
    <w:rsid w:val="00CB6583"/>
    <w:rsid w:val="00CC0A66"/>
    <w:rsid w:val="00CD066B"/>
    <w:rsid w:val="00CE4FEE"/>
    <w:rsid w:val="00CF1015"/>
    <w:rsid w:val="00CF73B6"/>
    <w:rsid w:val="00D060CF"/>
    <w:rsid w:val="00D16770"/>
    <w:rsid w:val="00D25505"/>
    <w:rsid w:val="00DA6582"/>
    <w:rsid w:val="00DB59C3"/>
    <w:rsid w:val="00DC259A"/>
    <w:rsid w:val="00DD17EF"/>
    <w:rsid w:val="00DE23E8"/>
    <w:rsid w:val="00E0009A"/>
    <w:rsid w:val="00E05F21"/>
    <w:rsid w:val="00E1461C"/>
    <w:rsid w:val="00E20B07"/>
    <w:rsid w:val="00E52377"/>
    <w:rsid w:val="00E537AD"/>
    <w:rsid w:val="00E64E17"/>
    <w:rsid w:val="00E7270D"/>
    <w:rsid w:val="00E866C9"/>
    <w:rsid w:val="00E871D6"/>
    <w:rsid w:val="00E87219"/>
    <w:rsid w:val="00E9008B"/>
    <w:rsid w:val="00EA3D3C"/>
    <w:rsid w:val="00EC090A"/>
    <w:rsid w:val="00EC5824"/>
    <w:rsid w:val="00ED20B5"/>
    <w:rsid w:val="00ED785E"/>
    <w:rsid w:val="00F14D2C"/>
    <w:rsid w:val="00F17104"/>
    <w:rsid w:val="00F40EA4"/>
    <w:rsid w:val="00F44283"/>
    <w:rsid w:val="00F4493A"/>
    <w:rsid w:val="00F46900"/>
    <w:rsid w:val="00F54571"/>
    <w:rsid w:val="00F61D89"/>
    <w:rsid w:val="00F96CF9"/>
    <w:rsid w:val="00FA2F56"/>
    <w:rsid w:val="00FA56E6"/>
    <w:rsid w:val="00FC47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6DB94A"/>
  <w15:docId w15:val="{5068DC3B-07D4-4EB2-8D03-D47DA8E5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customStyle="1" w:styleId="EndNoteBibliographyTitle">
    <w:name w:val="EndNote Bibliography Title"/>
    <w:basedOn w:val="a0"/>
    <w:link w:val="EndNoteBibliographyTitle0"/>
    <w:rsid w:val="003D7CAE"/>
    <w:pPr>
      <w:spacing w:after="0"/>
      <w:jc w:val="center"/>
    </w:pPr>
    <w:rPr>
      <w:rFonts w:cs="Times New Roman"/>
      <w:noProof/>
    </w:rPr>
  </w:style>
  <w:style w:type="character" w:customStyle="1" w:styleId="EndNoteBibliographyTitle0">
    <w:name w:val="EndNote Bibliography Title (文字)"/>
    <w:basedOn w:val="a1"/>
    <w:link w:val="EndNoteBibliographyTitle"/>
    <w:rsid w:val="003D7CAE"/>
    <w:rPr>
      <w:rFonts w:ascii="Times New Roman" w:hAnsi="Times New Roman" w:cs="Times New Roman"/>
      <w:noProof/>
      <w:sz w:val="24"/>
    </w:rPr>
  </w:style>
  <w:style w:type="paragraph" w:customStyle="1" w:styleId="EndNoteBibliography">
    <w:name w:val="EndNote Bibliography"/>
    <w:basedOn w:val="a0"/>
    <w:link w:val="EndNoteBibliography0"/>
    <w:rsid w:val="003D7CAE"/>
    <w:rPr>
      <w:rFonts w:cs="Times New Roman"/>
      <w:noProof/>
    </w:rPr>
  </w:style>
  <w:style w:type="character" w:customStyle="1" w:styleId="EndNoteBibliography0">
    <w:name w:val="EndNote Bibliography (文字)"/>
    <w:basedOn w:val="a1"/>
    <w:link w:val="EndNoteBibliography"/>
    <w:rsid w:val="003D7CAE"/>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1391636">
      <w:bodyDiv w:val="1"/>
      <w:marLeft w:val="0"/>
      <w:marRight w:val="0"/>
      <w:marTop w:val="0"/>
      <w:marBottom w:val="0"/>
      <w:divBdr>
        <w:top w:val="none" w:sz="0" w:space="0" w:color="auto"/>
        <w:left w:val="none" w:sz="0" w:space="0" w:color="auto"/>
        <w:bottom w:val="none" w:sz="0" w:space="0" w:color="auto"/>
        <w:right w:val="none" w:sz="0" w:space="0" w:color="auto"/>
      </w:divBdr>
    </w:div>
    <w:div w:id="1909534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40</TotalTime>
  <Pages>10</Pages>
  <Words>1990</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稲垣　言要</cp:lastModifiedBy>
  <cp:revision>38</cp:revision>
  <cp:lastPrinted>2013-10-03T12:51:00Z</cp:lastPrinted>
  <dcterms:created xsi:type="dcterms:W3CDTF">2021-10-11T15:12:00Z</dcterms:created>
  <dcterms:modified xsi:type="dcterms:W3CDTF">2021-10-12T05:29:00Z</dcterms:modified>
</cp:coreProperties>
</file>