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49BF0" w14:textId="77777777" w:rsidR="001C0C9B" w:rsidRDefault="007E72DC">
      <w:r>
        <w:rPr>
          <w:rFonts w:hint="eastAsia"/>
          <w:noProof/>
        </w:rPr>
        <w:drawing>
          <wp:anchor distT="0" distB="0" distL="114300" distR="114300" simplePos="0" relativeHeight="251659264" behindDoc="0" locked="0" layoutInCell="1" allowOverlap="1" wp14:anchorId="6357BD61" wp14:editId="38092DB9">
            <wp:simplePos x="0" y="0"/>
            <wp:positionH relativeFrom="column">
              <wp:posOffset>-521970</wp:posOffset>
            </wp:positionH>
            <wp:positionV relativeFrom="paragraph">
              <wp:posOffset>46355</wp:posOffset>
            </wp:positionV>
            <wp:extent cx="6443345" cy="2049780"/>
            <wp:effectExtent l="0" t="0" r="8255" b="7620"/>
            <wp:wrapSquare wrapText="bothSides"/>
            <wp:docPr id="1" name="图片 1" descr="敏感性分析-20211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敏感性分析-20211018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43345" cy="2049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5CF0DF8" w14:textId="77777777" w:rsidR="001C0C9B" w:rsidRDefault="007E72DC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Supplement Fig. 1:  Effect of individual studies on the combined HR, including TTV for PFS (A), the TTV for OS (B), and the TL-SSTR for PFS (C). HR: hazard ratio; TTV: total tumor volume; TL-SSTR: total-lesion somatostatin receptors expression OS: </w:t>
      </w:r>
      <w:r>
        <w:rPr>
          <w:rFonts w:ascii="Times New Roman" w:hAnsi="Times New Roman" w:cs="Times New Roman"/>
          <w:sz w:val="24"/>
        </w:rPr>
        <w:t>overall survival; PFS: progression-free survival.</w:t>
      </w:r>
    </w:p>
    <w:sectPr w:rsidR="001C0C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4D923E42"/>
    <w:rsid w:val="001C0C9B"/>
    <w:rsid w:val="007E72DC"/>
    <w:rsid w:val="0EAB167D"/>
    <w:rsid w:val="2DC10847"/>
    <w:rsid w:val="398C5A7D"/>
    <w:rsid w:val="4D923E42"/>
    <w:rsid w:val="6AC66C1E"/>
    <w:rsid w:val="7E3F1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45857C"/>
  <w15:docId w15:val="{43E6B2FB-397B-4CA3-8574-9FEB6734E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Tom Flint</cp:lastModifiedBy>
  <cp:revision>2</cp:revision>
  <dcterms:created xsi:type="dcterms:W3CDTF">2021-11-15T16:27:00Z</dcterms:created>
  <dcterms:modified xsi:type="dcterms:W3CDTF">2021-11-15T16:27:00Z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CE90E0C72D5E45E584725CF74F7089D2</vt:lpwstr>
  </property>
</Properties>
</file>