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C253575" w14:textId="1D0CADE8" w:rsidR="00AF4101" w:rsidRDefault="00AF4101" w:rsidP="00AF4101">
      <w:pPr>
        <w:spacing w:line="480" w:lineRule="auto"/>
        <w:ind w:left="720"/>
        <w:rPr>
          <w:rFonts w:asciiTheme="minorBidi" w:eastAsia="Calibri" w:hAnsiTheme="minorBidi"/>
          <w:i/>
          <w:iCs/>
          <w:szCs w:val="24"/>
        </w:rPr>
      </w:pPr>
      <w:r w:rsidRPr="00143585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1811" wp14:editId="2D4E1FD1">
                <wp:simplePos x="0" y="0"/>
                <wp:positionH relativeFrom="margin">
                  <wp:posOffset>-714375</wp:posOffset>
                </wp:positionH>
                <wp:positionV relativeFrom="paragraph">
                  <wp:posOffset>428625</wp:posOffset>
                </wp:positionV>
                <wp:extent cx="7371715" cy="6667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71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15C8C" w14:textId="77777777" w:rsidR="00AF4101" w:rsidRPr="005A2DF5" w:rsidRDefault="00AF4101" w:rsidP="00AF41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2D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S1. Variant’s effect. </w:t>
                            </w:r>
                            <w:r w:rsidRPr="005A2DF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 xml:space="preserve">Summarized variant’s (SNPs and InDels) effect comparing between </w:t>
                            </w:r>
                            <w:r w:rsidRPr="005A2DF5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P. arabica </w:t>
                            </w:r>
                            <w:r w:rsidRPr="005A2DF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 xml:space="preserve">and U.E.F. All data shown analyzed by the SnpEff program (SnpEff 5.0d version). Only SNPs with DP&gt;20 were analyzed. </w:t>
                            </w:r>
                          </w:p>
                          <w:p w14:paraId="2EF81CF5" w14:textId="77777777" w:rsidR="00AF4101" w:rsidRPr="001C586E" w:rsidRDefault="00AF4101" w:rsidP="00AF41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1C586E">
                              <w:rPr>
                                <w:rFonts w:asciiTheme="minorBidi" w:hAnsiTheme="minorBidi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181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56.25pt;margin-top:33.75pt;width:58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" filled="f" stroked="f">
                <v:textbox>
                  <w:txbxContent>
                    <w:p w14:paraId="03715C8C" w14:textId="77777777" w:rsidR="00AF4101" w:rsidRPr="005A2DF5" w:rsidRDefault="00AF4101" w:rsidP="00AF41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</w:rPr>
                      </w:pPr>
                      <w:r w:rsidRPr="005A2DF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S1. Variant’s effect. </w:t>
                      </w:r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Summarized variant’s (SNPs and </w:t>
                      </w:r>
                      <w:proofErr w:type="spellStart"/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InDels</w:t>
                      </w:r>
                      <w:proofErr w:type="spellEnd"/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) effect comparing between </w:t>
                      </w:r>
                      <w:r w:rsidRPr="005A2DF5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P. arabica </w:t>
                      </w:r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and U.E.F. All data shown analyzed by the </w:t>
                      </w:r>
                      <w:proofErr w:type="spellStart"/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SnpEff</w:t>
                      </w:r>
                      <w:proofErr w:type="spellEnd"/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 program (</w:t>
                      </w:r>
                      <w:proofErr w:type="spellStart"/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SnpEff</w:t>
                      </w:r>
                      <w:proofErr w:type="spellEnd"/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 5.0d version). Only SNPs with DP&gt;20 were analyzed. </w:t>
                      </w:r>
                    </w:p>
                    <w:p w14:paraId="2EF81CF5" w14:textId="77777777" w:rsidR="00AF4101" w:rsidRPr="001C586E" w:rsidRDefault="00AF4101" w:rsidP="00AF41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Bidi" w:hAnsiTheme="minorBidi" w:cstheme="minorBidi"/>
                        </w:rPr>
                      </w:pPr>
                      <w:r w:rsidRPr="001C586E">
                        <w:rPr>
                          <w:rFonts w:asciiTheme="minorBidi" w:hAnsiTheme="minorBidi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0A6">
        <w:rPr>
          <w:rFonts w:asciiTheme="minorBidi" w:eastAsia="Calibri" w:hAnsiTheme="minorBidi"/>
          <w:i/>
          <w:iCs/>
          <w:szCs w:val="24"/>
        </w:rPr>
        <w:t xml:space="preserve">Supplementary Tables S1-S4 (see separate file for </w:t>
      </w:r>
      <w:r w:rsidR="000B70A6">
        <w:rPr>
          <w:rFonts w:asciiTheme="minorBidi" w:eastAsia="Calibri" w:hAnsiTheme="minorBidi"/>
          <w:i/>
          <w:iCs/>
          <w:szCs w:val="24"/>
        </w:rPr>
        <w:t>Supplementary Table S</w:t>
      </w:r>
      <w:r w:rsidR="000B70A6">
        <w:rPr>
          <w:rFonts w:asciiTheme="minorBidi" w:eastAsia="Calibri" w:hAnsiTheme="minorBidi"/>
          <w:i/>
          <w:iCs/>
          <w:szCs w:val="24"/>
        </w:rPr>
        <w:t>5)</w:t>
      </w:r>
    </w:p>
    <w:p w14:paraId="1A80A512" w14:textId="77777777" w:rsidR="00AF4101" w:rsidRDefault="00AF4101" w:rsidP="00AF4101">
      <w:pPr>
        <w:spacing w:line="480" w:lineRule="auto"/>
        <w:ind w:left="720"/>
      </w:pPr>
    </w:p>
    <w:p w14:paraId="544955AA" w14:textId="77777777" w:rsidR="00AF4101" w:rsidRDefault="00AF4101" w:rsidP="00AF4101"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29274E06" wp14:editId="63E8FF63">
            <wp:simplePos x="0" y="0"/>
            <wp:positionH relativeFrom="page">
              <wp:posOffset>276225</wp:posOffset>
            </wp:positionH>
            <wp:positionV relativeFrom="paragraph">
              <wp:posOffset>285750</wp:posOffset>
            </wp:positionV>
            <wp:extent cx="7152407" cy="1285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407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84875" w14:textId="77777777" w:rsidR="00AF4101" w:rsidRDefault="00AF4101" w:rsidP="00AF4101"/>
    <w:p w14:paraId="67B060FB" w14:textId="77777777" w:rsidR="00AF4101" w:rsidRDefault="00AF4101" w:rsidP="00AF4101"/>
    <w:p w14:paraId="74856B07" w14:textId="77777777" w:rsidR="00AF4101" w:rsidRDefault="00AF4101" w:rsidP="00AF4101"/>
    <w:p w14:paraId="3D67D052" w14:textId="77777777" w:rsidR="00AF4101" w:rsidRDefault="00AF4101" w:rsidP="00AF4101"/>
    <w:p w14:paraId="52AFBF77" w14:textId="77777777" w:rsidR="00AF4101" w:rsidRDefault="00AF4101" w:rsidP="00AF4101">
      <w:r w:rsidRPr="00143585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A768B" wp14:editId="4CC29CD2">
                <wp:simplePos x="0" y="0"/>
                <wp:positionH relativeFrom="column">
                  <wp:posOffset>-600075</wp:posOffset>
                </wp:positionH>
                <wp:positionV relativeFrom="paragraph">
                  <wp:posOffset>285115</wp:posOffset>
                </wp:positionV>
                <wp:extent cx="4133850" cy="504825"/>
                <wp:effectExtent l="0" t="0" r="0" b="952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D3292" w14:textId="77777777" w:rsidR="00AF4101" w:rsidRPr="005A2DF5" w:rsidRDefault="00AF4101" w:rsidP="00AF410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2D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Table S2</w:t>
                            </w:r>
                            <w:r w:rsidRPr="005A2DF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>. Genotyping quality parameters for the selected SNPs. Data provided by LGC Genomics (LGC Genomics, Germany</w:t>
                            </w:r>
                            <w:r w:rsidRPr="005A2DF5">
                              <w:rPr>
                                <w:rFonts w:asciiTheme="majorBidi" w:eastAsia="Calibri" w:hAnsiTheme="majorBidi" w:cstheme="majorBidi"/>
                                <w:color w:val="000000"/>
                                <w:kern w:val="24"/>
                              </w:rPr>
                              <w:t>).</w:t>
                            </w:r>
                          </w:p>
                          <w:p w14:paraId="45E9E660" w14:textId="77777777" w:rsidR="00AF4101" w:rsidRDefault="00AF4101" w:rsidP="00AF4101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A768B" id="Rectangle 4" o:spid="_x0000_s1027" style="position:absolute;margin-left:-47.25pt;margin-top:22.45pt;width:325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" filled="f" stroked="f">
                <v:textbox inset="2.53958mm,1.2694mm,2.53958mm,1.2694mm">
                  <w:txbxContent>
                    <w:p w14:paraId="49DD3292" w14:textId="77777777" w:rsidR="00AF4101" w:rsidRPr="005A2DF5" w:rsidRDefault="00AF4101" w:rsidP="00AF4101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Theme="majorBidi" w:hAnsiTheme="majorBidi" w:cstheme="majorBidi"/>
                        </w:rPr>
                      </w:pPr>
                      <w:r w:rsidRPr="005A2DF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</w:rPr>
                        <w:t>Table S2</w:t>
                      </w:r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. Genotyping quality parameters for the selected SNPs. Data provided by LGC Genomics (LGC Genomics, Germany</w:t>
                      </w:r>
                      <w:r w:rsidRPr="005A2DF5">
                        <w:rPr>
                          <w:rFonts w:asciiTheme="majorBidi" w:eastAsia="Calibri" w:hAnsiTheme="majorBidi" w:cstheme="majorBidi"/>
                          <w:color w:val="000000"/>
                          <w:kern w:val="24"/>
                        </w:rPr>
                        <w:t>).</w:t>
                      </w:r>
                    </w:p>
                    <w:p w14:paraId="45E9E660" w14:textId="77777777" w:rsidR="00AF4101" w:rsidRDefault="00AF4101" w:rsidP="00AF4101"/>
                  </w:txbxContent>
                </v:textbox>
              </v:rect>
            </w:pict>
          </mc:Fallback>
        </mc:AlternateContent>
      </w:r>
    </w:p>
    <w:p w14:paraId="3B5124BA" w14:textId="77777777" w:rsidR="00AF4101" w:rsidRDefault="00AF4101" w:rsidP="00AF4101"/>
    <w:p w14:paraId="32FACE03" w14:textId="77777777" w:rsidR="00AF4101" w:rsidRDefault="00AF4101" w:rsidP="00AF4101">
      <w:r>
        <w:rPr>
          <w:noProof/>
          <w:lang w:bidi="he-IL"/>
        </w:rPr>
        <w:drawing>
          <wp:anchor distT="0" distB="0" distL="114300" distR="114300" simplePos="0" relativeHeight="251662336" behindDoc="0" locked="0" layoutInCell="1" allowOverlap="1" wp14:anchorId="6106F489" wp14:editId="62E01A36">
            <wp:simplePos x="0" y="0"/>
            <wp:positionH relativeFrom="column">
              <wp:posOffset>-609600</wp:posOffset>
            </wp:positionH>
            <wp:positionV relativeFrom="paragraph">
              <wp:posOffset>346075</wp:posOffset>
            </wp:positionV>
            <wp:extent cx="4493260" cy="241427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BE05C8" w14:textId="77777777" w:rsidR="00AF4101" w:rsidRDefault="00AF4101" w:rsidP="00AF4101"/>
    <w:p w14:paraId="46F0A871" w14:textId="77777777" w:rsidR="00AF4101" w:rsidRDefault="00AF4101" w:rsidP="00AF4101"/>
    <w:p w14:paraId="197AC847" w14:textId="77777777" w:rsidR="00AF4101" w:rsidRDefault="00AF4101" w:rsidP="00AF4101"/>
    <w:p w14:paraId="1661FB60" w14:textId="77777777" w:rsidR="00AF4101" w:rsidRDefault="00AF4101" w:rsidP="00AF4101"/>
    <w:p w14:paraId="47F55277" w14:textId="77777777" w:rsidR="00AF4101" w:rsidRDefault="00AF4101" w:rsidP="00AF4101"/>
    <w:p w14:paraId="296968BD" w14:textId="77777777" w:rsidR="00AF4101" w:rsidRDefault="00AF4101" w:rsidP="00AF4101"/>
    <w:p w14:paraId="4BE3D567" w14:textId="77777777" w:rsidR="00AF4101" w:rsidRDefault="00AF4101" w:rsidP="00AF4101"/>
    <w:p w14:paraId="7E7EB9D7" w14:textId="77777777" w:rsidR="00AF4101" w:rsidRDefault="00AF4101" w:rsidP="00AF4101"/>
    <w:p w14:paraId="5EAC5CBF" w14:textId="77777777" w:rsidR="00AF4101" w:rsidRDefault="00AF4101" w:rsidP="00AF4101"/>
    <w:p w14:paraId="156EFE1B" w14:textId="0FFA5553" w:rsidR="00AF4101" w:rsidRDefault="00AF4101" w:rsidP="00AF4101">
      <w:r w:rsidRPr="00143585"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A7FC7" wp14:editId="3CD3B3D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838950" cy="1162050"/>
                <wp:effectExtent l="0" t="0" r="0" b="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2A459" w14:textId="77777777" w:rsidR="00AF4101" w:rsidRPr="005A2DF5" w:rsidRDefault="00AF4101" w:rsidP="00AF41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2D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S3. List of highly linked markers, detected by GWAS and QTL mapping, regulating the SPC trait. </w:t>
                            </w:r>
                            <w:r w:rsidRPr="005A2DF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 xml:space="preserve">Markers highly associated with the QTLs are presented according to their method of detection. Grey markers represent markers from chr-0 which were found by the genetic map on chr-7. The QTL boundaries defined by ±1 LOD or by the significance threshold. Marker ID also represents its physical position.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A7FC7" id="_x0000_s1028" style="position:absolute;margin-left:0;margin-top:.45pt;width:538.5pt;height:91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" filled="f" stroked="f">
                <v:textbox inset="2.53958mm,1.2694mm,2.53958mm,1.2694mm">
                  <w:txbxContent>
                    <w:p w14:paraId="2ED2A459" w14:textId="77777777" w:rsidR="00AF4101" w:rsidRPr="005A2DF5" w:rsidRDefault="00AF4101" w:rsidP="00AF41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</w:rPr>
                      </w:pPr>
                      <w:r w:rsidRPr="005A2DF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S3. List of highly linked markers, detected by GWAS and QTL mapping, regulating the SPC trait. </w:t>
                      </w:r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 xml:space="preserve">Markers highly associated with the QTLs are presented according to their method of detection. Grey markers represent markers from chr-0 which were found by the genetic map on chr-7. The QTL boundaries defined by ±1 LOD or by the significance threshold. Marker ID also represents its physical position.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708CE" w14:textId="0D1FE60B" w:rsidR="00AF4101" w:rsidRDefault="00AF4101" w:rsidP="00AF4101"/>
    <w:p w14:paraId="34B9AD1D" w14:textId="6FF0D29C" w:rsidR="00AF4101" w:rsidRDefault="00AF4101" w:rsidP="00AF4101">
      <w:r>
        <w:rPr>
          <w:noProof/>
          <w:lang w:bidi="he-IL"/>
        </w:rPr>
        <w:drawing>
          <wp:anchor distT="0" distB="0" distL="114300" distR="114300" simplePos="0" relativeHeight="251666432" behindDoc="0" locked="0" layoutInCell="1" allowOverlap="1" wp14:anchorId="437D5F68" wp14:editId="57E19C17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6645910" cy="654812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33090D" w14:textId="5FCD0D58" w:rsidR="00AF4101" w:rsidRDefault="00AF4101" w:rsidP="00AF4101"/>
    <w:p w14:paraId="2D69DFD5" w14:textId="4E2C5AE9" w:rsidR="00AF4101" w:rsidRDefault="00AF4101" w:rsidP="00AF4101"/>
    <w:p w14:paraId="7B65BC41" w14:textId="4F879F35" w:rsidR="00DE23E8" w:rsidRPr="001549D3" w:rsidRDefault="00AB6B04" w:rsidP="00AF4101">
      <w:r w:rsidRPr="00AB6B04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0DE6DA0" wp14:editId="09A087FB">
            <wp:simplePos x="0" y="0"/>
            <wp:positionH relativeFrom="margin">
              <wp:posOffset>233681</wp:posOffset>
            </wp:positionH>
            <wp:positionV relativeFrom="paragraph">
              <wp:posOffset>634</wp:posOffset>
            </wp:positionV>
            <wp:extent cx="5410256" cy="9176357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30" cy="91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101" w:rsidRPr="001C586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195B3" wp14:editId="6169BD04">
                <wp:simplePos x="0" y="0"/>
                <wp:positionH relativeFrom="margin">
                  <wp:posOffset>-571500</wp:posOffset>
                </wp:positionH>
                <wp:positionV relativeFrom="paragraph">
                  <wp:posOffset>-637540</wp:posOffset>
                </wp:positionV>
                <wp:extent cx="7162800" cy="819150"/>
                <wp:effectExtent l="0" t="0" r="0" b="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F84C4" w14:textId="77777777" w:rsidR="00AF4101" w:rsidRPr="005A2DF5" w:rsidRDefault="00AF4101" w:rsidP="00AF41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5A2D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S4. Candidate genes annotation list. </w:t>
                            </w:r>
                            <w:r w:rsidRPr="005A2DF5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</w:rPr>
                              <w:t>Annotation of the genes located in the DNA region underlined by the two QTL’s according to their physical position, after filtering for genes with only non-synonymous variant located in the coding region. The orange rows represent genes from chr-0 that were genetically mapped to Locus 7.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95B3" id="_x0000_s1029" style="position:absolute;margin-left:-45pt;margin-top:-50.2pt;width:564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" filled="f" stroked="f">
                <v:textbox inset="2.53958mm,1.2694mm,2.53958mm,1.2694mm">
                  <w:txbxContent>
                    <w:p w14:paraId="788F84C4" w14:textId="77777777" w:rsidR="00AF4101" w:rsidRPr="005A2DF5" w:rsidRDefault="00AF4101" w:rsidP="00AF41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Bidi" w:hAnsiTheme="majorBidi" w:cstheme="majorBidi"/>
                        </w:rPr>
                      </w:pPr>
                      <w:r w:rsidRPr="005A2DF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S4. Candidate genes annotation list. </w:t>
                      </w:r>
                      <w:r w:rsidRPr="005A2DF5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</w:rPr>
                        <w:t>Annotation of the genes located in the DNA region underlined by the two QTL’s according to their physical position, after filtering for genes with only non-synonymous variant located in the coding region. The orange rows represent genes from chr-0 that were genetically mapped to Locus 7.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23E8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1F93" w14:textId="77777777" w:rsidR="00E403B0" w:rsidRDefault="00E403B0" w:rsidP="00117666">
      <w:pPr>
        <w:spacing w:after="0"/>
      </w:pPr>
      <w:r>
        <w:separator/>
      </w:r>
    </w:p>
  </w:endnote>
  <w:endnote w:type="continuationSeparator" w:id="0">
    <w:p w14:paraId="0314C98C" w14:textId="77777777" w:rsidR="00E403B0" w:rsidRDefault="00E403B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378BC9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B6B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378BC9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B6B0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04DC6A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B6B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04DC6A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B6B0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2A64" w14:textId="77777777" w:rsidR="00E403B0" w:rsidRDefault="00E403B0" w:rsidP="00117666">
      <w:pPr>
        <w:spacing w:after="0"/>
      </w:pPr>
      <w:r>
        <w:separator/>
      </w:r>
    </w:p>
  </w:footnote>
  <w:footnote w:type="continuationSeparator" w:id="0">
    <w:p w14:paraId="215F97BF" w14:textId="77777777" w:rsidR="00E403B0" w:rsidRDefault="00E403B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bidi="he-I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70A6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27A46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B6B04"/>
    <w:rsid w:val="00AF4101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434B4"/>
    <w:rsid w:val="00DB59C3"/>
    <w:rsid w:val="00DC259A"/>
    <w:rsid w:val="00DE23E8"/>
    <w:rsid w:val="00E403B0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92299D-B325-4261-8548-F884DEDA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Michael Cunningham</cp:lastModifiedBy>
  <cp:revision>4</cp:revision>
  <cp:lastPrinted>2013-10-03T12:51:00Z</cp:lastPrinted>
  <dcterms:created xsi:type="dcterms:W3CDTF">2021-10-13T08:14:00Z</dcterms:created>
  <dcterms:modified xsi:type="dcterms:W3CDTF">2021-11-23T08:50:00Z</dcterms:modified>
</cp:coreProperties>
</file>