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447D" w14:textId="77777777" w:rsidR="005E04E1" w:rsidRDefault="00730E8F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231F2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231F20"/>
          <w:kern w:val="0"/>
          <w:sz w:val="28"/>
          <w:szCs w:val="28"/>
        </w:rPr>
        <w:t>Supplementary materials</w:t>
      </w:r>
    </w:p>
    <w:p w14:paraId="121D365F" w14:textId="77777777" w:rsidR="005E04E1" w:rsidRDefault="005E04E1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231F20"/>
          <w:kern w:val="0"/>
          <w:sz w:val="28"/>
          <w:szCs w:val="28"/>
        </w:rPr>
      </w:pPr>
    </w:p>
    <w:p w14:paraId="6BFB4675" w14:textId="77777777" w:rsidR="000B3E84" w:rsidRDefault="000B3E84" w:rsidP="000B3E84">
      <w:pPr>
        <w:widowControl/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</w:pPr>
      <w:bookmarkStart w:id="0" w:name="_Hlk67924648"/>
      <w:r>
        <w:rPr>
          <w:rFonts w:ascii="Times New Roman" w:eastAsia="宋体" w:hAnsi="Times New Roman" w:cs="Times New Roman"/>
          <w:b/>
          <w:bCs/>
          <w:color w:val="231F20"/>
          <w:kern w:val="0"/>
          <w:sz w:val="28"/>
          <w:szCs w:val="28"/>
        </w:rPr>
        <w:t>Interactive effects of microplastics and tetracycline on bioaccumulation and biochemical status in the Jian carp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</w:rPr>
        <w:t xml:space="preserve">Cyprinus </w:t>
      </w:r>
      <w:proofErr w:type="spellStart"/>
      <w:r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</w:rPr>
        <w:t>carpio</w:t>
      </w:r>
      <w:proofErr w:type="spellEnd"/>
      <w:r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var. Jian)</w:t>
      </w:r>
    </w:p>
    <w:bookmarkEnd w:id="0"/>
    <w:p w14:paraId="21CAE40D" w14:textId="77777777" w:rsidR="000B3E84" w:rsidRDefault="000B3E84" w:rsidP="000B3E84">
      <w:pPr>
        <w:widowControl/>
        <w:spacing w:line="360" w:lineRule="auto"/>
        <w:rPr>
          <w:rFonts w:ascii="Times New Roman" w:hAnsi="Times New Roman"/>
          <w:color w:val="000000"/>
          <w:sz w:val="24"/>
          <w:vertAlign w:val="superscript"/>
        </w:rPr>
      </w:pPr>
      <w:proofErr w:type="spellStart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Chaonan</w:t>
      </w:r>
      <w:proofErr w:type="spellEnd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 Zhang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1</w:t>
      </w:r>
      <w:r>
        <w:rPr>
          <w:rFonts w:ascii="Times New Roman" w:eastAsia="宋体" w:hAnsi="Times New Roman" w:hint="eastAsia"/>
          <w:color w:val="333333"/>
          <w:sz w:val="24"/>
          <w:shd w:val="clear" w:color="auto" w:fill="FFFFFF"/>
          <w:vertAlign w:val="superscript"/>
        </w:rPr>
        <w:t>,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2</w:t>
      </w:r>
      <w:r>
        <w:rPr>
          <w:rFonts w:ascii="Times New Roman" w:eastAsia="宋体" w:hAnsi="Times New Roman" w:hint="eastAsia"/>
          <w:color w:val="333333"/>
          <w:sz w:val="24"/>
          <w:shd w:val="clear" w:color="auto" w:fill="FFFFFF"/>
          <w:vertAlign w:val="superscript"/>
        </w:rPr>
        <w:t>,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3</w:t>
      </w:r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Qiujie</w:t>
      </w:r>
      <w:proofErr w:type="spellEnd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 Wang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1</w:t>
      </w:r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Zhiheng</w:t>
      </w:r>
      <w:proofErr w:type="spellEnd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 Zuo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1</w:t>
      </w:r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4A3D73">
        <w:rPr>
          <w:rFonts w:ascii="Times New Roman" w:hAnsi="Times New Roman"/>
          <w:bCs/>
          <w:sz w:val="24"/>
          <w:szCs w:val="28"/>
        </w:rPr>
        <w:t>J</w:t>
      </w:r>
      <w:r w:rsidRPr="004A3D73">
        <w:rPr>
          <w:rFonts w:ascii="Times New Roman" w:hAnsi="Times New Roman" w:hint="eastAsia"/>
          <w:bCs/>
          <w:sz w:val="24"/>
          <w:szCs w:val="28"/>
        </w:rPr>
        <w:t>ian</w:t>
      </w:r>
      <w:r w:rsidRPr="004A3D73">
        <w:rPr>
          <w:rFonts w:ascii="Times New Roman" w:hAnsi="Times New Roman"/>
          <w:bCs/>
          <w:sz w:val="24"/>
          <w:szCs w:val="28"/>
        </w:rPr>
        <w:t>hua Ding</w:t>
      </w:r>
      <w:r w:rsidRPr="004A3D73">
        <w:rPr>
          <w:rFonts w:ascii="Times New Roman" w:hAnsi="Times New Roman"/>
          <w:bCs/>
          <w:sz w:val="24"/>
          <w:szCs w:val="28"/>
          <w:vertAlign w:val="superscript"/>
        </w:rPr>
        <w:t>4</w:t>
      </w:r>
      <w:r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8"/>
        </w:rPr>
        <w:t>Guohuan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Xu</w:t>
      </w:r>
      <w:r>
        <w:rPr>
          <w:rFonts w:ascii="Times New Roman" w:hAnsi="Times New Roman"/>
          <w:bCs/>
          <w:sz w:val="24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vertAlign w:val="superscript"/>
        </w:rPr>
        <w:t>*</w:t>
      </w:r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,</w:t>
      </w:r>
      <w:r w:rsidRPr="00635092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Jixing</w:t>
      </w:r>
      <w:proofErr w:type="spellEnd"/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 xml:space="preserve"> Zou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1</w:t>
      </w:r>
      <w:r>
        <w:rPr>
          <w:rFonts w:ascii="Times New Roman" w:eastAsia="宋体" w:hAnsi="Times New Roman" w:hint="eastAsia"/>
          <w:color w:val="333333"/>
          <w:sz w:val="24"/>
          <w:shd w:val="clear" w:color="auto" w:fill="FFFFFF"/>
          <w:vertAlign w:val="superscript"/>
        </w:rPr>
        <w:t>,</w:t>
      </w:r>
      <w:r>
        <w:rPr>
          <w:rFonts w:ascii="Times New Roman" w:eastAsia="宋体" w:hAnsi="Times New Roman"/>
          <w:color w:val="333333"/>
          <w:sz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bCs/>
          <w:sz w:val="24"/>
          <w:szCs w:val="28"/>
          <w:vertAlign w:val="superscript"/>
        </w:rPr>
        <w:t>**</w:t>
      </w:r>
    </w:p>
    <w:p w14:paraId="7F9B8FC6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  <w:vertAlign w:val="superscript"/>
        </w:rPr>
      </w:pPr>
    </w:p>
    <w:p w14:paraId="0DE7A2F5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Joint Laboratory of Guangdong Province and Hong Kong Region on Marine Bioresource Conservation and Exploitation, College of Marine Sciences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South China Agricultural University, Guangzhou 510642, China</w:t>
      </w:r>
    </w:p>
    <w:p w14:paraId="0A634695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Guangdong Laboratory for Lingnan Modern Agriculture, South China Agricultural University, Guangzhou 510642, China</w:t>
      </w:r>
    </w:p>
    <w:p w14:paraId="1D9770BD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8"/>
        </w:rPr>
        <w:t>State Key Laboratory of Applied Microbiology Southern China, Guangdong Provincial Key Laboratory of Microbial Culture Collection and Application, Institute of Microbiology, Guangdong Academy of Sciences, Guangzhou 510070, China</w:t>
      </w:r>
    </w:p>
    <w:p w14:paraId="55CCB563" w14:textId="77777777" w:rsidR="000B3E84" w:rsidRPr="00635092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4</w:t>
      </w:r>
      <w:bookmarkStart w:id="1" w:name="OLE_LINK1"/>
      <w:r w:rsidRPr="009C6309">
        <w:rPr>
          <w:rFonts w:ascii="Times New Roman" w:hAnsi="Times New Roman"/>
          <w:bCs/>
          <w:sz w:val="24"/>
          <w:szCs w:val="28"/>
        </w:rPr>
        <w:t xml:space="preserve">Guangzhou </w:t>
      </w:r>
      <w:proofErr w:type="spellStart"/>
      <w:r w:rsidRPr="009C6309">
        <w:rPr>
          <w:rFonts w:ascii="Times New Roman" w:hAnsi="Times New Roman"/>
          <w:bCs/>
          <w:sz w:val="24"/>
          <w:szCs w:val="28"/>
        </w:rPr>
        <w:t>Liyang</w:t>
      </w:r>
      <w:proofErr w:type="spellEnd"/>
      <w:r w:rsidRPr="009C6309">
        <w:rPr>
          <w:rFonts w:ascii="Times New Roman" w:hAnsi="Times New Roman"/>
          <w:bCs/>
          <w:sz w:val="24"/>
          <w:szCs w:val="28"/>
        </w:rPr>
        <w:t xml:space="preserve"> Aqua-Technology CO., LTD; Aquaculture Environmental Improvement Engineering Technology Research Center of Guangdong Province</w:t>
      </w:r>
      <w:r>
        <w:rPr>
          <w:rFonts w:ascii="Times New Roman" w:hAnsi="Times New Roman"/>
          <w:bCs/>
          <w:sz w:val="24"/>
          <w:szCs w:val="28"/>
        </w:rPr>
        <w:t>,</w:t>
      </w:r>
      <w:r w:rsidRPr="00635092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Guangzhou 510070, China</w:t>
      </w:r>
      <w:bookmarkEnd w:id="1"/>
      <w:r>
        <w:rPr>
          <w:rFonts w:ascii="Times New Roman" w:hAnsi="Times New Roman"/>
          <w:bCs/>
          <w:sz w:val="24"/>
          <w:szCs w:val="28"/>
        </w:rPr>
        <w:t xml:space="preserve"> </w:t>
      </w:r>
    </w:p>
    <w:p w14:paraId="29576FAF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1A644273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Correspondence</w:t>
      </w:r>
      <w:r>
        <w:rPr>
          <w:rFonts w:ascii="Times New Roman" w:hAnsi="Times New Roman" w:hint="eastAsia"/>
          <w:sz w:val="24"/>
        </w:rPr>
        <w:t xml:space="preserve"> authors</w:t>
      </w:r>
      <w:r>
        <w:rPr>
          <w:rFonts w:ascii="Times New Roman" w:hAnsi="Times New Roman"/>
          <w:sz w:val="24"/>
        </w:rPr>
        <w:t>:</w:t>
      </w:r>
    </w:p>
    <w:p w14:paraId="13560042" w14:textId="77777777" w:rsidR="000B3E84" w:rsidRDefault="000B3E84" w:rsidP="000B3E8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*xghfish@163.com (G. Xu); </w:t>
      </w:r>
    </w:p>
    <w:p w14:paraId="6554AC95" w14:textId="77777777" w:rsidR="000B3E84" w:rsidRPr="00E318DD" w:rsidRDefault="000B3E84" w:rsidP="000B3E84">
      <w:r>
        <w:rPr>
          <w:rFonts w:ascii="Times New Roman" w:hAnsi="Times New Roman"/>
          <w:sz w:val="24"/>
        </w:rPr>
        <w:t>**zoujixing@scau.edu.cn (J. Zou).</w:t>
      </w:r>
    </w:p>
    <w:p w14:paraId="3903BE54" w14:textId="77777777" w:rsidR="000B3E84" w:rsidRDefault="000B3E84">
      <w:pPr>
        <w:rPr>
          <w:rFonts w:ascii="Times New Roman" w:hAnsi="Times New Roman"/>
          <w:b/>
          <w:bCs/>
          <w:sz w:val="24"/>
          <w:szCs w:val="24"/>
        </w:rPr>
        <w:sectPr w:rsidR="000B3E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FEC8FB" w14:textId="4DD32A1F" w:rsidR="005E04E1" w:rsidRDefault="00730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</w:t>
      </w:r>
      <w:r w:rsidR="005902D1">
        <w:rPr>
          <w:rFonts w:ascii="Times New Roman" w:hAnsi="Times New Roman" w:hint="eastAsia"/>
          <w:b/>
          <w:bCs/>
          <w:sz w:val="24"/>
          <w:szCs w:val="24"/>
        </w:rPr>
        <w:t>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2D1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ext 1. </w:t>
      </w:r>
      <w:bookmarkStart w:id="2" w:name="_Hlk50922936"/>
      <w:r>
        <w:rPr>
          <w:rFonts w:ascii="Times New Roman" w:hAnsi="Times New Roman"/>
          <w:b/>
          <w:bCs/>
          <w:sz w:val="24"/>
          <w:szCs w:val="24"/>
        </w:rPr>
        <w:t>Details of experimental methods of R</w:t>
      </w:r>
      <w:r>
        <w:rPr>
          <w:rFonts w:ascii="Times New Roman" w:eastAsia="宋体" w:hAnsi="Times New Roman"/>
          <w:b/>
          <w:bCs/>
          <w:color w:val="333333"/>
          <w:sz w:val="24"/>
          <w:szCs w:val="24"/>
          <w:shd w:val="clear" w:color="auto" w:fill="FFFFFF"/>
        </w:rPr>
        <w:t>NA extraction and cDNA synthesis</w:t>
      </w:r>
      <w:bookmarkEnd w:id="2"/>
    </w:p>
    <w:p w14:paraId="7570F3DC" w14:textId="77777777" w:rsidR="005E04E1" w:rsidRDefault="00730E8F">
      <w:pPr>
        <w:spacing w:line="360" w:lineRule="auto"/>
        <w:ind w:firstLineChars="200" w:firstLine="480"/>
        <w:rPr>
          <w:rFonts w:ascii="Times New Roman" w:hAnsi="Times New Roman"/>
          <w:b/>
          <w:bCs/>
        </w:rPr>
        <w:sectPr w:rsidR="005E04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Total RNA was extracted using AG </w:t>
      </w:r>
      <w:proofErr w:type="spellStart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RNAex</w:t>
      </w:r>
      <w:proofErr w:type="spellEnd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Rreagent</w:t>
      </w:r>
      <w:proofErr w:type="spellEnd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 (Accurate Biotechnology Co., Ltd, Hunan, China) following the manufacturer’s protocol. RNA quality was assessed by electrophoresis on a 1.0% agarose gel and its concentration was tested by </w:t>
      </w:r>
      <w:proofErr w:type="spellStart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mySPEC</w:t>
      </w:r>
      <w:proofErr w:type="spellEnd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 (VWR, Radnor, PA, USA). 1 </w:t>
      </w:r>
      <w:proofErr w:type="spellStart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μg</w:t>
      </w:r>
      <w:proofErr w:type="spellEnd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 total RNA was purified and the first-strand cDNA was synthesized using Evo M-ML RT Kit with gDNA Clean for qPCR (</w:t>
      </w:r>
      <w:bookmarkStart w:id="3" w:name="OLE_LINK2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Accurate Biotechnology Co., Ltd, Hunan, China</w:t>
      </w:r>
      <w:bookmarkEnd w:id="3"/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) according to the manufacturer’s instructions.</w:t>
      </w:r>
    </w:p>
    <w:p w14:paraId="09484559" w14:textId="67ABC5DE" w:rsidR="005E04E1" w:rsidRDefault="00730E8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</w:t>
      </w:r>
      <w:r w:rsidR="005902D1">
        <w:rPr>
          <w:rFonts w:ascii="Times New Roman" w:hAnsi="Times New Roman"/>
          <w:b/>
          <w:bCs/>
          <w:sz w:val="24"/>
          <w:szCs w:val="24"/>
        </w:rPr>
        <w:t>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2D1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ext 2. Details of the RT-PCR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materials</w:t>
      </w:r>
      <w:r>
        <w:rPr>
          <w:rFonts w:ascii="Times New Roman" w:hAnsi="Times New Roman"/>
          <w:b/>
          <w:bCs/>
          <w:sz w:val="24"/>
          <w:szCs w:val="24"/>
        </w:rPr>
        <w:t xml:space="preserve"> and program</w:t>
      </w:r>
    </w:p>
    <w:p w14:paraId="349915B7" w14:textId="77777777" w:rsidR="005E04E1" w:rsidRDefault="00730E8F">
      <w:pPr>
        <w:spacing w:line="360" w:lineRule="auto"/>
        <w:ind w:firstLineChars="200" w:firstLine="480"/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sectPr w:rsidR="005E04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The real-time PCR assay was carried out using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 xml:space="preserve"> CFX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>Connect Real-Time System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 xml:space="preserve"> 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(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>Bio-Rad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, CA, USA)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and AG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™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 xml:space="preserve"> SYBR Green Premix Pro Taq HS qPCR Kit (Accurate Biotechnology Co., Ltd, Hunan, China) 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following the manufacturer</w:t>
      </w:r>
      <w:proofErr w:type="gram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’</w:t>
      </w:r>
      <w:proofErr w:type="gram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s recommendations. 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The real-time PCR program was set at 30 s for 95 ℃, followed by 40 cycles of 95℃ for 5 s, 60 ℃ for 30 s. Melting curves were obtained by increasing the temperature from 60 to 95℃ (0.5℃/s) to denature the double-stranded DNA. Each amplification reaction was run in triplicate.</w:t>
      </w:r>
      <w:r>
        <w:t xml:space="preserve"> 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After finishing the program, the threshold cycle (Ct) values</w:t>
      </w:r>
      <w:r>
        <w:rPr>
          <w:rFonts w:ascii="Times New Roman" w:eastAsia="宋体" w:hAnsi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were obtained from each sample. Relative gene expression levels</w:t>
      </w:r>
      <w:r>
        <w:rPr>
          <w:rFonts w:ascii="Times New Roman" w:eastAsia="宋体" w:hAnsi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>were evaluated using 2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  <w:vertAlign w:val="superscript"/>
        </w:rPr>
        <w:t>−ΔΔCT</w:t>
      </w:r>
      <w:r>
        <w:rPr>
          <w:rFonts w:ascii="Times New Roman" w:eastAsia="宋体" w:hAnsi="Times New Roman"/>
          <w:color w:val="333333"/>
          <w:sz w:val="24"/>
          <w:szCs w:val="24"/>
          <w:shd w:val="clear" w:color="auto" w:fill="FFFFFF"/>
        </w:rPr>
        <w:t xml:space="preserve"> method.</w:t>
      </w:r>
      <w:r>
        <w:rPr>
          <w:rFonts w:ascii="Times New Roman" w:eastAsia="宋体" w:hAnsi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dvTT5235d5a9" w:hAnsi="Times New Roman" w:cs="Times New Roman"/>
          <w:kern w:val="0"/>
          <w:sz w:val="24"/>
        </w:rPr>
        <w:t>Bio-Rad</w:t>
      </w:r>
      <w:r>
        <w:rPr>
          <w:rFonts w:ascii="Times New Roman" w:eastAsia="AdvTT5235d5a9" w:hAnsi="Times New Roman" w:cs="Times New Roman"/>
          <w:color w:val="0000FF"/>
          <w:kern w:val="0"/>
          <w:sz w:val="24"/>
        </w:rPr>
        <w:t xml:space="preserve"> </w:t>
      </w:r>
      <w:r>
        <w:rPr>
          <w:rFonts w:ascii="Times New Roman" w:eastAsia="AdvTT5235d5a9" w:hAnsi="Times New Roman" w:cs="Times New Roman"/>
          <w:kern w:val="0"/>
          <w:sz w:val="24"/>
        </w:rPr>
        <w:t xml:space="preserve">CFX Maestro 1.0 </w:t>
      </w:r>
      <w:r>
        <w:rPr>
          <w:rFonts w:ascii="Times New Roman" w:eastAsia="宋体" w:hAnsi="Times New Roman" w:cs="Times New Roman"/>
          <w:kern w:val="0"/>
          <w:sz w:val="24"/>
        </w:rPr>
        <w:t>version 4.0.2325.0418</w:t>
      </w:r>
      <w:r>
        <w:rPr>
          <w:rFonts w:ascii="Times New Roman" w:eastAsia="AdvTT5235d5a9" w:hAnsi="Times New Roman" w:cs="Times New Roman"/>
          <w:color w:val="0000FF"/>
          <w:kern w:val="0"/>
          <w:sz w:val="24"/>
        </w:rPr>
        <w:t xml:space="preserve"> </w:t>
      </w:r>
      <w:r>
        <w:rPr>
          <w:rFonts w:ascii="Times New Roman" w:eastAsia="AdvTT5235d5a9" w:hAnsi="Times New Roman" w:cs="Times New Roman"/>
          <w:kern w:val="0"/>
          <w:sz w:val="24"/>
        </w:rPr>
        <w:t>was used for data collection.</w:t>
      </w:r>
    </w:p>
    <w:p w14:paraId="6FE2D1AA" w14:textId="2E08055E" w:rsidR="005E04E1" w:rsidRDefault="00730E8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</w:t>
      </w:r>
      <w:r w:rsidR="005902D1">
        <w:rPr>
          <w:rFonts w:ascii="Times New Roman" w:hAnsi="Times New Roman"/>
          <w:b/>
          <w:bCs/>
          <w:sz w:val="24"/>
          <w:szCs w:val="24"/>
        </w:rPr>
        <w:t>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2D1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ext 3. Details of the specific method of IBR calculation</w:t>
      </w:r>
    </w:p>
    <w:p w14:paraId="6B924BD5" w14:textId="77777777" w:rsidR="005E04E1" w:rsidRDefault="00730E8F">
      <w:pPr>
        <w:spacing w:line="360" w:lineRule="auto"/>
        <w:ind w:firstLineChars="200" w:firstLine="480"/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宋体" w:hAnsi="Times New Roman"/>
          <w:color w:val="333333"/>
          <w:sz w:val="24"/>
          <w:shd w:val="clear" w:color="auto" w:fill="FFFFFF"/>
        </w:rPr>
        <w:t>T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he basis of the calculation is described here briefly. For each biomarker: (1) Calculation of mean and SD for each station. (2)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Standardisation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of data for each station: χ'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i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= (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χi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– mean χ) / s, where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χ'i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= standardized value of the biomarker,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χi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= mean value of a biomarker from each station, mean χ is the mean of the biomarker calculated for all the stations, and s = standard deviation calculated for the station-specific values of each biomarker. Result: variance = 1, mean = 0. (3) Using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standardised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data, addition of the value obtained for each station to the absolute (=non-negative) value of the minimum value in the data set: B = χ' 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i</w:t>
      </w:r>
      <w:proofErr w:type="spellEnd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+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>│</w:t>
      </w:r>
      <w:proofErr w:type="spellStart"/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χmin</w:t>
      </w:r>
      <w:proofErr w:type="spellEnd"/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>│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. Result: adjusts the lowest value in the set to zero. For all the biomarkers treated this way: (4) calculation of Star Plot areas by multiplication of the obtained value of each biomarker (Bi) with the value of the next biomarker, arranged as a set, dividing each calculation by 2 and (5) summing-up of all values: {[(B1· B2)/2] + [(B2· B3)/2] + 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>…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 xml:space="preserve"> [(Bn-1· Bn)/2]}. Result: IBR (average of different arrangements of biomarkers in the set).</w:t>
      </w:r>
    </w:p>
    <w:p w14:paraId="66742BEE" w14:textId="77777777" w:rsidR="005E04E1" w:rsidRDefault="00730E8F">
      <w:pPr>
        <w:widowControl/>
        <w:jc w:val="left"/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br w:type="page"/>
      </w:r>
    </w:p>
    <w:p w14:paraId="5629860D" w14:textId="061F0440" w:rsidR="005E04E1" w:rsidRDefault="00730E8F">
      <w:pPr>
        <w:spacing w:line="360" w:lineRule="auto"/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</w:t>
      </w:r>
      <w:r w:rsidR="005902D1">
        <w:rPr>
          <w:rFonts w:ascii="Times New Roman" w:hAnsi="Times New Roman"/>
          <w:b/>
          <w:bCs/>
          <w:sz w:val="24"/>
          <w:szCs w:val="24"/>
        </w:rPr>
        <w:t>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2D1"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igure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Bar graph presentation of TC concentration variation in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 xml:space="preserve">liver 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 xml:space="preserve">of Jian carp treated with various exposure treatments </w:t>
      </w:r>
      <w:r>
        <w:rPr>
          <w:rFonts w:ascii="Times New Roman" w:eastAsia="AdvTT5235d5a9" w:hAnsi="Times New Roman" w:cs="Times New Roman"/>
          <w:color w:val="000000" w:themeColor="text1"/>
          <w:kern w:val="0"/>
          <w:sz w:val="24"/>
        </w:rPr>
        <w:t>of TC group and TC+MPs group during 48 h and 96 h exposure</w:t>
      </w:r>
      <w:r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  <w:r>
        <w:rPr>
          <w:rFonts w:ascii="Times New Roman" w:eastAsia="AdvTT5235d5a9" w:hAnsi="Times New Roman" w:cs="Times New Roman" w:hint="eastAsia"/>
          <w:color w:val="000000" w:themeColor="text1"/>
          <w:kern w:val="0"/>
          <w:sz w:val="24"/>
        </w:rPr>
        <w:t xml:space="preserve"> </w:t>
      </w:r>
    </w:p>
    <w:p w14:paraId="12087A44" w14:textId="77777777" w:rsidR="005E04E1" w:rsidRDefault="00730E8F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6A473880" wp14:editId="494F7060">
            <wp:extent cx="5073015" cy="3053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55" cy="30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95E" w14:textId="77777777" w:rsidR="00880A98" w:rsidRDefault="00880A98" w:rsidP="005902D1">
      <w:r>
        <w:separator/>
      </w:r>
    </w:p>
  </w:endnote>
  <w:endnote w:type="continuationSeparator" w:id="0">
    <w:p w14:paraId="0FEE9784" w14:textId="77777777" w:rsidR="00880A98" w:rsidRDefault="00880A98" w:rsidP="005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5235d5a9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0C63" w14:textId="77777777" w:rsidR="00880A98" w:rsidRDefault="00880A98" w:rsidP="005902D1">
      <w:r>
        <w:separator/>
      </w:r>
    </w:p>
  </w:footnote>
  <w:footnote w:type="continuationSeparator" w:id="0">
    <w:p w14:paraId="7A7480C7" w14:textId="77777777" w:rsidR="00880A98" w:rsidRDefault="00880A98" w:rsidP="0059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35"/>
    <w:rsid w:val="000B3E84"/>
    <w:rsid w:val="000D16E3"/>
    <w:rsid w:val="001C7587"/>
    <w:rsid w:val="00393197"/>
    <w:rsid w:val="005902D1"/>
    <w:rsid w:val="005E04E1"/>
    <w:rsid w:val="006724BD"/>
    <w:rsid w:val="00730E8F"/>
    <w:rsid w:val="00734F67"/>
    <w:rsid w:val="00757EAA"/>
    <w:rsid w:val="00827635"/>
    <w:rsid w:val="00880A98"/>
    <w:rsid w:val="008F281E"/>
    <w:rsid w:val="00B03F22"/>
    <w:rsid w:val="00B80ED4"/>
    <w:rsid w:val="00CB6B02"/>
    <w:rsid w:val="2C0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A3ED2"/>
  <w15:docId w15:val="{B63A1088-85DA-4BD2-9422-E294B9D6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超楠</dc:creator>
  <cp:lastModifiedBy>张 超楠</cp:lastModifiedBy>
  <cp:revision>2</cp:revision>
  <dcterms:created xsi:type="dcterms:W3CDTF">2021-11-07T08:23:00Z</dcterms:created>
  <dcterms:modified xsi:type="dcterms:W3CDTF">2021-11-07T08:23:00Z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0CCEA372CB1C420C9E55D7D6E2A111CF</vt:lpwstr>
  </property>
</Properties>
</file>