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BB9A3" w14:textId="646A876C" w:rsidR="00BD5586" w:rsidRPr="001A6B60" w:rsidRDefault="007A1F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Supplementary Information</w:t>
      </w:r>
    </w:p>
    <w:p w14:paraId="65DA259B" w14:textId="7CE1904F" w:rsidR="007A1F1E" w:rsidRPr="001A6B60" w:rsidRDefault="007A1F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88C77F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0242548"/>
      <w:r w:rsidRPr="001A6B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Full title: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Blood purification in severe and critical COVID-19 patients: </w:t>
      </w:r>
      <w:bookmarkStart w:id="1" w:name="_Hlk84855034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a case series of 5 patients</w:t>
      </w:r>
      <w:bookmarkEnd w:id="1"/>
    </w:p>
    <w:p w14:paraId="685A137F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B6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Running title: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6B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Blood purification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COVID-19</w:t>
      </w:r>
    </w:p>
    <w:p w14:paraId="62AAF076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Hongjun</w:t>
      </w:r>
      <w:proofErr w:type="spellEnd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Chen,</w:t>
      </w:r>
      <w:proofErr w:type="gram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1,#</w:t>
      </w:r>
      <w:proofErr w:type="gramEnd"/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Leisheng</w:t>
      </w:r>
      <w:proofErr w:type="spellEnd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Zhang,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2,3,4,5,</w:t>
      </w:r>
      <w:r w:rsidRPr="001A6B60" w:rsidDel="000F73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# 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Wei Zhang,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Lili Liu,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Zhihua</w:t>
      </w:r>
      <w:proofErr w:type="spellEnd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Dai,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Miao Chen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1, * 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Donghang</w:t>
      </w:r>
      <w:proofErr w:type="spellEnd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Zhang 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7,*</w:t>
      </w:r>
    </w:p>
    <w:bookmarkEnd w:id="0"/>
    <w:p w14:paraId="52D7CC56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14:paraId="3BC6E78B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Department of Intensive Care Unit, Affiliated Hospital of </w:t>
      </w:r>
      <w:proofErr w:type="spell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Zunyi</w:t>
      </w:r>
      <w:proofErr w:type="spellEnd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Medical University, </w:t>
      </w:r>
      <w:proofErr w:type="spell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Zunyi</w:t>
      </w:r>
      <w:proofErr w:type="spellEnd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, 563003, China</w:t>
      </w:r>
    </w:p>
    <w:p w14:paraId="58AD9357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Stem Cell Bank of Guizhou Province, Guizhou Health-Biotech Biotechnology Co., Ltd., Guiyang, 550000, China</w:t>
      </w:r>
    </w:p>
    <w:p w14:paraId="15FA5443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3 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Precision Medicine Division, Health-Biotech (Tianjin) Stem Cell Research Institute Co., Ltd., Tianjin, 301700, China</w:t>
      </w:r>
    </w:p>
    <w:p w14:paraId="3F7F5825" w14:textId="77777777" w:rsidR="007A1F1E" w:rsidRPr="001A6B60" w:rsidRDefault="007A1F1E" w:rsidP="007A1F1E">
      <w:pPr>
        <w:spacing w:after="12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de-CH"/>
        </w:rPr>
      </w:pP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eastAsia="de-CH"/>
        </w:rPr>
        <w:t xml:space="preserve">4 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  <w:lang w:eastAsia="de-CH"/>
        </w:rPr>
        <w:t>Department of Neurosurgery, The First Affiliated Hospital of Shandong First Medical University, Ji-nan, 250014, China</w:t>
      </w:r>
    </w:p>
    <w:p w14:paraId="13655A10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Jiangxi Research Center of Stem Cell Engineering, Jiangxi Health-Biotech Stem Cell Technology Co., Ltd., </w:t>
      </w:r>
      <w:proofErr w:type="spell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Shangrao</w:t>
      </w:r>
      <w:proofErr w:type="spellEnd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, 334000, China</w:t>
      </w:r>
    </w:p>
    <w:p w14:paraId="323CCA64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de-CH"/>
        </w:rPr>
      </w:pP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6 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  <w:lang w:eastAsia="de-CH"/>
        </w:rPr>
        <w:t xml:space="preserve">Department of Cerebrovascular Surgery, Affiliated Hospital of </w:t>
      </w:r>
      <w:proofErr w:type="spell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  <w:lang w:eastAsia="de-CH"/>
        </w:rPr>
        <w:t>Zunyi</w:t>
      </w:r>
      <w:proofErr w:type="spellEnd"/>
      <w:r w:rsidRPr="001A6B60">
        <w:rPr>
          <w:rFonts w:ascii="Times New Roman" w:hAnsi="Times New Roman" w:cs="Times New Roman"/>
          <w:color w:val="000000" w:themeColor="text1"/>
          <w:sz w:val="24"/>
          <w:szCs w:val="24"/>
          <w:lang w:eastAsia="de-CH"/>
        </w:rPr>
        <w:t xml:space="preserve"> Medical University, </w:t>
      </w:r>
      <w:proofErr w:type="spell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  <w:lang w:eastAsia="de-CH"/>
        </w:rPr>
        <w:t>Zunyi</w:t>
      </w:r>
      <w:proofErr w:type="spellEnd"/>
      <w:r w:rsidRPr="001A6B60">
        <w:rPr>
          <w:rFonts w:ascii="Times New Roman" w:hAnsi="Times New Roman" w:cs="Times New Roman"/>
          <w:color w:val="000000" w:themeColor="text1"/>
          <w:sz w:val="24"/>
          <w:szCs w:val="24"/>
          <w:lang w:eastAsia="de-CH"/>
        </w:rPr>
        <w:t>, 563003, China</w:t>
      </w:r>
    </w:p>
    <w:p w14:paraId="612D291B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B6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7 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Department of Anesthesiology, West China Hospital of Sichuan University, Chengdu, China</w:t>
      </w:r>
    </w:p>
    <w:p w14:paraId="1C8ED54A" w14:textId="589B59CB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# These authors contributed equally to this work.</w:t>
      </w:r>
    </w:p>
    <w:p w14:paraId="1228A2C0" w14:textId="3EA4A20A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1A6B60">
        <w:rPr>
          <w:rFonts w:ascii="Times New Roman" w:hAnsi="Times New Roman" w:cs="Times New Roman"/>
          <w:color w:val="000000" w:themeColor="text1"/>
          <w:sz w:val="24"/>
          <w:szCs w:val="28"/>
          <w:vertAlign w:val="superscript"/>
        </w:rPr>
        <w:t xml:space="preserve">* </w:t>
      </w:r>
      <w:r w:rsidRPr="001A6B60">
        <w:rPr>
          <w:rFonts w:ascii="Times New Roman" w:hAnsi="Times New Roman" w:cs="Times New Roman"/>
          <w:color w:val="000000" w:themeColor="text1"/>
          <w:sz w:val="24"/>
          <w:szCs w:val="28"/>
        </w:rPr>
        <w:t>Corresponding authors.</w:t>
      </w:r>
    </w:p>
    <w:p w14:paraId="5C6EB748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1884C9AA" w14:textId="7C5544B4" w:rsidR="007A1F1E" w:rsidRPr="001A6B60" w:rsidRDefault="007A1F1E" w:rsidP="007A1F1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Supplementary Information:</w:t>
      </w:r>
    </w:p>
    <w:p w14:paraId="5B77BBBA" w14:textId="3E183B1C" w:rsidR="00177FAE" w:rsidRPr="001A6B60" w:rsidRDefault="007A1F1E" w:rsidP="00177FA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A6B60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S</w:t>
      </w:r>
      <w:r w:rsidRPr="001A6B60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upplementary Figures</w:t>
      </w:r>
    </w:p>
    <w:p w14:paraId="4DAF55E1" w14:textId="70BFC95F" w:rsidR="007A1F1E" w:rsidRPr="001A6B60" w:rsidRDefault="00177FAE" w:rsidP="00177FAE">
      <w:pPr>
        <w:widowControl/>
        <w:spacing w:line="36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1A6B60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S</w:t>
      </w:r>
      <w:r w:rsidRPr="001A6B60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upplementary T</w:t>
      </w:r>
      <w:r w:rsidRPr="001A6B60">
        <w:rPr>
          <w:rFonts w:ascii="Times New Roman" w:hAnsi="Times New Roman" w:cs="Times New Roman" w:hint="eastAsia"/>
          <w:b/>
          <w:bCs/>
          <w:color w:val="000000" w:themeColor="text1"/>
          <w:sz w:val="24"/>
          <w:szCs w:val="28"/>
        </w:rPr>
        <w:t>able</w:t>
      </w:r>
      <w:r w:rsidRPr="001A6B60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 S1</w:t>
      </w:r>
      <w:r w:rsidR="007A1F1E" w:rsidRPr="001A6B60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br w:type="page"/>
      </w:r>
    </w:p>
    <w:p w14:paraId="41E153B6" w14:textId="6AC5B75C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B60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>S</w:t>
      </w:r>
      <w:r w:rsidRPr="001A6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upplementary Figures</w:t>
      </w:r>
    </w:p>
    <w:p w14:paraId="0EFBBE71" w14:textId="271F872F" w:rsidR="006E4D76" w:rsidRPr="001A6B60" w:rsidRDefault="006E4D76" w:rsidP="007A1F1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B6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2FF5DD76" wp14:editId="0A4228AF">
            <wp:extent cx="5266055" cy="64344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643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4A060" w14:textId="6E96A439" w:rsidR="007A1F1E" w:rsidRPr="001A6B60" w:rsidRDefault="007A1F1E" w:rsidP="007A1F1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6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Figure </w:t>
      </w:r>
      <w:r w:rsidR="00515D65" w:rsidRPr="001A6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S1</w:t>
      </w:r>
      <w:r w:rsidRPr="001A6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The </w:t>
      </w:r>
      <w:r w:rsidR="00353881" w:rsidRPr="001A6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individual </w:t>
      </w:r>
      <w:r w:rsidRPr="001A6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variations of clinical parameters before and after blood purification</w:t>
      </w:r>
    </w:p>
    <w:p w14:paraId="5F462569" w14:textId="77777777" w:rsidR="00382EB8" w:rsidRPr="001A6B60" w:rsidRDefault="007A1F1E" w:rsidP="007A1F1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85278342"/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(A) The </w:t>
      </w:r>
      <w:r w:rsidR="00353881"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individual 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variations of FiO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value, PO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value, </w:t>
      </w:r>
      <w:r w:rsidRPr="001A6B60">
        <w:rPr>
          <w:rFonts w:ascii="Times New Roman" w:eastAsia="SimSun" w:hAnsi="Times New Roman" w:cs="Times New Roman"/>
          <w:color w:val="000000" w:themeColor="text1"/>
          <w:sz w:val="24"/>
          <w:szCs w:val="24"/>
        </w:rPr>
        <w:t>P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value in the patients before and after blood purification treatment. (B) The </w:t>
      </w:r>
      <w:r w:rsidR="00353881"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 variations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LYMPH (%), LYMPH and WBC (10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9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/L) in the peripheral blood of the patients before and after blood purification treatment. (C) The </w:t>
      </w:r>
      <w:r w:rsidR="00353881"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 variations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proinflammatory 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cytokines (IL-2, IL-4, IL-6, IL-10, TNF-α, IFN-γ) in the peripheral blood of the patients before and after blood purification treatment.</w:t>
      </w:r>
      <w:r w:rsidRPr="001A6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61177DFF" w14:textId="77777777" w:rsidR="006E4D76" w:rsidRPr="001A6B60" w:rsidRDefault="006E4D76" w:rsidP="007A1F1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ectPr w:rsidR="006E4D76" w:rsidRPr="001A6B6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6E2AE86" w14:textId="371E6881" w:rsidR="00382EB8" w:rsidRPr="001A6B60" w:rsidRDefault="006E4D76" w:rsidP="007A1F1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6B6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 wp14:anchorId="5B96193B" wp14:editId="59734B59">
            <wp:extent cx="5274945" cy="4610100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65EF7" w14:textId="18013FE6" w:rsidR="00382EB8" w:rsidRPr="001A6B60" w:rsidRDefault="00382EB8" w:rsidP="007A1F1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6B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Figure S2. The individual variations of biochemical parameters before and after blood purification</w:t>
      </w:r>
    </w:p>
    <w:p w14:paraId="7BC97284" w14:textId="2E3659A2" w:rsidR="007A1F1E" w:rsidRPr="001A6B60" w:rsidRDefault="007A1F1E" w:rsidP="007A1F1E">
      <w:pPr>
        <w:spacing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382EB8"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The </w:t>
      </w:r>
      <w:r w:rsidR="00353881"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 variations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AST, ALB, </w:t>
      </w:r>
      <w:r w:rsidR="00382EB8"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HGB 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and ALT in the patients before and after blood purification treatment. (</w:t>
      </w:r>
      <w:r w:rsidR="00382EB8"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The </w:t>
      </w:r>
      <w:r w:rsidR="00353881"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 variations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SCR and BUN in the patients before and after blood purification treatment. </w:t>
      </w:r>
      <w:r w:rsidR="00382EB8"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(F) The individual variations of BNP, TNT, MYO in the patients before and after blood purification treatment. 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data were shown as violin diagrams. </w:t>
      </w:r>
      <w:r w:rsidRPr="001A6B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All the data were </w:t>
      </w: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shown as </w:t>
      </w:r>
      <w:proofErr w:type="spellStart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>Mean±SEM</w:t>
      </w:r>
      <w:proofErr w:type="spellEnd"/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(N=5 individuals). *, P&lt;0.05; **, P&lt;0.01; NS, not significant.”</w:t>
      </w:r>
      <w:r w:rsidRPr="001A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bookmarkEnd w:id="2"/>
    <w:p w14:paraId="4E6B69A7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5AD0AA78" w14:textId="46B0491B" w:rsidR="00177FAE" w:rsidRPr="001A6B60" w:rsidRDefault="00177FAE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B60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0B4A70C" w14:textId="09B1FBA6" w:rsidR="00177FAE" w:rsidRPr="001A6B60" w:rsidRDefault="00177FAE" w:rsidP="00177FA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6B60">
        <w:rPr>
          <w:rFonts w:ascii="Times New Roman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>S</w:t>
      </w:r>
      <w:r w:rsidRPr="001A6B6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upplementary Table S1</w:t>
      </w:r>
    </w:p>
    <w:p w14:paraId="44706E70" w14:textId="77777777" w:rsidR="00177FAE" w:rsidRPr="001A6B60" w:rsidRDefault="00177FAE" w:rsidP="00177FAE">
      <w:pPr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1A6B60">
        <w:rPr>
          <w:rFonts w:ascii="Times New Roman" w:hint="eastAsia"/>
          <w:b/>
          <w:bCs/>
          <w:color w:val="000000" w:themeColor="text1"/>
          <w:sz w:val="24"/>
          <w:szCs w:val="24"/>
        </w:rPr>
        <w:t>T</w:t>
      </w:r>
      <w:r w:rsidRPr="001A6B60">
        <w:rPr>
          <w:rFonts w:ascii="Times New Roman"/>
          <w:b/>
          <w:bCs/>
          <w:color w:val="000000" w:themeColor="text1"/>
          <w:sz w:val="24"/>
          <w:szCs w:val="24"/>
        </w:rPr>
        <w:t>able S1 The choice of CRRT pattern on solute scavenging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660"/>
        <w:gridCol w:w="1376"/>
        <w:gridCol w:w="1274"/>
        <w:gridCol w:w="2055"/>
        <w:gridCol w:w="1941"/>
      </w:tblGrid>
      <w:tr w:rsidR="001A6B60" w:rsidRPr="001A6B60" w14:paraId="1832AAC3" w14:textId="77777777" w:rsidTr="00693EF8"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2849A185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P</w:t>
            </w: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attern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</w:tcBorders>
          </w:tcPr>
          <w:p w14:paraId="2BC63532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Convection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DF39CBF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Dispersion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D14692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substitution fluid</w:t>
            </w:r>
          </w:p>
        </w:tc>
        <w:tc>
          <w:tcPr>
            <w:tcW w:w="2035" w:type="dxa"/>
            <w:tcBorders>
              <w:top w:val="single" w:sz="4" w:space="0" w:color="auto"/>
              <w:bottom w:val="single" w:sz="4" w:space="0" w:color="auto"/>
            </w:tcBorders>
          </w:tcPr>
          <w:p w14:paraId="388D1A31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dialysis solution</w:t>
            </w:r>
          </w:p>
        </w:tc>
      </w:tr>
      <w:tr w:rsidR="001A6B60" w:rsidRPr="001A6B60" w14:paraId="7CE7FBD2" w14:textId="77777777" w:rsidTr="00693EF8">
        <w:trPr>
          <w:trHeight w:val="318"/>
        </w:trPr>
        <w:tc>
          <w:tcPr>
            <w:tcW w:w="1704" w:type="dxa"/>
            <w:tcBorders>
              <w:top w:val="single" w:sz="4" w:space="0" w:color="auto"/>
            </w:tcBorders>
          </w:tcPr>
          <w:p w14:paraId="6ACDAFF6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SCUF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14:paraId="6FE46840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8805111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DB2CFB7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35" w:type="dxa"/>
            <w:tcBorders>
              <w:top w:val="single" w:sz="4" w:space="0" w:color="auto"/>
            </w:tcBorders>
          </w:tcPr>
          <w:p w14:paraId="2FD797D1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6B60" w:rsidRPr="001A6B60" w14:paraId="65FC3AB4" w14:textId="77777777" w:rsidTr="00693EF8">
        <w:trPr>
          <w:trHeight w:val="363"/>
        </w:trPr>
        <w:tc>
          <w:tcPr>
            <w:tcW w:w="1704" w:type="dxa"/>
          </w:tcPr>
          <w:p w14:paraId="6AB4B1C1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CVVH</w:t>
            </w:r>
          </w:p>
        </w:tc>
        <w:tc>
          <w:tcPr>
            <w:tcW w:w="1381" w:type="dxa"/>
          </w:tcPr>
          <w:p w14:paraId="31142CBB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+++</w:t>
            </w:r>
          </w:p>
        </w:tc>
        <w:tc>
          <w:tcPr>
            <w:tcW w:w="1276" w:type="dxa"/>
          </w:tcPr>
          <w:p w14:paraId="6E04BFD2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473FDCD7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++++</w:t>
            </w:r>
          </w:p>
        </w:tc>
        <w:tc>
          <w:tcPr>
            <w:tcW w:w="2035" w:type="dxa"/>
          </w:tcPr>
          <w:p w14:paraId="78080030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1A6B60" w:rsidRPr="001A6B60" w14:paraId="1F125DD8" w14:textId="77777777" w:rsidTr="00693EF8">
        <w:trPr>
          <w:trHeight w:val="261"/>
        </w:trPr>
        <w:tc>
          <w:tcPr>
            <w:tcW w:w="1704" w:type="dxa"/>
          </w:tcPr>
          <w:p w14:paraId="1865029B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CVVHD</w:t>
            </w:r>
          </w:p>
        </w:tc>
        <w:tc>
          <w:tcPr>
            <w:tcW w:w="1381" w:type="dxa"/>
          </w:tcPr>
          <w:p w14:paraId="7621A768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04203C58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+++</w:t>
            </w:r>
          </w:p>
        </w:tc>
        <w:tc>
          <w:tcPr>
            <w:tcW w:w="2126" w:type="dxa"/>
          </w:tcPr>
          <w:p w14:paraId="63B79D4F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35" w:type="dxa"/>
          </w:tcPr>
          <w:p w14:paraId="161AD963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++++</w:t>
            </w:r>
          </w:p>
        </w:tc>
      </w:tr>
      <w:tr w:rsidR="00177FAE" w:rsidRPr="001A6B60" w14:paraId="6569100B" w14:textId="77777777" w:rsidTr="00693EF8">
        <w:trPr>
          <w:trHeight w:val="306"/>
        </w:trPr>
        <w:tc>
          <w:tcPr>
            <w:tcW w:w="1704" w:type="dxa"/>
          </w:tcPr>
          <w:p w14:paraId="1EA6E7C2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CVVHDF</w:t>
            </w:r>
          </w:p>
        </w:tc>
        <w:tc>
          <w:tcPr>
            <w:tcW w:w="1381" w:type="dxa"/>
          </w:tcPr>
          <w:p w14:paraId="0415D17A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++</w:t>
            </w:r>
          </w:p>
        </w:tc>
        <w:tc>
          <w:tcPr>
            <w:tcW w:w="1276" w:type="dxa"/>
          </w:tcPr>
          <w:p w14:paraId="5411DA2F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++</w:t>
            </w:r>
          </w:p>
        </w:tc>
        <w:tc>
          <w:tcPr>
            <w:tcW w:w="2126" w:type="dxa"/>
          </w:tcPr>
          <w:p w14:paraId="4BEC2500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++</w:t>
            </w:r>
          </w:p>
        </w:tc>
        <w:tc>
          <w:tcPr>
            <w:tcW w:w="2035" w:type="dxa"/>
          </w:tcPr>
          <w:p w14:paraId="3D54485E" w14:textId="77777777" w:rsidR="00177FAE" w:rsidRPr="001A6B60" w:rsidRDefault="00177FAE" w:rsidP="00177FAE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++</w:t>
            </w:r>
          </w:p>
        </w:tc>
      </w:tr>
    </w:tbl>
    <w:p w14:paraId="73F17223" w14:textId="77777777" w:rsidR="007A1F1E" w:rsidRPr="001A6B60" w:rsidRDefault="007A1F1E" w:rsidP="007A1F1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6A2134" w14:textId="77777777" w:rsidR="007A1F1E" w:rsidRPr="001A6B60" w:rsidRDefault="007A1F1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1F1E" w:rsidRPr="001A6B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3E513" w14:textId="77777777" w:rsidR="00A2014E" w:rsidRDefault="00A2014E" w:rsidP="004576BD">
      <w:r>
        <w:separator/>
      </w:r>
    </w:p>
  </w:endnote>
  <w:endnote w:type="continuationSeparator" w:id="0">
    <w:p w14:paraId="6A82E0D8" w14:textId="77777777" w:rsidR="00A2014E" w:rsidRDefault="00A2014E" w:rsidP="0045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D81AA" w14:textId="77777777" w:rsidR="00A2014E" w:rsidRDefault="00A2014E" w:rsidP="004576BD">
      <w:r>
        <w:separator/>
      </w:r>
    </w:p>
  </w:footnote>
  <w:footnote w:type="continuationSeparator" w:id="0">
    <w:p w14:paraId="482AB601" w14:textId="77777777" w:rsidR="00A2014E" w:rsidRDefault="00A2014E" w:rsidP="00457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92"/>
    <w:rsid w:val="00177FAE"/>
    <w:rsid w:val="001A6B60"/>
    <w:rsid w:val="00353881"/>
    <w:rsid w:val="00382EB8"/>
    <w:rsid w:val="004576BD"/>
    <w:rsid w:val="00515D65"/>
    <w:rsid w:val="006E4D76"/>
    <w:rsid w:val="007A1F1E"/>
    <w:rsid w:val="007A5DB7"/>
    <w:rsid w:val="00937186"/>
    <w:rsid w:val="00A2014E"/>
    <w:rsid w:val="00A251C8"/>
    <w:rsid w:val="00AE4C1C"/>
    <w:rsid w:val="00BA4F15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70435"/>
  <w15:chartTrackingRefBased/>
  <w15:docId w15:val="{4E403724-0A90-452D-BFA5-5FC40F40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76B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57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76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磊升</dc:creator>
  <cp:keywords/>
  <dc:description/>
  <cp:lastModifiedBy>William Murano</cp:lastModifiedBy>
  <cp:revision>9</cp:revision>
  <dcterms:created xsi:type="dcterms:W3CDTF">2021-10-16T05:07:00Z</dcterms:created>
  <dcterms:modified xsi:type="dcterms:W3CDTF">2021-10-26T09:13:00Z</dcterms:modified>
</cp:coreProperties>
</file>