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1DDD" w14:textId="77777777" w:rsidR="00837068" w:rsidRPr="007F4FAD" w:rsidRDefault="00837068" w:rsidP="00837068">
      <w:pPr>
        <w:pStyle w:val="Heading1"/>
        <w:spacing w:line="480" w:lineRule="auto"/>
        <w:rPr>
          <w:rFonts w:ascii="Times New Roman" w:hAnsi="Times New Roman" w:cs="Times New Roman"/>
          <w:b/>
          <w:bCs/>
          <w:color w:val="000000" w:themeColor="text1"/>
          <w:sz w:val="24"/>
          <w:szCs w:val="24"/>
        </w:rPr>
      </w:pPr>
      <w:bookmarkStart w:id="0" w:name="_Toc72744930"/>
      <w:r w:rsidRPr="007F4FAD">
        <w:rPr>
          <w:rFonts w:ascii="Times New Roman" w:hAnsi="Times New Roman" w:cs="Times New Roman"/>
          <w:b/>
          <w:bCs/>
          <w:color w:val="000000" w:themeColor="text1"/>
          <w:sz w:val="24"/>
          <w:szCs w:val="24"/>
        </w:rPr>
        <w:t>Supplemental Information</w:t>
      </w:r>
      <w:bookmarkEnd w:id="0"/>
    </w:p>
    <w:p w14:paraId="1D4F980E" w14:textId="77777777" w:rsidR="00837068" w:rsidRPr="00AB272E" w:rsidRDefault="00837068" w:rsidP="00837068">
      <w:pPr>
        <w:spacing w:line="480" w:lineRule="auto"/>
        <w:rPr>
          <w:rFonts w:ascii="Times New Roman" w:hAnsi="Times New Roman" w:cs="Times New Roman"/>
          <w:color w:val="000000" w:themeColor="text1"/>
        </w:rPr>
      </w:pPr>
      <w:r w:rsidRPr="00AB272E">
        <w:rPr>
          <w:rFonts w:ascii="Times New Roman" w:hAnsi="Times New Roman" w:cs="Times New Roman"/>
          <w:color w:val="000000" w:themeColor="text1"/>
        </w:rPr>
        <w:t>The secondary and tertiary structures of the AMPs were assessed using PEP2D (</w:t>
      </w:r>
      <w:hyperlink r:id="rId4" w:history="1">
        <w:r w:rsidRPr="00AB272E">
          <w:rPr>
            <w:rStyle w:val="Hyperlink"/>
            <w:rFonts w:ascii="Times New Roman" w:hAnsi="Times New Roman" w:cs="Times New Roman"/>
            <w:color w:val="000000" w:themeColor="text1"/>
          </w:rPr>
          <w:t>http://crdd.osdd.net/raghava/pep2d/submit.html</w:t>
        </w:r>
      </w:hyperlink>
      <w:r w:rsidRPr="00AB272E">
        <w:rPr>
          <w:rFonts w:ascii="Times New Roman" w:hAnsi="Times New Roman" w:cs="Times New Roman"/>
          <w:color w:val="000000" w:themeColor="text1"/>
        </w:rPr>
        <w:t>) and PEP-FOLD3 (</w:t>
      </w:r>
      <w:hyperlink r:id="rId5" w:history="1">
        <w:r w:rsidRPr="00AB272E">
          <w:rPr>
            <w:rStyle w:val="Hyperlink"/>
            <w:rFonts w:ascii="Times New Roman" w:hAnsi="Times New Roman" w:cs="Times New Roman"/>
            <w:color w:val="000000" w:themeColor="text1"/>
          </w:rPr>
          <w:t>https://bioserv.rpbs.univ-paris-diderot.fr/services/PEP-FOLD3/</w:t>
        </w:r>
      </w:hyperlink>
      <w:r w:rsidRPr="00AB272E">
        <w:rPr>
          <w:rFonts w:ascii="Times New Roman" w:hAnsi="Times New Roman" w:cs="Times New Roman"/>
          <w:color w:val="000000" w:themeColor="text1"/>
        </w:rPr>
        <w:t xml:space="preserve">) where the FASTA sequences was input, ran and the resulting predictions incorporated into </w:t>
      </w:r>
      <w:r w:rsidRPr="00AB272E">
        <w:rPr>
          <w:rFonts w:ascii="Times New Roman" w:hAnsi="Times New Roman" w:cs="Times New Roman"/>
          <w:b/>
          <w:bCs/>
          <w:color w:val="000000" w:themeColor="text1"/>
        </w:rPr>
        <w:t>Table S1</w:t>
      </w:r>
      <w:r w:rsidRPr="00AB272E">
        <w:rPr>
          <w:rFonts w:ascii="Times New Roman" w:hAnsi="Times New Roman" w:cs="Times New Roman"/>
          <w:color w:val="000000" w:themeColor="text1"/>
        </w:rPr>
        <w:fldChar w:fldCharType="begin" w:fldLock="1"/>
      </w:r>
      <w:r w:rsidRPr="00AB272E">
        <w:rPr>
          <w:rFonts w:ascii="Times New Roman" w:hAnsi="Times New Roman" w:cs="Times New Roman"/>
          <w:color w:val="000000" w:themeColor="text1"/>
        </w:rPr>
        <w:instrText>ADDIN CSL_CITATION {"citationItems":[{"id":"ITEM-1","itemData":{"DOI":"10.1101/558791","abstract":"BACKGROUND In the past, large numbers of methods have been developed for predicting secondary structure of proteins. Best of author’s knowledge no method has been specifically developed for predicting secondary structure of peptides. We analyzed secondary structure of peptides and proteins; it was observed that same peptide in protein adopt different secondary structures. Considering the wide application of peptides in therapeutic market, we made attempt to develop a method called PEP2D for predicting secondary structure of peptides.RESULTS In this study, 3107 unique peptides have been used to train, test and evaluate peptide secondary structure prediction models. It was observed that regular secondary structure content (e.g., helix, beta-sheet) increased with length of peptides. Firstly, models based on various machine-learning techniques have been developed using binary profile of peptides and achieved maximum overall accuracy (Q3) 79.5%. The performance of models further improved from 79.5% to 83.5% using evolutionary information in the form of PSSM profile. We also evaluate performance of protein secondary structure prediction method PSIPRED on our dataset and achieved maximum accuracy 76.9%; particularly poor (Q3 71.4%) for small peptides having length less than 10 residues. Overall, PEP2D has better prediction of beta-sheets (Q3 74%) and coil region (Q3 87%) of peptides as compare to PSIPRED (Q3 54.4% for beta-sheet and Q3 77.9% for coil). We also measure performance of PSIPRED and PEP2D in terms of segment overlap (SOV); achieved 69.3 and 76.7 respectively.CONCLUSION Our observations indicate that there is a need of developing separate method for predicting secondary structure of peptides. It was also observed that models based on PSSM profile perform poor on small peptides in comparison to long peptides. Based on our study, we developed method for predicting secondary structure of peptides. In order to provide service to user, a webserver/standalone has been developed (https://webs.iiitd.edu.in/raghava/pep2d/).","author":[{"dropping-particle":"","family":"Singh","given":"Harinder","non-dropping-particle":"","parse-names":false,"suffix":""},{"dropping-particle":"","family":"Singh","given":"Sandeep","non-dropping-particle":"","parse-names":false,"suffix":""},{"dropping-particle":"","family":"Singh Raghava","given":"Gajendra Pal","non-dropping-particle":"","parse-names":false,"suffix":""}],"container-title":"bioRxiv","id":"ITEM-1","issued":{"date-parts":[["2019","1","1"]]},"page":"558791","title":"Peptide Secondary Structure Prediction using Evolutionary Information","type":"article-journal"},"uris":["http://www.mendeley.com/documents/?uuid=e9c0e466-4d4d-46b0-8921-0e3a30894767"]},{"id":"ITEM-2","itemData":{"DOI":"10.1093/nar/gkw329","ISSN":"1362-4962","abstract":"Structure determination of linear peptides of 5-50 amino acids in aqueous solution and interacting with proteins is a key aspect in structural biology. PEP-FOLD3 is a novel computational framework, that allows both (i) de novo free or biased prediction for linear peptides between 5 and 50 amino acids, and (ii) the generation of native-like conformations of peptides interacting with a protein when the interaction site is known in advance. PEP-FOLD3 is fast, and usually returns solutions in a few minutes. Testing PEP-FOLD3 on 56 peptides in aqueous solution led to experimental-like conformations for 80% of the targets. Using a benchmark of 61 peptide-protein targets starting from the unbound form of the protein receptor, PEP-FOLD3 was able to generate peptide poses deviating on average by 3.3Å from the experimental conformation and return a native-like pose in the first 10 clusters for 52% of the targets. PEP-FOLD3 is available at http://bioserv.rpbs.univ-paris-diderot.fr/services/PEP-FOLD3.","author":[{"dropping-particle":"","family":"Lamiable","given":"Alexis","non-dropping-particle":"","parse-names":false,"suffix":""},{"dropping-particle":"","family":"Thévenet","given":"Pierre","non-dropping-particle":"","parse-names":false,"suffix":""},{"dropping-particle":"","family":"Rey","given":"Julien","non-dropping-particle":"","parse-names":false,"suffix":""},{"dropping-particle":"","family":"Vavrusa","given":"Marek","non-dropping-particle":"","parse-names":false,"suffix":""},{"dropping-particle":"","family":"Derreumaux","given":"Philippe","non-dropping-particle":"","parse-names":false,"suffix":""},{"dropping-particle":"","family":"Tufféry","given":"Pierre","non-dropping-particle":"","parse-names":false,"suffix":""}],"container-title":"Nucleic acids research","edition":"2016/04/29","id":"ITEM-2","issue":"W1","issued":{"date-parts":[["2016","7","8"]]},"language":"eng","page":"W449-W454","publisher":"Oxford University Press","title":"PEP-FOLD3: faster de novo structure prediction for linear peptides in solution and in complex","type":"article-journal","volume":"44"},"uris":["http://www.mendeley.com/documents/?uuid=86ad526a-a217-427b-9966-01d42c68e255"]}],"mendeley":{"formattedCitation":"(Singh, Singh, and Singh Raghava 2019; Lamiable et al. 2016)","plainTextFormattedCitation":"(Singh, Singh, and Singh Raghava 2019; Lamiable et al. 2016)","previouslyFormattedCitation":"(Singh, Singh, and Singh Raghava 2019; Lamiable et al. 2016)"},"properties":{"noteIndex":0},"schema":"https://github.com/citation-style-language/schema/raw/master/csl-citation.json"}</w:instrText>
      </w:r>
      <w:r w:rsidRPr="00AB272E">
        <w:rPr>
          <w:rFonts w:ascii="Times New Roman" w:hAnsi="Times New Roman" w:cs="Times New Roman"/>
          <w:color w:val="000000" w:themeColor="text1"/>
        </w:rPr>
        <w:fldChar w:fldCharType="separate"/>
      </w:r>
      <w:r w:rsidRPr="00AB272E">
        <w:rPr>
          <w:rFonts w:ascii="Times New Roman" w:hAnsi="Times New Roman" w:cs="Times New Roman"/>
          <w:noProof/>
          <w:color w:val="000000" w:themeColor="text1"/>
        </w:rPr>
        <w:t>(Singh, Singh, and Singh Raghava 2019; Lamiable et al. 2016)</w:t>
      </w:r>
      <w:r w:rsidRPr="00AB272E">
        <w:rPr>
          <w:rFonts w:ascii="Times New Roman" w:hAnsi="Times New Roman" w:cs="Times New Roman"/>
          <w:color w:val="000000" w:themeColor="text1"/>
        </w:rPr>
        <w:fldChar w:fldCharType="end"/>
      </w:r>
      <w:r w:rsidRPr="00AB272E">
        <w:rPr>
          <w:rFonts w:ascii="Times New Roman" w:hAnsi="Times New Roman" w:cs="Times New Roman"/>
          <w:color w:val="000000" w:themeColor="text1"/>
        </w:rPr>
        <w:t xml:space="preserve">. The amphipathicity was projected using a helical wheel via </w:t>
      </w:r>
      <w:proofErr w:type="spellStart"/>
      <w:r w:rsidRPr="00AB272E">
        <w:rPr>
          <w:rFonts w:ascii="Times New Roman" w:hAnsi="Times New Roman" w:cs="Times New Roman"/>
          <w:color w:val="000000" w:themeColor="text1"/>
        </w:rPr>
        <w:t>HeliQuest</w:t>
      </w:r>
      <w:proofErr w:type="spellEnd"/>
      <w:r w:rsidRPr="00AB272E">
        <w:rPr>
          <w:rFonts w:ascii="Times New Roman" w:hAnsi="Times New Roman" w:cs="Times New Roman"/>
          <w:color w:val="000000" w:themeColor="text1"/>
        </w:rPr>
        <w:fldChar w:fldCharType="begin" w:fldLock="1"/>
      </w:r>
      <w:r w:rsidRPr="00AB272E">
        <w:rPr>
          <w:rFonts w:ascii="Times New Roman" w:hAnsi="Times New Roman" w:cs="Times New Roman"/>
          <w:color w:val="000000" w:themeColor="text1"/>
        </w:rPr>
        <w:instrText>ADDIN CSL_CITATION {"citationItems":[{"id":"ITEM-1","itemData":{"DOI":"10.1093/bioinformatics/btn392","ISSN":"1367-4803","abstract":"Summary: HELIQUEST calculates the physicochemical properties and amino acid composition of an α-helix and screens databank to identify protein segments possessing similar features. This server is also dedicated to mutating helices manually or automatically by genetic algorithm to design analogues of defined features.Availability:http://heliquest.ipmc.cnrs.frContact:gautier@ipmc.cnrs.fr","author":[{"dropping-particle":"","family":"Gautier","given":"Romain","non-dropping-particle":"","parse-names":false,"suffix":""},{"dropping-particle":"","family":"Douguet","given":"Dominique","non-dropping-particle":"","parse-names":false,"suffix":""},{"dropping-particle":"","family":"Antonny","given":"Bruno","non-dropping-particle":"","parse-names":false,"suffix":""},{"dropping-particle":"","family":"Drin","given":"Guillaume","non-dropping-particle":"","parse-names":false,"suffix":""}],"container-title":"Bioinformatics","id":"ITEM-1","issue":"18","issued":{"date-parts":[["2008","9","15"]]},"page":"2101-2102","title":"HELIQUEST: a web server to screen sequences with specific α-helical properties","type":"article-journal","volume":"24"},"uris":["http://www.mendeley.com/documents/?uuid=aadb2d56-ef35-4ddc-a745-355d05372d9d"]}],"mendeley":{"formattedCitation":"(Gautier et al. 2008)","plainTextFormattedCitation":"(Gautier et al. 2008)","previouslyFormattedCitation":"(Gautier et al. 2008)"},"properties":{"noteIndex":0},"schema":"https://github.com/citation-style-language/schema/raw/master/csl-citation.json"}</w:instrText>
      </w:r>
      <w:r w:rsidRPr="00AB272E">
        <w:rPr>
          <w:rFonts w:ascii="Times New Roman" w:hAnsi="Times New Roman" w:cs="Times New Roman"/>
          <w:color w:val="000000" w:themeColor="text1"/>
        </w:rPr>
        <w:fldChar w:fldCharType="separate"/>
      </w:r>
      <w:r w:rsidRPr="00AB272E">
        <w:rPr>
          <w:rFonts w:ascii="Times New Roman" w:hAnsi="Times New Roman" w:cs="Times New Roman"/>
          <w:noProof/>
          <w:color w:val="000000" w:themeColor="text1"/>
        </w:rPr>
        <w:t>(Gautier et al. 2008)</w:t>
      </w:r>
      <w:r w:rsidRPr="00AB272E">
        <w:rPr>
          <w:rFonts w:ascii="Times New Roman" w:hAnsi="Times New Roman" w:cs="Times New Roman"/>
          <w:color w:val="000000" w:themeColor="text1"/>
        </w:rPr>
        <w:fldChar w:fldCharType="end"/>
      </w:r>
      <w:r w:rsidRPr="00AB272E">
        <w:rPr>
          <w:rFonts w:ascii="Times New Roman" w:hAnsi="Times New Roman" w:cs="Times New Roman"/>
          <w:color w:val="000000" w:themeColor="text1"/>
        </w:rPr>
        <w:t xml:space="preserve">. These predictions were conducted to determine the likelihood for the AMPs to penetrate the bacterial bilayer membrane for antimicrobial activity with the structures shown in </w:t>
      </w:r>
      <w:r w:rsidRPr="00AB272E">
        <w:rPr>
          <w:rFonts w:ascii="Times New Roman" w:hAnsi="Times New Roman" w:cs="Times New Roman"/>
          <w:b/>
          <w:bCs/>
          <w:color w:val="000000" w:themeColor="text1"/>
        </w:rPr>
        <w:t>Table S1</w:t>
      </w:r>
      <w:r w:rsidRPr="00AB272E">
        <w:rPr>
          <w:rFonts w:ascii="Times New Roman" w:hAnsi="Times New Roman" w:cs="Times New Roman"/>
          <w:color w:val="000000" w:themeColor="text1"/>
        </w:rPr>
        <w:t xml:space="preserve">. All PHNX AMPs were predicted to have a helix for at least part of the peptide. PHNX-4 and -5 predicted to form a helix close to the N-terminus. PHNX-8 predicted a secondary structure with helices, coils with a rana-box near the C-terminus and a tertiary structure with a N-terminal helix and a C-terminal coil. Given the diversity in the structures of naturally occurring AMPs, the synthetic PHNX AMPs are predicted to form helices mixed with coils with close similarity to the structures of exiting, naturally occurring AMPs; hence, it is likely the predicted structures will allow bacterial penetrance and membrane rupture </w:t>
      </w:r>
      <w:r w:rsidRPr="00AB272E">
        <w:rPr>
          <w:rFonts w:ascii="Times New Roman" w:hAnsi="Times New Roman" w:cs="Times New Roman"/>
          <w:i/>
          <w:iCs/>
          <w:color w:val="000000" w:themeColor="text1"/>
        </w:rPr>
        <w:t>in</w:t>
      </w:r>
      <w:r w:rsidRPr="00AB272E">
        <w:rPr>
          <w:rFonts w:ascii="Times New Roman" w:hAnsi="Times New Roman" w:cs="Times New Roman"/>
          <w:color w:val="000000" w:themeColor="text1"/>
        </w:rPr>
        <w:t>-</w:t>
      </w:r>
      <w:r w:rsidRPr="00AB272E">
        <w:rPr>
          <w:rFonts w:ascii="Times New Roman" w:hAnsi="Times New Roman" w:cs="Times New Roman"/>
          <w:i/>
          <w:iCs/>
          <w:color w:val="000000" w:themeColor="text1"/>
        </w:rPr>
        <w:t>vitro</w:t>
      </w:r>
      <w:r w:rsidRPr="00AB272E">
        <w:rPr>
          <w:rFonts w:ascii="Times New Roman" w:hAnsi="Times New Roman" w:cs="Times New Roman"/>
          <w:color w:val="000000" w:themeColor="text1"/>
        </w:rPr>
        <w:t xml:space="preserve">. </w:t>
      </w:r>
    </w:p>
    <w:p w14:paraId="118912BA" w14:textId="77777777" w:rsidR="00837068" w:rsidRPr="00AB272E" w:rsidRDefault="00837068" w:rsidP="00837068">
      <w:pPr>
        <w:spacing w:line="480" w:lineRule="auto"/>
        <w:rPr>
          <w:rFonts w:ascii="Times New Roman" w:hAnsi="Times New Roman" w:cs="Times New Roman"/>
          <w:b/>
          <w:bCs/>
          <w:color w:val="000000" w:themeColor="text1"/>
        </w:rPr>
      </w:pPr>
      <w:r w:rsidRPr="00AB272E">
        <w:rPr>
          <w:rFonts w:ascii="Times New Roman" w:hAnsi="Times New Roman" w:cs="Times New Roman"/>
          <w:b/>
          <w:bCs/>
          <w:color w:val="000000" w:themeColor="text1"/>
        </w:rPr>
        <w:t xml:space="preserve">Table S1. </w:t>
      </w:r>
      <w:r w:rsidRPr="00AB272E">
        <w:rPr>
          <w:rFonts w:ascii="Times New Roman" w:hAnsi="Times New Roman" w:cs="Times New Roman"/>
          <w:color w:val="000000" w:themeColor="text1"/>
        </w:rPr>
        <w:t>Secondary and tertiary structures of the designed synthetic AMPs</w:t>
      </w:r>
    </w:p>
    <w:tbl>
      <w:tblPr>
        <w:tblStyle w:val="TableGrid"/>
        <w:tblW w:w="9535" w:type="dxa"/>
        <w:jc w:val="center"/>
        <w:tblLayout w:type="fixed"/>
        <w:tblLook w:val="04A0" w:firstRow="1" w:lastRow="0" w:firstColumn="1" w:lastColumn="0" w:noHBand="0" w:noVBand="1"/>
      </w:tblPr>
      <w:tblGrid>
        <w:gridCol w:w="985"/>
        <w:gridCol w:w="2430"/>
        <w:gridCol w:w="3420"/>
        <w:gridCol w:w="2700"/>
      </w:tblGrid>
      <w:tr w:rsidR="00837068" w:rsidRPr="00AB272E" w14:paraId="55EE53A2" w14:textId="77777777" w:rsidTr="0062422F">
        <w:trPr>
          <w:trHeight w:val="143"/>
          <w:jc w:val="center"/>
        </w:trPr>
        <w:tc>
          <w:tcPr>
            <w:tcW w:w="985" w:type="dxa"/>
            <w:vAlign w:val="bottom"/>
          </w:tcPr>
          <w:p w14:paraId="52A0218A" w14:textId="77777777" w:rsidR="00837068" w:rsidRPr="00AB272E" w:rsidRDefault="00837068" w:rsidP="0062422F">
            <w:pPr>
              <w:jc w:val="center"/>
              <w:rPr>
                <w:rFonts w:ascii="Times New Roman" w:hAnsi="Times New Roman" w:cs="Times New Roman"/>
                <w:b/>
                <w:bCs/>
                <w:color w:val="000000" w:themeColor="text1"/>
              </w:rPr>
            </w:pPr>
            <w:r w:rsidRPr="00AB272E">
              <w:rPr>
                <w:rFonts w:ascii="Times New Roman" w:hAnsi="Times New Roman" w:cs="Times New Roman"/>
                <w:b/>
                <w:bCs/>
                <w:color w:val="000000" w:themeColor="text1"/>
              </w:rPr>
              <w:t>Name</w:t>
            </w:r>
          </w:p>
        </w:tc>
        <w:tc>
          <w:tcPr>
            <w:tcW w:w="2430" w:type="dxa"/>
            <w:vAlign w:val="bottom"/>
          </w:tcPr>
          <w:p w14:paraId="64339F45" w14:textId="77777777" w:rsidR="00837068" w:rsidRPr="00AB272E" w:rsidRDefault="00837068" w:rsidP="0062422F">
            <w:pPr>
              <w:jc w:val="center"/>
              <w:rPr>
                <w:rFonts w:ascii="Times New Roman" w:hAnsi="Times New Roman" w:cs="Times New Roman"/>
                <w:b/>
                <w:bCs/>
                <w:color w:val="000000" w:themeColor="text1"/>
              </w:rPr>
            </w:pPr>
            <w:r w:rsidRPr="00AB272E">
              <w:rPr>
                <w:rFonts w:ascii="Times New Roman" w:hAnsi="Times New Roman" w:cs="Times New Roman"/>
                <w:b/>
                <w:bCs/>
                <w:color w:val="000000" w:themeColor="text1"/>
              </w:rPr>
              <w:t>Tertiary Structure</w:t>
            </w:r>
            <w:r w:rsidRPr="00AB272E">
              <w:rPr>
                <w:rFonts w:ascii="Times New Roman" w:hAnsi="Times New Roman" w:cs="Times New Roman"/>
                <w:b/>
                <w:bCs/>
                <w:color w:val="000000" w:themeColor="text1"/>
              </w:rPr>
              <w:fldChar w:fldCharType="begin" w:fldLock="1"/>
            </w:r>
            <w:r w:rsidRPr="00AB272E">
              <w:rPr>
                <w:rFonts w:ascii="Times New Roman" w:hAnsi="Times New Roman" w:cs="Times New Roman"/>
                <w:b/>
                <w:bCs/>
                <w:color w:val="000000" w:themeColor="text1"/>
              </w:rPr>
              <w:instrText>ADDIN CSL_CITATION {"citationItems":[{"id":"ITEM-1","itemData":{"DOI":"10.1093/nar/gkw329","ISSN":"1362-4962","abstract":"Structure determination of linear peptides of 5-50 amino acids in aqueous solution and interacting with proteins is a key aspect in structural biology. PEP-FOLD3 is a novel computational framework, that allows both (i) de novo free or biased prediction for linear peptides between 5 and 50 amino acids, and (ii) the generation of native-like conformations of peptides interacting with a protein when the interaction site is known in advance. PEP-FOLD3 is fast, and usually returns solutions in a few minutes. Testing PEP-FOLD3 on 56 peptides in aqueous solution led to experimental-like conformations for 80% of the targets. Using a benchmark of 61 peptide-protein targets starting from the unbound form of the protein receptor, PEP-FOLD3 was able to generate peptide poses deviating on average by 3.3Å from the experimental conformation and return a native-like pose in the first 10 clusters for 52% of the targets. PEP-FOLD3 is available at http://bioserv.rpbs.univ-paris-diderot.fr/services/PEP-FOLD3.","author":[{"dropping-particle":"","family":"Lamiable","given":"Alexis","non-dropping-particle":"","parse-names":false,"suffix":""},{"dropping-particle":"","family":"Thévenet","given":"Pierre","non-dropping-particle":"","parse-names":false,"suffix":""},{"dropping-particle":"","family":"Rey","given":"Julien","non-dropping-particle":"","parse-names":false,"suffix":""},{"dropping-particle":"","family":"Vavrusa","given":"Marek","non-dropping-particle":"","parse-names":false,"suffix":""},{"dropping-particle":"","family":"Derreumaux","given":"Philippe","non-dropping-particle":"","parse-names":false,"suffix":""},{"dropping-particle":"","family":"Tufféry","given":"Pierre","non-dropping-particle":"","parse-names":false,"suffix":""}],"container-title":"Nucleic acids research","edition":"2016/04/29","id":"ITEM-1","issue":"W1","issued":{"date-parts":[["2016","7","8"]]},"language":"eng","page":"W449-W454","publisher":"Oxford University Press","title":"PEP-FOLD3: faster de novo structure prediction for linear peptides in solution and in complex","type":"article-journal","volume":"44"},"uris":["http://www.mendeley.com/documents/?uuid=86ad526a-a217-427b-9966-01d42c68e255"]}],"mendeley":{"formattedCitation":"(Lamiable et al. 2016)","plainTextFormattedCitation":"(Lamiable et al. 2016)","previouslyFormattedCitation":"(Lamiable et al. 2016)"},"properties":{"noteIndex":0},"schema":"https://github.com/citation-style-language/schema/raw/master/csl-citation.json"}</w:instrText>
            </w:r>
            <w:r w:rsidRPr="00AB272E">
              <w:rPr>
                <w:rFonts w:ascii="Times New Roman" w:hAnsi="Times New Roman" w:cs="Times New Roman"/>
                <w:b/>
                <w:bCs/>
                <w:color w:val="000000" w:themeColor="text1"/>
              </w:rPr>
              <w:fldChar w:fldCharType="separate"/>
            </w:r>
            <w:r w:rsidRPr="00AB272E">
              <w:rPr>
                <w:rFonts w:ascii="Times New Roman" w:hAnsi="Times New Roman" w:cs="Times New Roman"/>
                <w:bCs/>
                <w:noProof/>
                <w:color w:val="000000" w:themeColor="text1"/>
              </w:rPr>
              <w:t>(</w:t>
            </w:r>
            <w:proofErr w:type="spellStart"/>
            <w:r w:rsidRPr="00AB272E">
              <w:rPr>
                <w:rFonts w:ascii="Times New Roman" w:hAnsi="Times New Roman" w:cs="Times New Roman"/>
                <w:bCs/>
                <w:noProof/>
                <w:color w:val="000000" w:themeColor="text1"/>
              </w:rPr>
              <w:t>Lamiable</w:t>
            </w:r>
            <w:proofErr w:type="spellEnd"/>
            <w:r w:rsidRPr="00AB272E">
              <w:rPr>
                <w:rFonts w:ascii="Times New Roman" w:hAnsi="Times New Roman" w:cs="Times New Roman"/>
                <w:bCs/>
                <w:noProof/>
                <w:color w:val="000000" w:themeColor="text1"/>
              </w:rPr>
              <w:t xml:space="preserve"> et al. 2016)</w:t>
            </w:r>
            <w:r w:rsidRPr="00AB272E">
              <w:rPr>
                <w:rFonts w:ascii="Times New Roman" w:hAnsi="Times New Roman" w:cs="Times New Roman"/>
                <w:b/>
                <w:bCs/>
                <w:color w:val="000000" w:themeColor="text1"/>
              </w:rPr>
              <w:fldChar w:fldCharType="end"/>
            </w:r>
          </w:p>
        </w:tc>
        <w:tc>
          <w:tcPr>
            <w:tcW w:w="3420" w:type="dxa"/>
            <w:vAlign w:val="bottom"/>
          </w:tcPr>
          <w:p w14:paraId="2B7208BD" w14:textId="77777777" w:rsidR="00837068" w:rsidRPr="00AB272E" w:rsidRDefault="00837068" w:rsidP="0062422F">
            <w:pPr>
              <w:jc w:val="center"/>
              <w:rPr>
                <w:rFonts w:ascii="Times New Roman" w:hAnsi="Times New Roman" w:cs="Times New Roman"/>
                <w:b/>
                <w:bCs/>
                <w:color w:val="000000" w:themeColor="text1"/>
              </w:rPr>
            </w:pPr>
            <w:r w:rsidRPr="00AB272E">
              <w:rPr>
                <w:rFonts w:ascii="Times New Roman" w:hAnsi="Times New Roman" w:cs="Times New Roman"/>
                <w:b/>
                <w:bCs/>
                <w:color w:val="000000" w:themeColor="text1"/>
              </w:rPr>
              <w:t>Secondary Structure</w:t>
            </w:r>
            <w:r w:rsidRPr="00AB272E">
              <w:rPr>
                <w:rFonts w:ascii="Times New Roman" w:hAnsi="Times New Roman" w:cs="Times New Roman"/>
                <w:b/>
                <w:bCs/>
                <w:color w:val="000000" w:themeColor="text1"/>
              </w:rPr>
              <w:fldChar w:fldCharType="begin" w:fldLock="1"/>
            </w:r>
            <w:r w:rsidRPr="00AB272E">
              <w:rPr>
                <w:rFonts w:ascii="Times New Roman" w:hAnsi="Times New Roman" w:cs="Times New Roman"/>
                <w:b/>
                <w:bCs/>
                <w:color w:val="000000" w:themeColor="text1"/>
              </w:rPr>
              <w:instrText>ADDIN CSL_CITATION {"citationItems":[{"id":"ITEM-1","itemData":{"DOI":"10.1101/558791","abstract":"BACKGROUND In the past, large numbers of methods have been developed for predicting secondary structure of proteins. Best of author’s knowledge no method has been specifically developed for predicting secondary structure of peptides. We analyzed secondary structure of peptides and proteins; it was observed that same peptide in protein adopt different secondary structures. Considering the wide application of peptides in therapeutic market, we made attempt to develop a method called PEP2D for predicting secondary structure of peptides.RESULTS In this study, 3107 unique peptides have been used to train, test and evaluate peptide secondary structure prediction models. It was observed that regular secondary structure content (e.g., helix, beta-sheet) increased with length of peptides. Firstly, models based on various machine-learning techniques have been developed using binary profile of peptides and achieved maximum overall accuracy (Q3) 79.5%. The performance of models further improved from 79.5% to 83.5% using evolutionary information in the form of PSSM profile. We also evaluate performance of protein secondary structure prediction method PSIPRED on our dataset and achieved maximum accuracy 76.9%; particularly poor (Q3 71.4%) for small peptides having length less than 10 residues. Overall, PEP2D has better prediction of beta-sheets (Q3 74%) and coil region (Q3 87%) of peptides as compare to PSIPRED (Q3 54.4% for beta-sheet and Q3 77.9% for coil). We also measure performance of PSIPRED and PEP2D in terms of segment overlap (SOV); achieved 69.3 and 76.7 respectively.CONCLUSION Our observations indicate that there is a need of developing separate method for predicting secondary structure of peptides. It was also observed that models based on PSSM profile perform poor on small peptides in comparison to long peptides. Based on our study, we developed method for predicting secondary structure of peptides. In order to provide service to user, a webserver/standalone has been developed (https://webs.iiitd.edu.in/raghava/pep2d/).","author":[{"dropping-particle":"","family":"Singh","given":"Harinder","non-dropping-particle":"","parse-names":false,"suffix":""},{"dropping-particle":"","family":"Singh","given":"Sandeep","non-dropping-particle":"","parse-names":false,"suffix":""},{"dropping-particle":"","family":"Singh Raghava","given":"Gajendra Pal","non-dropping-particle":"","parse-names":false,"suffix":""}],"container-title":"bioRxiv","id":"ITEM-1","issued":{"date-parts":[["2019","1","1"]]},"page":"558791","title":"Peptide Secondary Structure Prediction using Evolutionary Information","type":"article-journal"},"uris":["http://www.mendeley.com/documents/?uuid=e9c0e466-4d4d-46b0-8921-0e3a30894767"]}],"mendeley":{"formattedCitation":"(Singh, Singh, and Singh Raghava 2019)","plainTextFormattedCitation":"(Singh, Singh, and Singh Raghava 2019)","previouslyFormattedCitation":"(Singh, Singh, and Singh Raghava 2019)"},"properties":{"noteIndex":0},"schema":"https://github.com/citation-style-language/schema/raw/master/csl-citation.json"}</w:instrText>
            </w:r>
            <w:r w:rsidRPr="00AB272E">
              <w:rPr>
                <w:rFonts w:ascii="Times New Roman" w:hAnsi="Times New Roman" w:cs="Times New Roman"/>
                <w:b/>
                <w:bCs/>
                <w:color w:val="000000" w:themeColor="text1"/>
              </w:rPr>
              <w:fldChar w:fldCharType="separate"/>
            </w:r>
            <w:r w:rsidRPr="00AB272E">
              <w:rPr>
                <w:rFonts w:ascii="Times New Roman" w:hAnsi="Times New Roman" w:cs="Times New Roman"/>
                <w:bCs/>
                <w:noProof/>
                <w:color w:val="000000" w:themeColor="text1"/>
              </w:rPr>
              <w:t>(Singh, Singh, and Singh Raghava 2019)</w:t>
            </w:r>
            <w:r w:rsidRPr="00AB272E">
              <w:rPr>
                <w:rFonts w:ascii="Times New Roman" w:hAnsi="Times New Roman" w:cs="Times New Roman"/>
                <w:b/>
                <w:bCs/>
                <w:color w:val="000000" w:themeColor="text1"/>
              </w:rPr>
              <w:fldChar w:fldCharType="end"/>
            </w:r>
          </w:p>
        </w:tc>
        <w:tc>
          <w:tcPr>
            <w:tcW w:w="2700" w:type="dxa"/>
          </w:tcPr>
          <w:p w14:paraId="50C5F900" w14:textId="77777777" w:rsidR="00837068" w:rsidRPr="00AB272E" w:rsidRDefault="00837068" w:rsidP="0062422F">
            <w:pPr>
              <w:jc w:val="center"/>
              <w:rPr>
                <w:rFonts w:ascii="Times New Roman" w:hAnsi="Times New Roman" w:cs="Times New Roman"/>
                <w:b/>
                <w:bCs/>
                <w:color w:val="000000" w:themeColor="text1"/>
              </w:rPr>
            </w:pPr>
            <w:r w:rsidRPr="00AB272E">
              <w:rPr>
                <w:rFonts w:ascii="Times New Roman" w:hAnsi="Times New Roman" w:cs="Times New Roman"/>
                <w:b/>
                <w:bCs/>
                <w:color w:val="000000" w:themeColor="text1"/>
              </w:rPr>
              <w:t>Helical Wheel Projection</w:t>
            </w:r>
          </w:p>
        </w:tc>
      </w:tr>
      <w:tr w:rsidR="00837068" w:rsidRPr="00AB272E" w14:paraId="33939010" w14:textId="77777777" w:rsidTr="0062422F">
        <w:trPr>
          <w:trHeight w:val="1403"/>
          <w:jc w:val="center"/>
        </w:trPr>
        <w:tc>
          <w:tcPr>
            <w:tcW w:w="985" w:type="dxa"/>
            <w:vAlign w:val="center"/>
          </w:tcPr>
          <w:p w14:paraId="330B5780"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lastRenderedPageBreak/>
              <w:t>PHNX-1</w:t>
            </w:r>
          </w:p>
        </w:tc>
        <w:tc>
          <w:tcPr>
            <w:tcW w:w="2430" w:type="dxa"/>
            <w:vAlign w:val="center"/>
          </w:tcPr>
          <w:p w14:paraId="5528A7AF"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3328412F" wp14:editId="2A596A03">
                  <wp:extent cx="644040" cy="848668"/>
                  <wp:effectExtent l="0" t="0" r="3810" b="2540"/>
                  <wp:docPr id="19" name="Picture 19" descr="A picture containing whistle, chain,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4040" cy="848668"/>
                          </a:xfrm>
                          <a:prstGeom prst="rect">
                            <a:avLst/>
                          </a:prstGeom>
                        </pic:spPr>
                      </pic:pic>
                    </a:graphicData>
                  </a:graphic>
                </wp:inline>
              </w:drawing>
            </w:r>
          </w:p>
        </w:tc>
        <w:tc>
          <w:tcPr>
            <w:tcW w:w="3420" w:type="dxa"/>
            <w:vAlign w:val="center"/>
          </w:tcPr>
          <w:p w14:paraId="13B5CAC8"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4344C8EF" wp14:editId="40DD5C7B">
                  <wp:extent cx="1730140" cy="844952"/>
                  <wp:effectExtent l="0" t="0" r="0" b="6350"/>
                  <wp:docPr id="3" name="Picture 3" descr="Diagram,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0140" cy="844952"/>
                          </a:xfrm>
                          <a:prstGeom prst="rect">
                            <a:avLst/>
                          </a:prstGeom>
                        </pic:spPr>
                      </pic:pic>
                    </a:graphicData>
                  </a:graphic>
                </wp:inline>
              </w:drawing>
            </w:r>
          </w:p>
        </w:tc>
        <w:tc>
          <w:tcPr>
            <w:tcW w:w="2700" w:type="dxa"/>
          </w:tcPr>
          <w:p w14:paraId="403104D7"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0731A47E" wp14:editId="16802608">
                  <wp:extent cx="1577340" cy="157734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r w:rsidR="00837068" w:rsidRPr="00AB272E" w14:paraId="1DB5F66A" w14:textId="77777777" w:rsidTr="0062422F">
        <w:trPr>
          <w:jc w:val="center"/>
        </w:trPr>
        <w:tc>
          <w:tcPr>
            <w:tcW w:w="985" w:type="dxa"/>
            <w:vAlign w:val="center"/>
          </w:tcPr>
          <w:p w14:paraId="3F0A7521"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t>PHNX-2</w:t>
            </w:r>
          </w:p>
        </w:tc>
        <w:tc>
          <w:tcPr>
            <w:tcW w:w="2430" w:type="dxa"/>
            <w:vAlign w:val="center"/>
          </w:tcPr>
          <w:p w14:paraId="0F3C3920"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4D3FB37B" wp14:editId="1FD566D4">
                  <wp:extent cx="564019" cy="631871"/>
                  <wp:effectExtent l="0" t="0" r="0" b="3175"/>
                  <wp:docPr id="20" name="Picture 20" descr="A colorful interlocking interlocking interlocking interlocking interlocking inter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9">
                            <a:extLst>
                              <a:ext uri="{28A0092B-C50C-407E-A947-70E740481C1C}">
                                <a14:useLocalDpi xmlns:a14="http://schemas.microsoft.com/office/drawing/2010/main" val="0"/>
                              </a:ext>
                            </a:extLst>
                          </a:blip>
                          <a:stretch>
                            <a:fillRect/>
                          </a:stretch>
                        </pic:blipFill>
                        <pic:spPr>
                          <a:xfrm>
                            <a:off x="0" y="0"/>
                            <a:ext cx="564019" cy="631871"/>
                          </a:xfrm>
                          <a:prstGeom prst="rect">
                            <a:avLst/>
                          </a:prstGeom>
                        </pic:spPr>
                      </pic:pic>
                    </a:graphicData>
                  </a:graphic>
                </wp:inline>
              </w:drawing>
            </w:r>
          </w:p>
        </w:tc>
        <w:tc>
          <w:tcPr>
            <w:tcW w:w="3420" w:type="dxa"/>
            <w:vAlign w:val="center"/>
          </w:tcPr>
          <w:p w14:paraId="146834B4"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58D69121" wp14:editId="3A8A8F15">
                  <wp:extent cx="1747777" cy="855295"/>
                  <wp:effectExtent l="0" t="0" r="5080" b="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7777" cy="855295"/>
                          </a:xfrm>
                          <a:prstGeom prst="rect">
                            <a:avLst/>
                          </a:prstGeom>
                        </pic:spPr>
                      </pic:pic>
                    </a:graphicData>
                  </a:graphic>
                </wp:inline>
              </w:drawing>
            </w:r>
          </w:p>
        </w:tc>
        <w:tc>
          <w:tcPr>
            <w:tcW w:w="2700" w:type="dxa"/>
          </w:tcPr>
          <w:p w14:paraId="7CBA9A14"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709FE846" wp14:editId="419EC8DB">
                  <wp:extent cx="1577340" cy="1577340"/>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r w:rsidR="00837068" w:rsidRPr="00AB272E" w14:paraId="44B1983D" w14:textId="77777777" w:rsidTr="0062422F">
        <w:trPr>
          <w:trHeight w:val="1430"/>
          <w:jc w:val="center"/>
        </w:trPr>
        <w:tc>
          <w:tcPr>
            <w:tcW w:w="985" w:type="dxa"/>
            <w:vAlign w:val="center"/>
          </w:tcPr>
          <w:p w14:paraId="68BB11CE"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t>PHNX-3</w:t>
            </w:r>
          </w:p>
        </w:tc>
        <w:tc>
          <w:tcPr>
            <w:tcW w:w="2430" w:type="dxa"/>
            <w:vAlign w:val="center"/>
          </w:tcPr>
          <w:p w14:paraId="6BA6E8BF"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038C441E" wp14:editId="371DDC1C">
                  <wp:extent cx="509721" cy="843001"/>
                  <wp:effectExtent l="0" t="0" r="0" b="0"/>
                  <wp:docPr id="21" name="Picture 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721" cy="843001"/>
                          </a:xfrm>
                          <a:prstGeom prst="rect">
                            <a:avLst/>
                          </a:prstGeom>
                        </pic:spPr>
                      </pic:pic>
                    </a:graphicData>
                  </a:graphic>
                </wp:inline>
              </w:drawing>
            </w:r>
          </w:p>
        </w:tc>
        <w:tc>
          <w:tcPr>
            <w:tcW w:w="3420" w:type="dxa"/>
            <w:vAlign w:val="center"/>
          </w:tcPr>
          <w:p w14:paraId="7D3BCA37"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0F91F445" wp14:editId="6D54A33A">
                  <wp:extent cx="1758461" cy="868101"/>
                  <wp:effectExtent l="0" t="0" r="0" b="0"/>
                  <wp:docPr id="12" name="Picture 1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8461" cy="868101"/>
                          </a:xfrm>
                          <a:prstGeom prst="rect">
                            <a:avLst/>
                          </a:prstGeom>
                        </pic:spPr>
                      </pic:pic>
                    </a:graphicData>
                  </a:graphic>
                </wp:inline>
              </w:drawing>
            </w:r>
          </w:p>
        </w:tc>
        <w:tc>
          <w:tcPr>
            <w:tcW w:w="2700" w:type="dxa"/>
          </w:tcPr>
          <w:p w14:paraId="79C9904B"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6306CFB2" wp14:editId="175AC199">
                  <wp:extent cx="1577340" cy="1577340"/>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r w:rsidR="00837068" w:rsidRPr="00AB272E" w14:paraId="4D79AA26" w14:textId="77777777" w:rsidTr="0062422F">
        <w:trPr>
          <w:trHeight w:val="1340"/>
          <w:jc w:val="center"/>
        </w:trPr>
        <w:tc>
          <w:tcPr>
            <w:tcW w:w="985" w:type="dxa"/>
            <w:vAlign w:val="center"/>
          </w:tcPr>
          <w:p w14:paraId="6C2A33E6"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t>PHNX-4</w:t>
            </w:r>
          </w:p>
        </w:tc>
        <w:tc>
          <w:tcPr>
            <w:tcW w:w="2430" w:type="dxa"/>
            <w:vAlign w:val="center"/>
          </w:tcPr>
          <w:p w14:paraId="2A15F34B"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0FC1CD92" wp14:editId="18F81C5A">
                  <wp:extent cx="557146" cy="710421"/>
                  <wp:effectExtent l="0" t="0" r="1905" b="1270"/>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557146" cy="710421"/>
                          </a:xfrm>
                          <a:prstGeom prst="rect">
                            <a:avLst/>
                          </a:prstGeom>
                        </pic:spPr>
                      </pic:pic>
                    </a:graphicData>
                  </a:graphic>
                </wp:inline>
              </w:drawing>
            </w:r>
          </w:p>
        </w:tc>
        <w:tc>
          <w:tcPr>
            <w:tcW w:w="3420" w:type="dxa"/>
            <w:vAlign w:val="center"/>
          </w:tcPr>
          <w:p w14:paraId="27235E16"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01647906" wp14:editId="068383DF">
                  <wp:extent cx="1821592" cy="891251"/>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1592" cy="891251"/>
                          </a:xfrm>
                          <a:prstGeom prst="rect">
                            <a:avLst/>
                          </a:prstGeom>
                        </pic:spPr>
                      </pic:pic>
                    </a:graphicData>
                  </a:graphic>
                </wp:inline>
              </w:drawing>
            </w:r>
          </w:p>
        </w:tc>
        <w:tc>
          <w:tcPr>
            <w:tcW w:w="2700" w:type="dxa"/>
          </w:tcPr>
          <w:p w14:paraId="12DD43AB"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7E66A753" wp14:editId="432E1206">
                  <wp:extent cx="1577340" cy="157734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r w:rsidR="00837068" w:rsidRPr="00AB272E" w14:paraId="0ADFAF37" w14:textId="77777777" w:rsidTr="0062422F">
        <w:trPr>
          <w:trHeight w:val="1187"/>
          <w:jc w:val="center"/>
        </w:trPr>
        <w:tc>
          <w:tcPr>
            <w:tcW w:w="985" w:type="dxa"/>
            <w:vAlign w:val="center"/>
          </w:tcPr>
          <w:p w14:paraId="4F814207"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t>PHNX-5</w:t>
            </w:r>
          </w:p>
        </w:tc>
        <w:tc>
          <w:tcPr>
            <w:tcW w:w="2430" w:type="dxa"/>
            <w:vAlign w:val="center"/>
          </w:tcPr>
          <w:p w14:paraId="2CCEF8A9"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597635F0" wp14:editId="27001626">
                  <wp:extent cx="457949" cy="732114"/>
                  <wp:effectExtent l="0" t="0" r="0" b="5080"/>
                  <wp:docPr id="23" name="Picture 23" descr="A picture containing s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8">
                            <a:extLst>
                              <a:ext uri="{28A0092B-C50C-407E-A947-70E740481C1C}">
                                <a14:useLocalDpi xmlns:a14="http://schemas.microsoft.com/office/drawing/2010/main" val="0"/>
                              </a:ext>
                            </a:extLst>
                          </a:blip>
                          <a:stretch>
                            <a:fillRect/>
                          </a:stretch>
                        </pic:blipFill>
                        <pic:spPr>
                          <a:xfrm>
                            <a:off x="0" y="0"/>
                            <a:ext cx="457949" cy="732114"/>
                          </a:xfrm>
                          <a:prstGeom prst="rect">
                            <a:avLst/>
                          </a:prstGeom>
                        </pic:spPr>
                      </pic:pic>
                    </a:graphicData>
                  </a:graphic>
                </wp:inline>
              </w:drawing>
            </w:r>
          </w:p>
        </w:tc>
        <w:tc>
          <w:tcPr>
            <w:tcW w:w="3420" w:type="dxa"/>
            <w:vAlign w:val="center"/>
          </w:tcPr>
          <w:p w14:paraId="1B263760"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495E811A" wp14:editId="498B9F5B">
                  <wp:extent cx="1766662" cy="868101"/>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6662" cy="868101"/>
                          </a:xfrm>
                          <a:prstGeom prst="rect">
                            <a:avLst/>
                          </a:prstGeom>
                        </pic:spPr>
                      </pic:pic>
                    </a:graphicData>
                  </a:graphic>
                </wp:inline>
              </w:drawing>
            </w:r>
          </w:p>
        </w:tc>
        <w:tc>
          <w:tcPr>
            <w:tcW w:w="2700" w:type="dxa"/>
          </w:tcPr>
          <w:p w14:paraId="24271865"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0C6D48E4" wp14:editId="57921CB5">
                  <wp:extent cx="1577340" cy="157734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r w:rsidR="00837068" w:rsidRPr="00AB272E" w14:paraId="5F1D688D" w14:textId="77777777" w:rsidTr="0062422F">
        <w:trPr>
          <w:trHeight w:val="1520"/>
          <w:jc w:val="center"/>
        </w:trPr>
        <w:tc>
          <w:tcPr>
            <w:tcW w:w="985" w:type="dxa"/>
            <w:vAlign w:val="center"/>
          </w:tcPr>
          <w:p w14:paraId="42518043"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lastRenderedPageBreak/>
              <w:t>PHNX-6</w:t>
            </w:r>
          </w:p>
        </w:tc>
        <w:tc>
          <w:tcPr>
            <w:tcW w:w="2430" w:type="dxa"/>
            <w:vAlign w:val="center"/>
          </w:tcPr>
          <w:p w14:paraId="4BB2556B"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1B642958" wp14:editId="6C92C36C">
                  <wp:extent cx="460918" cy="851525"/>
                  <wp:effectExtent l="0" t="0" r="0" b="0"/>
                  <wp:docPr id="24" name="Picture 2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1">
                            <a:extLst>
                              <a:ext uri="{28A0092B-C50C-407E-A947-70E740481C1C}">
                                <a14:useLocalDpi xmlns:a14="http://schemas.microsoft.com/office/drawing/2010/main" val="0"/>
                              </a:ext>
                            </a:extLst>
                          </a:blip>
                          <a:stretch>
                            <a:fillRect/>
                          </a:stretch>
                        </pic:blipFill>
                        <pic:spPr>
                          <a:xfrm>
                            <a:off x="0" y="0"/>
                            <a:ext cx="460918" cy="851525"/>
                          </a:xfrm>
                          <a:prstGeom prst="rect">
                            <a:avLst/>
                          </a:prstGeom>
                        </pic:spPr>
                      </pic:pic>
                    </a:graphicData>
                  </a:graphic>
                </wp:inline>
              </w:drawing>
            </w:r>
          </w:p>
        </w:tc>
        <w:tc>
          <w:tcPr>
            <w:tcW w:w="3420" w:type="dxa"/>
            <w:vAlign w:val="center"/>
          </w:tcPr>
          <w:p w14:paraId="1383C3DD"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555FF7C0" wp14:editId="5DB061C8">
                  <wp:extent cx="1720375" cy="856527"/>
                  <wp:effectExtent l="0" t="0" r="0" b="0"/>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0375" cy="856527"/>
                          </a:xfrm>
                          <a:prstGeom prst="rect">
                            <a:avLst/>
                          </a:prstGeom>
                        </pic:spPr>
                      </pic:pic>
                    </a:graphicData>
                  </a:graphic>
                </wp:inline>
              </w:drawing>
            </w:r>
          </w:p>
        </w:tc>
        <w:tc>
          <w:tcPr>
            <w:tcW w:w="2700" w:type="dxa"/>
          </w:tcPr>
          <w:p w14:paraId="40FDAE88"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52A4181C" wp14:editId="7C3DDDEF">
                  <wp:extent cx="1577340" cy="1577340"/>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3">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r w:rsidR="00837068" w:rsidRPr="00AB272E" w14:paraId="3443CACC" w14:textId="77777777" w:rsidTr="0062422F">
        <w:trPr>
          <w:trHeight w:val="1970"/>
          <w:jc w:val="center"/>
        </w:trPr>
        <w:tc>
          <w:tcPr>
            <w:tcW w:w="985" w:type="dxa"/>
            <w:vAlign w:val="center"/>
          </w:tcPr>
          <w:p w14:paraId="0640DE90"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t>PHNX-7</w:t>
            </w:r>
          </w:p>
        </w:tc>
        <w:tc>
          <w:tcPr>
            <w:tcW w:w="2430" w:type="dxa"/>
            <w:vAlign w:val="center"/>
          </w:tcPr>
          <w:p w14:paraId="01A6FF07"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6C780C03" wp14:editId="5471C866">
                  <wp:extent cx="1247775" cy="1190570"/>
                  <wp:effectExtent l="0" t="0" r="0" b="3810"/>
                  <wp:docPr id="26" name="Picture 26" descr="A picture containing chain, cookie cu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47775" cy="1190570"/>
                          </a:xfrm>
                          <a:prstGeom prst="rect">
                            <a:avLst/>
                          </a:prstGeom>
                        </pic:spPr>
                      </pic:pic>
                    </a:graphicData>
                  </a:graphic>
                </wp:inline>
              </w:drawing>
            </w:r>
          </w:p>
        </w:tc>
        <w:tc>
          <w:tcPr>
            <w:tcW w:w="3420" w:type="dxa"/>
            <w:vAlign w:val="center"/>
          </w:tcPr>
          <w:p w14:paraId="7E92524E"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2C21CDE4" wp14:editId="27E47FB1">
                  <wp:extent cx="2395959" cy="775715"/>
                  <wp:effectExtent l="0" t="0" r="4445"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95959" cy="775715"/>
                          </a:xfrm>
                          <a:prstGeom prst="rect">
                            <a:avLst/>
                          </a:prstGeom>
                        </pic:spPr>
                      </pic:pic>
                    </a:graphicData>
                  </a:graphic>
                </wp:inline>
              </w:drawing>
            </w:r>
          </w:p>
        </w:tc>
        <w:tc>
          <w:tcPr>
            <w:tcW w:w="2700" w:type="dxa"/>
          </w:tcPr>
          <w:p w14:paraId="4E6C8554"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0403774E" wp14:editId="1404A230">
                  <wp:extent cx="1577340" cy="1577340"/>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6">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r w:rsidR="00837068" w:rsidRPr="00AB272E" w14:paraId="2B43B877" w14:textId="77777777" w:rsidTr="0062422F">
        <w:trPr>
          <w:trHeight w:val="1700"/>
          <w:jc w:val="center"/>
        </w:trPr>
        <w:tc>
          <w:tcPr>
            <w:tcW w:w="985" w:type="dxa"/>
            <w:vAlign w:val="center"/>
          </w:tcPr>
          <w:p w14:paraId="27C7C170"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color w:val="000000" w:themeColor="text1"/>
              </w:rPr>
              <w:t>PHNX-8</w:t>
            </w:r>
          </w:p>
        </w:tc>
        <w:tc>
          <w:tcPr>
            <w:tcW w:w="2430" w:type="dxa"/>
            <w:vAlign w:val="center"/>
          </w:tcPr>
          <w:p w14:paraId="3554AA8C"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10CEBD6B" wp14:editId="66456B44">
                  <wp:extent cx="1076632" cy="1038181"/>
                  <wp:effectExtent l="0" t="0" r="3175" b="3810"/>
                  <wp:docPr id="27" name="Picture 27" descr="A picture containing cookie cu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76632" cy="1038181"/>
                          </a:xfrm>
                          <a:prstGeom prst="rect">
                            <a:avLst/>
                          </a:prstGeom>
                        </pic:spPr>
                      </pic:pic>
                    </a:graphicData>
                  </a:graphic>
                </wp:inline>
              </w:drawing>
            </w:r>
          </w:p>
        </w:tc>
        <w:tc>
          <w:tcPr>
            <w:tcW w:w="3420" w:type="dxa"/>
            <w:vAlign w:val="center"/>
          </w:tcPr>
          <w:p w14:paraId="0C1F93EE"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1030EECA" wp14:editId="4045821E">
                  <wp:extent cx="2519353" cy="648183"/>
                  <wp:effectExtent l="0" t="0" r="0" b="0"/>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519353" cy="648183"/>
                          </a:xfrm>
                          <a:prstGeom prst="rect">
                            <a:avLst/>
                          </a:prstGeom>
                        </pic:spPr>
                      </pic:pic>
                    </a:graphicData>
                  </a:graphic>
                </wp:inline>
              </w:drawing>
            </w:r>
          </w:p>
        </w:tc>
        <w:tc>
          <w:tcPr>
            <w:tcW w:w="2700" w:type="dxa"/>
          </w:tcPr>
          <w:p w14:paraId="327AC77C" w14:textId="77777777" w:rsidR="00837068" w:rsidRPr="00AB272E" w:rsidRDefault="00837068" w:rsidP="0062422F">
            <w:pPr>
              <w:jc w:val="center"/>
              <w:rPr>
                <w:rFonts w:ascii="Times New Roman" w:hAnsi="Times New Roman" w:cs="Times New Roman"/>
                <w:color w:val="000000" w:themeColor="text1"/>
              </w:rPr>
            </w:pPr>
            <w:r w:rsidRPr="00AB272E">
              <w:rPr>
                <w:rFonts w:ascii="Times New Roman" w:hAnsi="Times New Roman" w:cs="Times New Roman"/>
                <w:noProof/>
                <w:color w:val="000000" w:themeColor="text1"/>
              </w:rPr>
              <w:drawing>
                <wp:inline distT="0" distB="0" distL="0" distR="0" wp14:anchorId="459D7E5B" wp14:editId="46055182">
                  <wp:extent cx="1577340" cy="1577340"/>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a:extLst>
                              <a:ext uri="{28A0092B-C50C-407E-A947-70E740481C1C}">
                                <a14:useLocalDpi xmlns:a14="http://schemas.microsoft.com/office/drawing/2010/main" val="0"/>
                              </a:ext>
                            </a:extLst>
                          </a:blip>
                          <a:stretch>
                            <a:fillRect/>
                          </a:stretch>
                        </pic:blipFill>
                        <pic:spPr>
                          <a:xfrm>
                            <a:off x="0" y="0"/>
                            <a:ext cx="1577340" cy="1577340"/>
                          </a:xfrm>
                          <a:prstGeom prst="rect">
                            <a:avLst/>
                          </a:prstGeom>
                        </pic:spPr>
                      </pic:pic>
                    </a:graphicData>
                  </a:graphic>
                </wp:inline>
              </w:drawing>
            </w:r>
          </w:p>
        </w:tc>
      </w:tr>
    </w:tbl>
    <w:p w14:paraId="3BD54B80" w14:textId="77777777" w:rsidR="00F42A47" w:rsidRDefault="00F42A47" w:rsidP="00837068">
      <w:pPr>
        <w:spacing w:line="480" w:lineRule="auto"/>
        <w:rPr>
          <w:rFonts w:ascii="Times New Roman" w:hAnsi="Times New Roman" w:cs="Times New Roman"/>
          <w:b/>
          <w:bCs/>
          <w:color w:val="000000" w:themeColor="text1"/>
        </w:rPr>
      </w:pPr>
    </w:p>
    <w:p w14:paraId="3E613B2F" w14:textId="10A24247" w:rsidR="00837068" w:rsidRPr="00F42A47" w:rsidRDefault="00837068" w:rsidP="00837068">
      <w:pPr>
        <w:spacing w:line="480" w:lineRule="auto"/>
        <w:rPr>
          <w:rFonts w:ascii="Times New Roman" w:hAnsi="Times New Roman" w:cs="Times New Roman"/>
          <w:b/>
          <w:bCs/>
          <w:color w:val="000000" w:themeColor="text1"/>
        </w:rPr>
      </w:pPr>
      <w:r w:rsidRPr="00AB272E">
        <w:rPr>
          <w:rFonts w:ascii="Times New Roman" w:hAnsi="Times New Roman" w:cs="Times New Roman"/>
          <w:b/>
          <w:bCs/>
          <w:color w:val="000000" w:themeColor="text1"/>
        </w:rPr>
        <w:t xml:space="preserve">Figure S1. </w:t>
      </w:r>
      <w:r w:rsidRPr="00AB272E">
        <w:rPr>
          <w:rFonts w:ascii="Times New Roman" w:hAnsi="Times New Roman" w:cs="Times New Roman"/>
          <w:color w:val="000000" w:themeColor="text1"/>
        </w:rPr>
        <w:t xml:space="preserve">Statistics of AMP properties obtained from APD3. </w:t>
      </w:r>
      <w:r w:rsidRPr="00AB272E">
        <w:rPr>
          <w:rFonts w:ascii="Times New Roman" w:hAnsi="Times New Roman" w:cs="Times New Roman"/>
          <w:b/>
          <w:bCs/>
          <w:color w:val="000000" w:themeColor="text1"/>
        </w:rPr>
        <w:t>A</w:t>
      </w:r>
      <w:r w:rsidRPr="00AB272E">
        <w:rPr>
          <w:rFonts w:ascii="Times New Roman" w:hAnsi="Times New Roman" w:cs="Times New Roman"/>
          <w:color w:val="000000" w:themeColor="text1"/>
        </w:rPr>
        <w:t xml:space="preserve">. </w:t>
      </w:r>
      <w:r w:rsidRPr="00AB272E">
        <w:rPr>
          <w:rFonts w:ascii="Times New Roman" w:eastAsia="Calibri" w:hAnsi="Times New Roman" w:cs="Times New Roman"/>
          <w:bCs/>
          <w:color w:val="000000" w:themeColor="text1"/>
        </w:rPr>
        <w:t xml:space="preserve">Lengths of AMPs in Dataset2. </w:t>
      </w:r>
      <w:r w:rsidRPr="00AB272E">
        <w:rPr>
          <w:rFonts w:ascii="Times New Roman" w:eastAsia="Calibri" w:hAnsi="Times New Roman" w:cs="Times New Roman"/>
          <w:b/>
          <w:color w:val="000000" w:themeColor="text1"/>
        </w:rPr>
        <w:t>B</w:t>
      </w:r>
      <w:r w:rsidRPr="00AB272E">
        <w:rPr>
          <w:rFonts w:ascii="Times New Roman" w:eastAsia="Calibri" w:hAnsi="Times New Roman" w:cs="Times New Roman"/>
          <w:bCs/>
          <w:color w:val="000000" w:themeColor="text1"/>
        </w:rPr>
        <w:t xml:space="preserve">. Frequency of total amino acid residues in Dataset2. </w:t>
      </w:r>
      <w:r w:rsidRPr="00AB272E">
        <w:rPr>
          <w:rFonts w:ascii="Times New Roman" w:eastAsia="Calibri" w:hAnsi="Times New Roman" w:cs="Times New Roman"/>
          <w:b/>
          <w:color w:val="000000" w:themeColor="text1"/>
        </w:rPr>
        <w:t>C</w:t>
      </w:r>
      <w:r w:rsidRPr="00AB272E">
        <w:rPr>
          <w:rFonts w:ascii="Times New Roman" w:eastAsia="Calibri" w:hAnsi="Times New Roman" w:cs="Times New Roman"/>
          <w:bCs/>
          <w:color w:val="000000" w:themeColor="text1"/>
        </w:rPr>
        <w:t xml:space="preserve">. Charge of the AMPs in Dataset2 </w:t>
      </w:r>
      <w:r w:rsidRPr="00AB272E">
        <w:rPr>
          <w:rFonts w:ascii="Times New Roman" w:eastAsia="Calibri" w:hAnsi="Times New Roman" w:cs="Times New Roman"/>
          <w:b/>
          <w:color w:val="000000" w:themeColor="text1"/>
        </w:rPr>
        <w:t>D</w:t>
      </w:r>
      <w:r w:rsidRPr="00AB272E">
        <w:rPr>
          <w:rFonts w:ascii="Times New Roman" w:eastAsia="Calibri" w:hAnsi="Times New Roman" w:cs="Times New Roman"/>
          <w:bCs/>
          <w:color w:val="000000" w:themeColor="text1"/>
        </w:rPr>
        <w:t xml:space="preserve">. Hydrophobicity percentage of AMPs in Dataset2 (Hydrophobicity was calculated as a percentage of hydrophobic amino acids, based on the </w:t>
      </w:r>
      <w:proofErr w:type="spellStart"/>
      <w:r w:rsidRPr="00AB272E">
        <w:rPr>
          <w:rFonts w:ascii="Times New Roman" w:eastAsia="Calibri" w:hAnsi="Times New Roman" w:cs="Times New Roman"/>
          <w:bCs/>
          <w:color w:val="000000" w:themeColor="text1"/>
        </w:rPr>
        <w:t>Kyte</w:t>
      </w:r>
      <w:proofErr w:type="spellEnd"/>
      <w:r w:rsidRPr="00AB272E">
        <w:rPr>
          <w:rFonts w:ascii="Times New Roman" w:eastAsia="Calibri" w:hAnsi="Times New Roman" w:cs="Times New Roman"/>
          <w:bCs/>
          <w:color w:val="000000" w:themeColor="text1"/>
        </w:rPr>
        <w:t xml:space="preserve"> and </w:t>
      </w:r>
      <w:proofErr w:type="spellStart"/>
      <w:r w:rsidRPr="00AB272E">
        <w:rPr>
          <w:rFonts w:ascii="Times New Roman" w:eastAsia="Calibri" w:hAnsi="Times New Roman" w:cs="Times New Roman"/>
          <w:bCs/>
          <w:color w:val="000000" w:themeColor="text1"/>
        </w:rPr>
        <w:t>Doolite</w:t>
      </w:r>
      <w:proofErr w:type="spellEnd"/>
      <w:r w:rsidRPr="00AB272E">
        <w:rPr>
          <w:rFonts w:ascii="Times New Roman" w:eastAsia="Calibri" w:hAnsi="Times New Roman" w:cs="Times New Roman"/>
          <w:bCs/>
          <w:color w:val="000000" w:themeColor="text1"/>
        </w:rPr>
        <w:t xml:space="preserve"> scale </w:t>
      </w:r>
      <w:r w:rsidRPr="00AB272E">
        <w:rPr>
          <w:rFonts w:ascii="Times New Roman" w:eastAsia="Calibri" w:hAnsi="Times New Roman" w:cs="Times New Roman"/>
          <w:bCs/>
          <w:color w:val="000000" w:themeColor="text1"/>
        </w:rPr>
        <w:fldChar w:fldCharType="begin" w:fldLock="1"/>
      </w:r>
      <w:r w:rsidRPr="00AB272E">
        <w:rPr>
          <w:rFonts w:ascii="Times New Roman" w:eastAsia="Calibri" w:hAnsi="Times New Roman" w:cs="Times New Roman"/>
          <w:bCs/>
          <w:color w:val="000000" w:themeColor="text1"/>
        </w:rPr>
        <w:instrText>ADDIN CSL_CITATION {"citationItems":[{"id":"ITEM-1","itemData":{"DOI":"https://doi.org/10.1016/0022-2836(82)90515-0","ISSN":"0022-2836","abstract":"A computer program that progressively evaluates the hydrophilicity and hydrophobicity of a protein along its amino acid sequence has been devised. For this purpose, a hydropathy scale has been composed wherein the hydrophilic and hydrophobic properties of each of the 20 amino acid side-chains is taken into consideration. The scale is based on an amalgam of experimental observations derived from the literature. The program uses a moving-segment approach that continuously determines the average hydropathy within a segment of predetermined length as it advances through the sequence. The consecutive scores are plotted from the amino to the carboxy terminus. At the same time, a midpoint line is printed that corresponds to the grand average of the hydropathy of the amino acid compositions found in most of the sequenced proteins. In the case of soluble, globular proteins there is a remarkable correspondence between the interior portions of their sequence and the regions appearing on the hydrophobic side of the midpoint line, as well as the exterior portions and the regions on the hydrophilic side. The correlation was demonstrated by comparisons between the plotted values and known structures determined by crystallography. In the case of membrane-bound proteins, the portions of their sequences that are located within the lipid bilayer are also clearly delineated by large uninterrupted areas on the hydrophobic side of the midpoint line. As such, the membrane-spanning segments of these proteins can be identified by this procedure. Although the method is not unique and embodies principles that have long been appreciated, its simplicity and its graphic nature make it a very useful tool for the evaluation of protein structures.","author":[{"dropping-particle":"","family":"Kyte","given":"Jack","non-dropping-particle":"","parse-names":false,"suffix":""},{"dropping-particle":"","family":"Doolittle","given":"Russell F","non-dropping-particle":"","parse-names":false,"suffix":""}],"container-title":"Journal of Molecular Biology","id":"ITEM-1","issue":"1","issued":{"date-parts":[["1982"]]},"page":"105-132","title":"A simple method for displaying the hydropathic character of a protein","type":"article-journal","volume":"157"},"uris":["http://www.mendeley.com/documents/?uuid=fcdbc142-6299-475f-94d7-7aeaaf56fe1f"]}],"mendeley":{"formattedCitation":"(Kyte and Doolittle 1982)","plainTextFormattedCitation":"(Kyte and Doolittle 1982)","previouslyFormattedCitation":"(Kyte and Doolittle 1982)"},"properties":{"noteIndex":0},"schema":"https://github.com/citation-style-language/schema/raw/master/csl-citation.json"}</w:instrText>
      </w:r>
      <w:r w:rsidRPr="00AB272E">
        <w:rPr>
          <w:rFonts w:ascii="Times New Roman" w:eastAsia="Calibri" w:hAnsi="Times New Roman" w:cs="Times New Roman"/>
          <w:bCs/>
          <w:color w:val="000000" w:themeColor="text1"/>
        </w:rPr>
        <w:fldChar w:fldCharType="separate"/>
      </w:r>
      <w:r w:rsidRPr="00AB272E">
        <w:rPr>
          <w:rFonts w:ascii="Times New Roman" w:eastAsia="Calibri" w:hAnsi="Times New Roman" w:cs="Times New Roman"/>
          <w:bCs/>
          <w:noProof/>
          <w:color w:val="000000" w:themeColor="text1"/>
        </w:rPr>
        <w:t>(Kyte and Doolittle 1982)</w:t>
      </w:r>
      <w:r w:rsidRPr="00AB272E">
        <w:rPr>
          <w:rFonts w:ascii="Times New Roman" w:eastAsia="Calibri" w:hAnsi="Times New Roman" w:cs="Times New Roman"/>
          <w:bCs/>
          <w:color w:val="000000" w:themeColor="text1"/>
        </w:rPr>
        <w:fldChar w:fldCharType="end"/>
      </w:r>
      <w:r w:rsidRPr="00AB272E">
        <w:rPr>
          <w:rFonts w:ascii="Times New Roman" w:eastAsia="Calibri" w:hAnsi="Times New Roman" w:cs="Times New Roman"/>
          <w:bCs/>
          <w:color w:val="000000" w:themeColor="text1"/>
        </w:rPr>
        <w:t>, divided by the total number of amino acids per AMP)</w:t>
      </w:r>
    </w:p>
    <w:p w14:paraId="2D56E908" w14:textId="6C5ABC6F" w:rsidR="00B12820" w:rsidRDefault="00B12820"/>
    <w:sectPr w:rsidR="00B12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3F"/>
    <w:rsid w:val="00651E3F"/>
    <w:rsid w:val="00837068"/>
    <w:rsid w:val="00B12820"/>
    <w:rsid w:val="00F42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94E19"/>
  <w15:chartTrackingRefBased/>
  <w15:docId w15:val="{64FF5DB9-5394-F146-92D6-F3E7A99C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68"/>
  </w:style>
  <w:style w:type="paragraph" w:styleId="Heading1">
    <w:name w:val="heading 1"/>
    <w:basedOn w:val="Normal"/>
    <w:next w:val="Normal"/>
    <w:link w:val="Heading1Char"/>
    <w:uiPriority w:val="9"/>
    <w:qFormat/>
    <w:rsid w:val="008370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37068"/>
    <w:rPr>
      <w:color w:val="0563C1" w:themeColor="hyperlink"/>
      <w:u w:val="single"/>
    </w:rPr>
  </w:style>
  <w:style w:type="table" w:styleId="TableGrid">
    <w:name w:val="Table Grid"/>
    <w:basedOn w:val="TableNormal"/>
    <w:uiPriority w:val="39"/>
    <w:rsid w:val="0083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24" Type="http://schemas.openxmlformats.org/officeDocument/2006/relationships/image" Target="media/image19.png"/><Relationship Id="rId5" Type="http://schemas.openxmlformats.org/officeDocument/2006/relationships/hyperlink" Target="https://bioserv.rpbs.univ-paris-diderot.fr/services/PEP-FOLD3/" TargetMode="External"/><Relationship Id="rId15" Type="http://schemas.openxmlformats.org/officeDocument/2006/relationships/image" Target="media/image10.png"/><Relationship Id="rId23" Type="http://schemas.openxmlformats.org/officeDocument/2006/relationships/image" Target="media/image18.jp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hyperlink" Target="http://crdd.osdd.net/raghava/pep2d/submit.html" TargetMode="Externa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2668</Words>
  <Characters>15208</Characters>
  <Application>Microsoft Office Word</Application>
  <DocSecurity>0</DocSecurity>
  <Lines>126</Lines>
  <Paragraphs>35</Paragraphs>
  <ScaleCrop>false</ScaleCrop>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sbobde</dc:creator>
  <cp:keywords/>
  <dc:description/>
  <cp:lastModifiedBy>sbobde</cp:lastModifiedBy>
  <cp:revision>3</cp:revision>
  <dcterms:created xsi:type="dcterms:W3CDTF">2021-05-26T13:56:00Z</dcterms:created>
  <dcterms:modified xsi:type="dcterms:W3CDTF">2021-05-26T13:58:00Z</dcterms:modified>
</cp:coreProperties>
</file>