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BD6E7E" w14:textId="77777777" w:rsidR="00D9483C" w:rsidRPr="0070621F" w:rsidRDefault="005A6C72">
      <w:pPr>
        <w:rPr>
          <w:rFonts w:ascii="Arial" w:hAnsi="Arial" w:cs="Arial"/>
        </w:rPr>
      </w:pPr>
      <w:r w:rsidRPr="0070621F">
        <w:rPr>
          <w:rFonts w:ascii="Arial" w:hAnsi="Arial" w:cs="Arial"/>
        </w:rPr>
        <w:t>Supplementary files:</w:t>
      </w:r>
    </w:p>
    <w:p w14:paraId="6FE104F2" w14:textId="77777777" w:rsidR="005A6C72" w:rsidRPr="0070621F" w:rsidRDefault="005A6C72" w:rsidP="005A6C72">
      <w:pPr>
        <w:spacing w:line="360" w:lineRule="auto"/>
        <w:jc w:val="both"/>
        <w:rPr>
          <w:rFonts w:ascii="Arial" w:hAnsi="Arial" w:cs="Arial"/>
          <w:b/>
          <w:bCs/>
        </w:rPr>
      </w:pPr>
      <w:r w:rsidRPr="0070621F">
        <w:rPr>
          <w:rFonts w:ascii="Arial" w:hAnsi="Arial" w:cs="Arial"/>
          <w:b/>
          <w:bCs/>
        </w:rPr>
        <w:t>The new old CD8+ T cells in the immune paradox of pregnancy</w:t>
      </w:r>
    </w:p>
    <w:p w14:paraId="2687BC9D" w14:textId="1FD590CE" w:rsidR="005A6C72" w:rsidRPr="0070621F" w:rsidRDefault="005A6C72" w:rsidP="005A6C72">
      <w:pPr>
        <w:pStyle w:val="Body"/>
        <w:spacing w:line="360" w:lineRule="auto"/>
        <w:jc w:val="both"/>
        <w:rPr>
          <w:rFonts w:ascii="Arial" w:hAnsi="Arial" w:cs="Arial"/>
          <w:sz w:val="22"/>
          <w:szCs w:val="22"/>
          <w:lang w:val="en-US"/>
        </w:rPr>
      </w:pPr>
      <w:r w:rsidRPr="0070621F">
        <w:rPr>
          <w:rFonts w:ascii="Arial" w:hAnsi="Arial" w:cs="Arial"/>
          <w:sz w:val="22"/>
          <w:szCs w:val="22"/>
          <w:lang w:val="en-US"/>
        </w:rPr>
        <w:t xml:space="preserve">Lilja Hardardottir, Maria Victoria </w:t>
      </w:r>
      <w:proofErr w:type="spellStart"/>
      <w:r w:rsidRPr="0070621F">
        <w:rPr>
          <w:rFonts w:ascii="Arial" w:hAnsi="Arial" w:cs="Arial"/>
          <w:sz w:val="22"/>
          <w:szCs w:val="22"/>
          <w:lang w:val="en-US"/>
        </w:rPr>
        <w:t>Bazzano</w:t>
      </w:r>
      <w:proofErr w:type="spellEnd"/>
      <w:r w:rsidRPr="0070621F">
        <w:rPr>
          <w:rFonts w:ascii="Arial" w:hAnsi="Arial" w:cs="Arial"/>
          <w:sz w:val="22"/>
          <w:szCs w:val="22"/>
          <w:lang w:val="en-US"/>
        </w:rPr>
        <w:t xml:space="preserve">, Laura </w:t>
      </w:r>
      <w:proofErr w:type="spellStart"/>
      <w:r w:rsidRPr="0070621F">
        <w:rPr>
          <w:rFonts w:ascii="Arial" w:hAnsi="Arial" w:cs="Arial"/>
          <w:sz w:val="22"/>
          <w:szCs w:val="22"/>
          <w:lang w:val="en-US"/>
        </w:rPr>
        <w:t>Glau</w:t>
      </w:r>
      <w:proofErr w:type="spellEnd"/>
      <w:r w:rsidRPr="0070621F">
        <w:rPr>
          <w:rFonts w:ascii="Arial" w:hAnsi="Arial" w:cs="Arial"/>
          <w:sz w:val="22"/>
          <w:szCs w:val="22"/>
          <w:lang w:val="en-US"/>
        </w:rPr>
        <w:t xml:space="preserve">, </w:t>
      </w:r>
      <w:r w:rsidR="009B577E">
        <w:rPr>
          <w:rFonts w:ascii="Arial" w:hAnsi="Arial" w:cs="Arial"/>
          <w:sz w:val="22"/>
          <w:szCs w:val="22"/>
          <w:lang w:val="en-US"/>
        </w:rPr>
        <w:t xml:space="preserve">Luca </w:t>
      </w:r>
      <w:proofErr w:type="spellStart"/>
      <w:r w:rsidR="009B577E">
        <w:rPr>
          <w:rFonts w:ascii="Arial" w:hAnsi="Arial" w:cs="Arial"/>
          <w:sz w:val="22"/>
          <w:szCs w:val="22"/>
          <w:lang w:val="en-US"/>
        </w:rPr>
        <w:t>Gat</w:t>
      </w:r>
      <w:r w:rsidR="00AA2A9C">
        <w:rPr>
          <w:rFonts w:ascii="Arial" w:hAnsi="Arial" w:cs="Arial"/>
          <w:sz w:val="22"/>
          <w:szCs w:val="22"/>
          <w:lang w:val="en-US"/>
        </w:rPr>
        <w:t>tinoni</w:t>
      </w:r>
      <w:proofErr w:type="spellEnd"/>
      <w:r w:rsidR="00AA2A9C">
        <w:rPr>
          <w:rFonts w:ascii="Arial" w:hAnsi="Arial" w:cs="Arial"/>
          <w:sz w:val="22"/>
          <w:szCs w:val="22"/>
          <w:lang w:val="en-US"/>
        </w:rPr>
        <w:t xml:space="preserve">, </w:t>
      </w:r>
      <w:r w:rsidRPr="0070621F">
        <w:rPr>
          <w:rFonts w:ascii="Arial" w:hAnsi="Arial" w:cs="Arial"/>
          <w:sz w:val="22"/>
          <w:szCs w:val="22"/>
          <w:lang w:val="en-US"/>
        </w:rPr>
        <w:t xml:space="preserve">Angela </w:t>
      </w:r>
      <w:proofErr w:type="spellStart"/>
      <w:r w:rsidRPr="0070621F">
        <w:rPr>
          <w:rFonts w:ascii="Arial" w:hAnsi="Arial" w:cs="Arial"/>
          <w:sz w:val="22"/>
          <w:szCs w:val="22"/>
          <w:lang w:val="en-US"/>
        </w:rPr>
        <w:t>Köninger</w:t>
      </w:r>
      <w:proofErr w:type="spellEnd"/>
      <w:r w:rsidRPr="0070621F">
        <w:rPr>
          <w:rFonts w:ascii="Arial" w:hAnsi="Arial" w:cs="Arial"/>
          <w:sz w:val="22"/>
          <w:szCs w:val="22"/>
          <w:lang w:val="en-US"/>
        </w:rPr>
        <w:t xml:space="preserve">, Eva </w:t>
      </w:r>
      <w:proofErr w:type="spellStart"/>
      <w:r w:rsidRPr="0070621F">
        <w:rPr>
          <w:rFonts w:ascii="Arial" w:hAnsi="Arial" w:cs="Arial"/>
          <w:sz w:val="22"/>
          <w:szCs w:val="22"/>
          <w:lang w:val="en-US"/>
        </w:rPr>
        <w:t>Tolosa</w:t>
      </w:r>
      <w:proofErr w:type="spellEnd"/>
      <w:r w:rsidRPr="0070621F">
        <w:rPr>
          <w:rFonts w:ascii="Arial" w:hAnsi="Arial" w:cs="Arial"/>
          <w:sz w:val="22"/>
          <w:szCs w:val="22"/>
          <w:lang w:val="en-US"/>
        </w:rPr>
        <w:t>, Maria Emilia Solano</w:t>
      </w:r>
    </w:p>
    <w:p w14:paraId="1637F3BE" w14:textId="77777777" w:rsidR="001F7830" w:rsidRPr="0070621F" w:rsidRDefault="001F7830" w:rsidP="005A6C72">
      <w:pPr>
        <w:pStyle w:val="Body"/>
        <w:spacing w:line="360" w:lineRule="auto"/>
        <w:jc w:val="both"/>
        <w:rPr>
          <w:rFonts w:ascii="Arial" w:eastAsia="Arial" w:hAnsi="Arial" w:cs="Arial"/>
          <w:sz w:val="22"/>
          <w:szCs w:val="22"/>
        </w:rPr>
      </w:pPr>
    </w:p>
    <w:p w14:paraId="487E7367" w14:textId="77777777" w:rsidR="00AA2A9C" w:rsidRDefault="00AA2A9C" w:rsidP="00AA2A9C">
      <w:pPr>
        <w:pStyle w:val="Body"/>
        <w:spacing w:line="276" w:lineRule="auto"/>
        <w:jc w:val="both"/>
        <w:rPr>
          <w:rFonts w:ascii="Arial" w:eastAsia="Arial" w:hAnsi="Arial" w:cs="Arial"/>
          <w:b/>
          <w:sz w:val="20"/>
          <w:szCs w:val="22"/>
          <w:lang w:val="is-IS"/>
        </w:rPr>
      </w:pPr>
      <w:r>
        <w:rPr>
          <w:rFonts w:ascii="Arial" w:eastAsia="Arial" w:hAnsi="Arial" w:cs="Arial"/>
          <w:b/>
          <w:sz w:val="20"/>
          <w:szCs w:val="22"/>
          <w:lang w:val="is-IS"/>
        </w:rPr>
        <w:t>Suppl.</w:t>
      </w:r>
      <w:r w:rsidR="005A6C72" w:rsidRPr="00B171D4">
        <w:rPr>
          <w:rFonts w:ascii="Arial" w:eastAsia="Arial" w:hAnsi="Arial" w:cs="Arial"/>
          <w:b/>
          <w:sz w:val="20"/>
          <w:szCs w:val="22"/>
          <w:lang w:val="is-IS"/>
        </w:rPr>
        <w:t xml:space="preserve"> Table 1: </w:t>
      </w:r>
      <w:r w:rsidR="0070621F" w:rsidRPr="00B171D4">
        <w:rPr>
          <w:rFonts w:ascii="Arial" w:eastAsia="Arial" w:hAnsi="Arial" w:cs="Arial"/>
          <w:b/>
          <w:sz w:val="20"/>
          <w:szCs w:val="22"/>
          <w:lang w:val="is-IS"/>
        </w:rPr>
        <w:t>M</w:t>
      </w:r>
      <w:r w:rsidR="005A6C72" w:rsidRPr="00B171D4">
        <w:rPr>
          <w:rFonts w:ascii="Arial" w:eastAsia="Arial" w:hAnsi="Arial" w:cs="Arial"/>
          <w:b/>
          <w:sz w:val="20"/>
          <w:szCs w:val="22"/>
          <w:lang w:val="is-IS"/>
        </w:rPr>
        <w:t xml:space="preserve">arkers frequently used for identification of </w:t>
      </w:r>
      <w:r w:rsidR="001F7830" w:rsidRPr="00B171D4">
        <w:rPr>
          <w:rFonts w:ascii="Arial" w:eastAsia="Arial" w:hAnsi="Arial" w:cs="Arial"/>
          <w:b/>
          <w:sz w:val="20"/>
          <w:szCs w:val="22"/>
          <w:lang w:val="is-IS"/>
        </w:rPr>
        <w:t>CD8</w:t>
      </w:r>
      <w:r w:rsidR="00B171D4">
        <w:rPr>
          <w:rFonts w:ascii="Arial" w:eastAsia="Arial" w:hAnsi="Arial" w:cs="Arial"/>
          <w:b/>
          <w:sz w:val="20"/>
          <w:szCs w:val="22"/>
          <w:lang w:val="is-IS"/>
        </w:rPr>
        <w:t>+</w:t>
      </w:r>
      <w:r w:rsidR="001F7830" w:rsidRPr="00B171D4">
        <w:rPr>
          <w:rFonts w:ascii="Arial" w:eastAsia="Arial" w:hAnsi="Arial" w:cs="Arial"/>
          <w:b/>
          <w:sz w:val="20"/>
          <w:szCs w:val="22"/>
          <w:lang w:val="is-IS"/>
        </w:rPr>
        <w:t xml:space="preserve"> T cells</w:t>
      </w:r>
      <w:r w:rsidR="005A6C72" w:rsidRPr="00B171D4">
        <w:rPr>
          <w:rFonts w:ascii="Arial" w:eastAsia="Arial" w:hAnsi="Arial" w:cs="Arial"/>
          <w:b/>
          <w:sz w:val="20"/>
          <w:szCs w:val="22"/>
          <w:lang w:val="is-IS"/>
        </w:rPr>
        <w:t xml:space="preserve"> differentiation</w:t>
      </w:r>
      <w:r>
        <w:rPr>
          <w:rFonts w:ascii="Arial" w:eastAsia="Arial" w:hAnsi="Arial" w:cs="Arial"/>
          <w:b/>
          <w:sz w:val="20"/>
          <w:szCs w:val="22"/>
          <w:lang w:val="is-IS"/>
        </w:rPr>
        <w:t xml:space="preserve"> state</w:t>
      </w:r>
    </w:p>
    <w:p w14:paraId="7B8E7A3D" w14:textId="361E040B" w:rsidR="005A6C72" w:rsidRPr="00B171D4" w:rsidRDefault="005A6C72" w:rsidP="00AA2A9C">
      <w:pPr>
        <w:pStyle w:val="Body"/>
        <w:spacing w:line="276" w:lineRule="auto"/>
        <w:jc w:val="both"/>
        <w:rPr>
          <w:rFonts w:ascii="Arial" w:eastAsia="Arial" w:hAnsi="Arial" w:cs="Arial"/>
          <w:b/>
          <w:sz w:val="20"/>
          <w:szCs w:val="22"/>
          <w:lang w:val="is-IS"/>
        </w:rPr>
      </w:pPr>
    </w:p>
    <w:tbl>
      <w:tblPr>
        <w:tblW w:w="839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852"/>
        <w:gridCol w:w="1588"/>
        <w:gridCol w:w="849"/>
        <w:gridCol w:w="1985"/>
        <w:gridCol w:w="3118"/>
      </w:tblGrid>
      <w:tr w:rsidR="005A6C72" w:rsidRPr="0070621F" w14:paraId="520827D3" w14:textId="77777777" w:rsidTr="005A6C72">
        <w:trPr>
          <w:trHeight w:val="253"/>
        </w:trPr>
        <w:tc>
          <w:tcPr>
            <w:tcW w:w="2440" w:type="dxa"/>
            <w:gridSpan w:val="2"/>
            <w:tcBorders>
              <w:top w:val="single" w:sz="4" w:space="0" w:color="000000"/>
              <w:left w:val="single" w:sz="4" w:space="0" w:color="000000"/>
              <w:bottom w:val="single" w:sz="4" w:space="0" w:color="000000"/>
              <w:right w:val="single" w:sz="4" w:space="0" w:color="000000"/>
            </w:tcBorders>
            <w:shd w:val="clear" w:color="auto" w:fill="D0CECE"/>
            <w:tcMar>
              <w:top w:w="80" w:type="dxa"/>
              <w:left w:w="80" w:type="dxa"/>
              <w:bottom w:w="80" w:type="dxa"/>
              <w:right w:w="80" w:type="dxa"/>
            </w:tcMar>
            <w:vAlign w:val="center"/>
          </w:tcPr>
          <w:p w14:paraId="23F47B89" w14:textId="77777777" w:rsidR="005A6C72" w:rsidRPr="0070621F" w:rsidRDefault="005A6C72" w:rsidP="005A6C72">
            <w:pPr>
              <w:pStyle w:val="Body"/>
              <w:jc w:val="center"/>
              <w:rPr>
                <w:rFonts w:ascii="Arial" w:hAnsi="Arial" w:cs="Arial"/>
                <w:sz w:val="20"/>
                <w:szCs w:val="20"/>
              </w:rPr>
            </w:pPr>
            <w:r w:rsidRPr="0070621F">
              <w:rPr>
                <w:rFonts w:ascii="Arial" w:hAnsi="Arial" w:cs="Arial"/>
                <w:b/>
                <w:bCs/>
                <w:sz w:val="20"/>
                <w:szCs w:val="20"/>
                <w:lang w:val="en-US"/>
              </w:rPr>
              <w:t>Cell population</w:t>
            </w:r>
          </w:p>
        </w:tc>
        <w:tc>
          <w:tcPr>
            <w:tcW w:w="849" w:type="dxa"/>
            <w:tcBorders>
              <w:top w:val="single" w:sz="4" w:space="0" w:color="000000"/>
              <w:left w:val="single" w:sz="4" w:space="0" w:color="000000"/>
              <w:bottom w:val="single" w:sz="4" w:space="0" w:color="000000"/>
              <w:right w:val="single" w:sz="4" w:space="0" w:color="000000"/>
            </w:tcBorders>
            <w:shd w:val="clear" w:color="auto" w:fill="D0CECE"/>
            <w:tcMar>
              <w:top w:w="80" w:type="dxa"/>
              <w:left w:w="80" w:type="dxa"/>
              <w:bottom w:w="80" w:type="dxa"/>
              <w:right w:w="80" w:type="dxa"/>
            </w:tcMar>
            <w:vAlign w:val="center"/>
          </w:tcPr>
          <w:p w14:paraId="7533F688" w14:textId="77777777" w:rsidR="005A6C72" w:rsidRPr="0070621F" w:rsidRDefault="005A6C72" w:rsidP="005A6C72">
            <w:pPr>
              <w:pStyle w:val="Body"/>
              <w:jc w:val="center"/>
              <w:rPr>
                <w:rFonts w:ascii="Arial" w:hAnsi="Arial" w:cs="Arial"/>
                <w:sz w:val="20"/>
                <w:szCs w:val="20"/>
              </w:rPr>
            </w:pPr>
            <w:proofErr w:type="spellStart"/>
            <w:r w:rsidRPr="0070621F">
              <w:rPr>
                <w:rFonts w:ascii="Arial" w:hAnsi="Arial" w:cs="Arial"/>
                <w:b/>
                <w:bCs/>
                <w:sz w:val="20"/>
                <w:szCs w:val="20"/>
                <w:lang w:val="it-IT"/>
              </w:rPr>
              <w:t>Abbre-viation</w:t>
            </w:r>
            <w:proofErr w:type="spellEnd"/>
          </w:p>
        </w:tc>
        <w:tc>
          <w:tcPr>
            <w:tcW w:w="1985" w:type="dxa"/>
            <w:tcBorders>
              <w:top w:val="single" w:sz="4" w:space="0" w:color="000000"/>
              <w:left w:val="single" w:sz="4" w:space="0" w:color="000000"/>
              <w:bottom w:val="single" w:sz="4" w:space="0" w:color="000000"/>
              <w:right w:val="single" w:sz="4" w:space="0" w:color="000000"/>
            </w:tcBorders>
            <w:shd w:val="clear" w:color="auto" w:fill="D0CECE"/>
            <w:tcMar>
              <w:top w:w="80" w:type="dxa"/>
              <w:left w:w="80" w:type="dxa"/>
              <w:bottom w:w="80" w:type="dxa"/>
              <w:right w:w="80" w:type="dxa"/>
            </w:tcMar>
            <w:vAlign w:val="center"/>
          </w:tcPr>
          <w:p w14:paraId="6585AF59" w14:textId="77777777" w:rsidR="005A6C72" w:rsidRPr="0070621F" w:rsidRDefault="005A6C72" w:rsidP="005A6C72">
            <w:pPr>
              <w:pStyle w:val="Body"/>
              <w:jc w:val="center"/>
              <w:rPr>
                <w:rFonts w:ascii="Arial" w:hAnsi="Arial" w:cs="Arial"/>
                <w:sz w:val="20"/>
                <w:szCs w:val="20"/>
              </w:rPr>
            </w:pPr>
            <w:r w:rsidRPr="0070621F">
              <w:rPr>
                <w:rFonts w:ascii="Arial" w:hAnsi="Arial" w:cs="Arial"/>
                <w:b/>
                <w:bCs/>
                <w:sz w:val="20"/>
                <w:szCs w:val="20"/>
                <w:lang w:val="en-US"/>
              </w:rPr>
              <w:t>Flow cytometry markers*</w:t>
            </w:r>
          </w:p>
        </w:tc>
        <w:tc>
          <w:tcPr>
            <w:tcW w:w="3118" w:type="dxa"/>
            <w:tcBorders>
              <w:top w:val="single" w:sz="4" w:space="0" w:color="000000"/>
              <w:left w:val="single" w:sz="4" w:space="0" w:color="000000"/>
              <w:bottom w:val="single" w:sz="4" w:space="0" w:color="000000"/>
              <w:right w:val="single" w:sz="4" w:space="0" w:color="000000"/>
            </w:tcBorders>
            <w:shd w:val="clear" w:color="auto" w:fill="D0CECE"/>
          </w:tcPr>
          <w:p w14:paraId="54A4D18E" w14:textId="0D77BFB3" w:rsidR="005A6C72" w:rsidRPr="0070621F" w:rsidRDefault="005A6C72" w:rsidP="00AA2A9C">
            <w:pPr>
              <w:pStyle w:val="Body"/>
              <w:jc w:val="center"/>
              <w:rPr>
                <w:rFonts w:ascii="Arial" w:hAnsi="Arial" w:cs="Arial"/>
                <w:b/>
                <w:bCs/>
                <w:sz w:val="20"/>
                <w:szCs w:val="20"/>
                <w:lang w:val="en-US"/>
              </w:rPr>
            </w:pPr>
            <w:r w:rsidRPr="0070621F">
              <w:rPr>
                <w:rFonts w:ascii="Arial" w:hAnsi="Arial" w:cs="Arial"/>
                <w:b/>
                <w:bCs/>
                <w:sz w:val="20"/>
                <w:szCs w:val="20"/>
                <w:lang w:val="en-US"/>
              </w:rPr>
              <w:t>Known transcription factors</w:t>
            </w:r>
            <w:r w:rsidR="0014151A">
              <w:rPr>
                <w:rFonts w:ascii="Arial" w:hAnsi="Arial" w:cs="Arial"/>
                <w:b/>
                <w:bCs/>
                <w:sz w:val="20"/>
                <w:szCs w:val="20"/>
                <w:lang w:val="en-US"/>
              </w:rPr>
              <w:br/>
            </w:r>
            <w:r w:rsidR="00EF5B08" w:rsidRPr="00AA2A9C">
              <w:rPr>
                <w:rFonts w:ascii="Arial" w:hAnsi="Arial" w:cs="Arial"/>
                <w:b/>
                <w:bCs/>
                <w:sz w:val="20"/>
                <w:szCs w:val="20"/>
                <w:lang w:val="en-US"/>
              </w:rPr>
              <w:fldChar w:fldCharType="begin" w:fldLock="1"/>
            </w:r>
            <w:r w:rsidR="008B657F">
              <w:rPr>
                <w:rFonts w:ascii="Arial" w:hAnsi="Arial" w:cs="Arial"/>
                <w:b/>
                <w:bCs/>
                <w:sz w:val="20"/>
                <w:szCs w:val="20"/>
                <w:lang w:val="en-US"/>
              </w:rPr>
              <w:instrText>ADDIN CSL_CITATION {"citationItems":[{"id":"ITEM-1","itemData":{"DOI":"10.3389/fimmu.2018.02692","author":[{"dropping-particle":"","family":"Martin","given":"Matthew D","non-dropping-particle":"","parse-names":false,"suffix":""},{"dropping-particle":"","family":"Badovinac","given":"Vladimir P","non-dropping-particle":"","parse-names":false,"suffix":""}],"id":"ITEM-1","issue":"November","issued":{"date-parts":[["2018"]]},"page":"1-10","title":"Defining Memory CD8 T Cell","type":"article-journal","volume":"9"},"uris":["http://www.mendeley.com/documents/?uuid=0c327a67-a876-4a32-93d0-db97e79fb114"]}],"mendeley":{"formattedCitation":"(1)","plainTextFormattedCitation":"(1)","previouslyFormattedCitation":"(1)"},"properties":{"noteIndex":0},"schema":"https://github.com/citation-style-language/schema/raw/master/csl-citation.json"}</w:instrText>
            </w:r>
            <w:r w:rsidR="00EF5B08" w:rsidRPr="00AA2A9C">
              <w:rPr>
                <w:rFonts w:ascii="Arial" w:hAnsi="Arial" w:cs="Arial"/>
                <w:b/>
                <w:bCs/>
                <w:sz w:val="20"/>
                <w:szCs w:val="20"/>
                <w:lang w:val="en-US"/>
              </w:rPr>
              <w:fldChar w:fldCharType="separate"/>
            </w:r>
            <w:r w:rsidR="003E2B8F" w:rsidRPr="003E2B8F">
              <w:rPr>
                <w:rFonts w:ascii="Arial" w:hAnsi="Arial" w:cs="Arial"/>
                <w:bCs/>
                <w:noProof/>
                <w:sz w:val="20"/>
                <w:szCs w:val="20"/>
                <w:lang w:val="en-US"/>
              </w:rPr>
              <w:t>(1)</w:t>
            </w:r>
            <w:r w:rsidR="00EF5B08" w:rsidRPr="00AA2A9C">
              <w:rPr>
                <w:rFonts w:ascii="Arial" w:hAnsi="Arial" w:cs="Arial"/>
                <w:b/>
                <w:bCs/>
                <w:sz w:val="20"/>
                <w:szCs w:val="20"/>
                <w:lang w:val="en-US"/>
              </w:rPr>
              <w:fldChar w:fldCharType="end"/>
            </w:r>
            <w:r w:rsidR="00EF5B08">
              <w:rPr>
                <w:rFonts w:ascii="Arial" w:hAnsi="Arial" w:cs="Arial"/>
                <w:b/>
                <w:bCs/>
                <w:sz w:val="20"/>
                <w:szCs w:val="20"/>
                <w:lang w:val="en-US"/>
              </w:rPr>
              <w:t xml:space="preserve"> </w:t>
            </w:r>
          </w:p>
        </w:tc>
      </w:tr>
      <w:tr w:rsidR="005A6C72" w:rsidRPr="0070621F" w14:paraId="13E9F534" w14:textId="77777777" w:rsidTr="005A6C72">
        <w:trPr>
          <w:trHeight w:val="252"/>
        </w:trPr>
        <w:tc>
          <w:tcPr>
            <w:tcW w:w="2440" w:type="dxa"/>
            <w:gridSpan w:val="2"/>
            <w:tcBorders>
              <w:top w:val="single" w:sz="4" w:space="0" w:color="000000"/>
              <w:left w:val="single" w:sz="4" w:space="0" w:color="000000"/>
              <w:bottom w:val="single" w:sz="4" w:space="0" w:color="000000"/>
              <w:right w:val="single" w:sz="4" w:space="0" w:color="000000"/>
            </w:tcBorders>
            <w:shd w:val="clear" w:color="auto" w:fill="F2F2F2"/>
            <w:tcMar>
              <w:top w:w="80" w:type="dxa"/>
              <w:left w:w="80" w:type="dxa"/>
              <w:bottom w:w="80" w:type="dxa"/>
              <w:right w:w="80" w:type="dxa"/>
            </w:tcMar>
            <w:vAlign w:val="center"/>
          </w:tcPr>
          <w:p w14:paraId="1DECB16E" w14:textId="77777777" w:rsidR="005A6C72" w:rsidRPr="0070621F" w:rsidRDefault="005A6C72" w:rsidP="005A6C72">
            <w:pPr>
              <w:pStyle w:val="Body"/>
              <w:rPr>
                <w:rFonts w:ascii="Arial" w:hAnsi="Arial" w:cs="Arial"/>
                <w:sz w:val="20"/>
                <w:szCs w:val="20"/>
              </w:rPr>
            </w:pPr>
            <w:r w:rsidRPr="0070621F">
              <w:rPr>
                <w:rFonts w:ascii="Arial" w:hAnsi="Arial" w:cs="Arial"/>
                <w:b/>
                <w:bCs/>
                <w:sz w:val="20"/>
                <w:szCs w:val="20"/>
              </w:rPr>
              <w:t>Naïve</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5F9265" w14:textId="77777777" w:rsidR="005A6C72" w:rsidRPr="0070621F" w:rsidRDefault="005A6C72" w:rsidP="005A6C72">
            <w:pPr>
              <w:spacing w:line="240" w:lineRule="auto"/>
              <w:rPr>
                <w:rFonts w:ascii="Arial" w:hAnsi="Arial" w:cs="Arial"/>
                <w:sz w:val="20"/>
                <w:szCs w:val="20"/>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7FE078" w14:textId="77777777" w:rsidR="005A6C72" w:rsidRPr="0070621F" w:rsidRDefault="005A6C72" w:rsidP="005A6C72">
            <w:pPr>
              <w:pStyle w:val="Body"/>
              <w:rPr>
                <w:rFonts w:ascii="Arial" w:hAnsi="Arial" w:cs="Arial"/>
                <w:b/>
                <w:sz w:val="20"/>
                <w:szCs w:val="20"/>
              </w:rPr>
            </w:pPr>
            <w:r w:rsidRPr="0070621F">
              <w:rPr>
                <w:rFonts w:ascii="Arial" w:hAnsi="Arial" w:cs="Arial"/>
                <w:b/>
                <w:sz w:val="20"/>
                <w:szCs w:val="20"/>
              </w:rPr>
              <w:t>CD45RA+CCR7+</w:t>
            </w:r>
          </w:p>
        </w:tc>
        <w:tc>
          <w:tcPr>
            <w:tcW w:w="3118" w:type="dxa"/>
            <w:tcBorders>
              <w:top w:val="single" w:sz="4" w:space="0" w:color="000000"/>
              <w:left w:val="single" w:sz="4" w:space="0" w:color="000000"/>
              <w:bottom w:val="single" w:sz="4" w:space="0" w:color="000000"/>
              <w:right w:val="single" w:sz="4" w:space="0" w:color="000000"/>
            </w:tcBorders>
          </w:tcPr>
          <w:p w14:paraId="59D322C6" w14:textId="77777777" w:rsidR="005A6C72" w:rsidRPr="0070621F" w:rsidRDefault="005A6C72" w:rsidP="005A6C72">
            <w:pPr>
              <w:pStyle w:val="Body"/>
              <w:rPr>
                <w:rFonts w:ascii="Arial" w:hAnsi="Arial" w:cs="Arial"/>
                <w:sz w:val="20"/>
                <w:szCs w:val="20"/>
              </w:rPr>
            </w:pPr>
          </w:p>
        </w:tc>
      </w:tr>
      <w:tr w:rsidR="005A6C72" w:rsidRPr="0070621F" w14:paraId="0C5989A1" w14:textId="77777777" w:rsidTr="005A6C72">
        <w:trPr>
          <w:trHeight w:val="222"/>
        </w:trPr>
        <w:tc>
          <w:tcPr>
            <w:tcW w:w="2440" w:type="dxa"/>
            <w:gridSpan w:val="2"/>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11707541"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lang w:val="en-US"/>
              </w:rPr>
              <w:t xml:space="preserve">Early effector cells </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4EFC48"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lang w:val="en-US"/>
              </w:rPr>
              <w:t>EEC</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B311C70"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rPr>
              <w:t>CD127-KLRG1-</w:t>
            </w:r>
          </w:p>
        </w:tc>
        <w:tc>
          <w:tcPr>
            <w:tcW w:w="3118" w:type="dxa"/>
            <w:tcBorders>
              <w:top w:val="single" w:sz="4" w:space="0" w:color="000000"/>
              <w:left w:val="single" w:sz="4" w:space="0" w:color="000000"/>
              <w:bottom w:val="single" w:sz="4" w:space="0" w:color="000000"/>
              <w:right w:val="single" w:sz="4" w:space="0" w:color="000000"/>
            </w:tcBorders>
          </w:tcPr>
          <w:p w14:paraId="361CDD10" w14:textId="77777777" w:rsidR="005A6C72" w:rsidRPr="0070621F" w:rsidRDefault="005A6C72" w:rsidP="005A6C72">
            <w:pPr>
              <w:pStyle w:val="Body"/>
              <w:rPr>
                <w:rFonts w:ascii="Arial" w:hAnsi="Arial" w:cs="Arial"/>
                <w:sz w:val="20"/>
                <w:szCs w:val="20"/>
              </w:rPr>
            </w:pPr>
          </w:p>
        </w:tc>
      </w:tr>
      <w:tr w:rsidR="005A6C72" w:rsidRPr="0070621F" w14:paraId="02506145" w14:textId="77777777" w:rsidTr="005A6C72">
        <w:trPr>
          <w:trHeight w:val="222"/>
        </w:trPr>
        <w:tc>
          <w:tcPr>
            <w:tcW w:w="2440" w:type="dxa"/>
            <w:gridSpan w:val="2"/>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62019EA8"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lang w:val="en-US"/>
              </w:rPr>
              <w:t>Short-lived effector cells</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308392"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rPr>
              <w:t>SLEC</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347180"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rPr>
              <w:t>CD127-KLRG1+</w:t>
            </w:r>
          </w:p>
        </w:tc>
        <w:tc>
          <w:tcPr>
            <w:tcW w:w="3118" w:type="dxa"/>
            <w:tcBorders>
              <w:top w:val="single" w:sz="4" w:space="0" w:color="000000"/>
              <w:left w:val="single" w:sz="4" w:space="0" w:color="000000"/>
              <w:bottom w:val="single" w:sz="4" w:space="0" w:color="000000"/>
              <w:right w:val="single" w:sz="4" w:space="0" w:color="000000"/>
            </w:tcBorders>
          </w:tcPr>
          <w:p w14:paraId="21F2FFE9" w14:textId="77777777" w:rsidR="005A6C72" w:rsidRPr="0070621F" w:rsidRDefault="005A6C72" w:rsidP="005A6C72">
            <w:pPr>
              <w:pStyle w:val="Body"/>
              <w:rPr>
                <w:rFonts w:ascii="Arial" w:hAnsi="Arial" w:cs="Arial"/>
                <w:sz w:val="20"/>
                <w:szCs w:val="20"/>
              </w:rPr>
            </w:pPr>
          </w:p>
        </w:tc>
      </w:tr>
      <w:tr w:rsidR="005A6C72" w:rsidRPr="0070621F" w14:paraId="255C1E01" w14:textId="77777777" w:rsidTr="005A6C72">
        <w:trPr>
          <w:trHeight w:val="442"/>
        </w:trPr>
        <w:tc>
          <w:tcPr>
            <w:tcW w:w="2440" w:type="dxa"/>
            <w:gridSpan w:val="2"/>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60B03C73"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lang w:val="en-US"/>
              </w:rPr>
              <w:t xml:space="preserve">Memory precursor effector cells </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0C044F"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lang w:val="nl-NL"/>
              </w:rPr>
              <w:t>MPEC</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0E3732"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rPr>
              <w:t>CD127+KLRG1-</w:t>
            </w:r>
          </w:p>
        </w:tc>
        <w:tc>
          <w:tcPr>
            <w:tcW w:w="3118" w:type="dxa"/>
            <w:tcBorders>
              <w:top w:val="single" w:sz="4" w:space="0" w:color="000000"/>
              <w:left w:val="single" w:sz="4" w:space="0" w:color="000000"/>
              <w:bottom w:val="single" w:sz="4" w:space="0" w:color="000000"/>
              <w:right w:val="single" w:sz="4" w:space="0" w:color="000000"/>
            </w:tcBorders>
          </w:tcPr>
          <w:p w14:paraId="0868539B" w14:textId="77777777" w:rsidR="005A6C72" w:rsidRPr="0070621F" w:rsidRDefault="005A6C72" w:rsidP="005A6C72">
            <w:pPr>
              <w:pStyle w:val="Body"/>
              <w:rPr>
                <w:rFonts w:ascii="Arial" w:hAnsi="Arial" w:cs="Arial"/>
                <w:sz w:val="20"/>
                <w:szCs w:val="20"/>
                <w:lang w:val="en-US"/>
              </w:rPr>
            </w:pPr>
          </w:p>
        </w:tc>
      </w:tr>
      <w:tr w:rsidR="005A6C72" w:rsidRPr="0070621F" w14:paraId="3E19B2E0" w14:textId="77777777" w:rsidTr="005A6C72">
        <w:trPr>
          <w:trHeight w:val="442"/>
        </w:trPr>
        <w:tc>
          <w:tcPr>
            <w:tcW w:w="2440" w:type="dxa"/>
            <w:gridSpan w:val="2"/>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14:paraId="59F7C4C8"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lang w:val="en-US"/>
              </w:rPr>
              <w:t>Effector memory</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45243F"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rPr>
              <w:t>EM</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8C3478"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lang w:val="en-US"/>
              </w:rPr>
              <w:t>CD45RA-CCR7</w:t>
            </w:r>
            <w:proofErr w:type="gramStart"/>
            <w:r w:rsidRPr="0070621F">
              <w:rPr>
                <w:rFonts w:ascii="Arial" w:hAnsi="Arial" w:cs="Arial"/>
                <w:sz w:val="20"/>
                <w:szCs w:val="20"/>
                <w:lang w:val="en-US"/>
              </w:rPr>
              <w:t>-  or</w:t>
            </w:r>
            <w:proofErr w:type="gramEnd"/>
            <w:r w:rsidRPr="0070621F">
              <w:rPr>
                <w:rFonts w:ascii="Arial" w:hAnsi="Arial" w:cs="Arial"/>
                <w:sz w:val="20"/>
                <w:szCs w:val="20"/>
                <w:lang w:val="en-US"/>
              </w:rPr>
              <w:t xml:space="preserve"> CD45RO+CCR7-</w:t>
            </w:r>
          </w:p>
        </w:tc>
        <w:tc>
          <w:tcPr>
            <w:tcW w:w="3118" w:type="dxa"/>
            <w:vMerge w:val="restart"/>
            <w:tcBorders>
              <w:top w:val="single" w:sz="4" w:space="0" w:color="000000"/>
              <w:left w:val="single" w:sz="4" w:space="0" w:color="000000"/>
              <w:right w:val="single" w:sz="4" w:space="0" w:color="000000"/>
            </w:tcBorders>
          </w:tcPr>
          <w:p w14:paraId="31C5A02F" w14:textId="77777777" w:rsidR="005A6C72" w:rsidRPr="0070621F" w:rsidRDefault="005A6C72" w:rsidP="005A6C72">
            <w:pPr>
              <w:pStyle w:val="Body"/>
              <w:rPr>
                <w:rFonts w:ascii="Arial" w:hAnsi="Arial" w:cs="Arial"/>
                <w:sz w:val="20"/>
                <w:szCs w:val="20"/>
                <w:lang w:val="en-US"/>
              </w:rPr>
            </w:pPr>
            <w:proofErr w:type="spellStart"/>
            <w:r w:rsidRPr="0070621F">
              <w:rPr>
                <w:rFonts w:ascii="Arial" w:hAnsi="Arial" w:cs="Arial"/>
                <w:sz w:val="20"/>
                <w:szCs w:val="20"/>
                <w:lang w:val="en-US"/>
              </w:rPr>
              <w:t>Tbet</w:t>
            </w:r>
            <w:r w:rsidRPr="0070621F">
              <w:rPr>
                <w:rFonts w:ascii="Arial" w:hAnsi="Arial" w:cs="Arial"/>
                <w:sz w:val="20"/>
                <w:szCs w:val="20"/>
                <w:vertAlign w:val="superscript"/>
                <w:lang w:val="en-US"/>
              </w:rPr>
              <w:t>hi</w:t>
            </w:r>
            <w:proofErr w:type="spellEnd"/>
          </w:p>
          <w:p w14:paraId="059EF495" w14:textId="77777777" w:rsidR="005A6C72" w:rsidRPr="0070621F" w:rsidRDefault="005A6C72" w:rsidP="005A6C72">
            <w:pPr>
              <w:pStyle w:val="Body"/>
              <w:rPr>
                <w:rFonts w:ascii="Arial" w:hAnsi="Arial" w:cs="Arial"/>
                <w:sz w:val="20"/>
                <w:szCs w:val="20"/>
                <w:lang w:val="en-US"/>
              </w:rPr>
            </w:pPr>
            <w:r w:rsidRPr="0070621F">
              <w:rPr>
                <w:rFonts w:ascii="Arial" w:hAnsi="Arial" w:cs="Arial"/>
                <w:sz w:val="20"/>
                <w:szCs w:val="20"/>
                <w:lang w:val="en-US"/>
              </w:rPr>
              <w:t>Blimp1</w:t>
            </w:r>
            <w:r w:rsidRPr="0070621F">
              <w:rPr>
                <w:rFonts w:ascii="Arial" w:hAnsi="Arial" w:cs="Arial"/>
                <w:sz w:val="20"/>
                <w:szCs w:val="20"/>
                <w:vertAlign w:val="superscript"/>
                <w:lang w:val="en-US"/>
              </w:rPr>
              <w:t>hi</w:t>
            </w:r>
            <w:r w:rsidRPr="0070621F">
              <w:rPr>
                <w:rFonts w:ascii="Arial" w:hAnsi="Arial" w:cs="Arial"/>
                <w:sz w:val="20"/>
                <w:szCs w:val="20"/>
                <w:lang w:val="en-US"/>
              </w:rPr>
              <w:t xml:space="preserve"> /ID2</w:t>
            </w:r>
            <w:r w:rsidRPr="0070621F">
              <w:rPr>
                <w:rFonts w:ascii="Arial" w:hAnsi="Arial" w:cs="Arial"/>
                <w:sz w:val="20"/>
                <w:szCs w:val="20"/>
                <w:vertAlign w:val="superscript"/>
                <w:lang w:val="en-US"/>
              </w:rPr>
              <w:t>hi</w:t>
            </w:r>
            <w:r w:rsidRPr="0070621F">
              <w:rPr>
                <w:rFonts w:ascii="Arial" w:hAnsi="Arial" w:cs="Arial"/>
                <w:sz w:val="20"/>
                <w:szCs w:val="20"/>
                <w:lang w:val="en-US"/>
              </w:rPr>
              <w:t>/STAT4</w:t>
            </w:r>
            <w:r w:rsidRPr="0070621F">
              <w:rPr>
                <w:rFonts w:ascii="Arial" w:hAnsi="Arial" w:cs="Arial"/>
                <w:sz w:val="20"/>
                <w:szCs w:val="20"/>
                <w:vertAlign w:val="superscript"/>
                <w:lang w:val="en-US"/>
              </w:rPr>
              <w:t>hi</w:t>
            </w:r>
          </w:p>
        </w:tc>
      </w:tr>
      <w:tr w:rsidR="005A6C72" w:rsidRPr="0070621F" w14:paraId="6CBF29D8" w14:textId="77777777" w:rsidTr="005A6C72">
        <w:trPr>
          <w:trHeight w:val="406"/>
        </w:trPr>
        <w:tc>
          <w:tcPr>
            <w:tcW w:w="852" w:type="dxa"/>
            <w:vMerge w:val="restart"/>
            <w:tcBorders>
              <w:top w:val="single" w:sz="4" w:space="0" w:color="000000"/>
              <w:left w:val="single" w:sz="4" w:space="0" w:color="000000"/>
              <w:bottom w:val="single" w:sz="4" w:space="0" w:color="000000"/>
              <w:right w:val="single" w:sz="4" w:space="0" w:color="000000"/>
            </w:tcBorders>
            <w:shd w:val="clear" w:color="auto" w:fill="E2EFD9"/>
            <w:tcMar>
              <w:top w:w="80" w:type="dxa"/>
              <w:left w:w="193" w:type="dxa"/>
              <w:bottom w:w="80" w:type="dxa"/>
              <w:right w:w="193" w:type="dxa"/>
            </w:tcMar>
            <w:textDirection w:val="btLr"/>
          </w:tcPr>
          <w:p w14:paraId="7AEFFE6F" w14:textId="77777777" w:rsidR="005A6C72" w:rsidRPr="0070621F" w:rsidRDefault="005A6C72" w:rsidP="005A6C72">
            <w:pPr>
              <w:pStyle w:val="Body"/>
              <w:ind w:left="113" w:right="113"/>
              <w:jc w:val="right"/>
              <w:rPr>
                <w:rFonts w:ascii="Arial" w:hAnsi="Arial" w:cs="Arial"/>
                <w:sz w:val="20"/>
                <w:szCs w:val="20"/>
              </w:rPr>
            </w:pPr>
            <w:proofErr w:type="spellStart"/>
            <w:r w:rsidRPr="0070621F">
              <w:rPr>
                <w:rFonts w:ascii="Arial" w:hAnsi="Arial" w:cs="Arial"/>
                <w:sz w:val="20"/>
                <w:szCs w:val="20"/>
                <w:lang w:val="pt-PT"/>
              </w:rPr>
              <w:t>subsets</w:t>
            </w:r>
            <w:proofErr w:type="spellEnd"/>
            <w:r w:rsidRPr="0070621F">
              <w:rPr>
                <w:rFonts w:ascii="Arial" w:hAnsi="Arial" w:cs="Arial"/>
                <w:sz w:val="20"/>
                <w:szCs w:val="20"/>
              </w:rPr>
              <w:t xml:space="preserve">   </w:t>
            </w:r>
          </w:p>
        </w:tc>
        <w:tc>
          <w:tcPr>
            <w:tcW w:w="1588"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14:paraId="6400D7F7"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lang w:val="en-US"/>
              </w:rPr>
              <w:t>Effector memory 1</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6A1173"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rPr>
              <w:t>EM1</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2C1FC6" w14:textId="77777777" w:rsidR="005A6C72" w:rsidRPr="0070621F" w:rsidRDefault="005A6C72" w:rsidP="005A6C72">
            <w:pPr>
              <w:pStyle w:val="Body"/>
              <w:rPr>
                <w:rFonts w:ascii="Arial" w:hAnsi="Arial" w:cs="Arial"/>
                <w:b/>
                <w:sz w:val="20"/>
                <w:szCs w:val="20"/>
              </w:rPr>
            </w:pPr>
            <w:r w:rsidRPr="0070621F">
              <w:rPr>
                <w:rFonts w:ascii="Arial" w:hAnsi="Arial" w:cs="Arial"/>
                <w:b/>
                <w:sz w:val="20"/>
                <w:szCs w:val="20"/>
              </w:rPr>
              <w:t>CD27+CD28+</w:t>
            </w:r>
            <w:r w:rsidRPr="0070621F">
              <w:rPr>
                <w:rFonts w:ascii="Arial" w:hAnsi="Arial" w:cs="Arial"/>
                <w:b/>
                <w:sz w:val="20"/>
                <w:szCs w:val="20"/>
              </w:rPr>
              <w:br/>
            </w:r>
          </w:p>
        </w:tc>
        <w:tc>
          <w:tcPr>
            <w:tcW w:w="3118" w:type="dxa"/>
            <w:vMerge/>
            <w:tcBorders>
              <w:left w:val="single" w:sz="4" w:space="0" w:color="000000"/>
              <w:right w:val="single" w:sz="4" w:space="0" w:color="000000"/>
            </w:tcBorders>
          </w:tcPr>
          <w:p w14:paraId="7ECBD534" w14:textId="77777777" w:rsidR="005A6C72" w:rsidRPr="0070621F" w:rsidRDefault="005A6C72" w:rsidP="005A6C72">
            <w:pPr>
              <w:pStyle w:val="Body"/>
              <w:rPr>
                <w:rFonts w:ascii="Arial" w:hAnsi="Arial" w:cs="Arial"/>
                <w:sz w:val="20"/>
                <w:szCs w:val="20"/>
              </w:rPr>
            </w:pPr>
          </w:p>
        </w:tc>
      </w:tr>
      <w:tr w:rsidR="005A6C72" w:rsidRPr="0070621F" w14:paraId="0CAEBC70" w14:textId="77777777" w:rsidTr="005A6C72">
        <w:trPr>
          <w:trHeight w:val="442"/>
        </w:trPr>
        <w:tc>
          <w:tcPr>
            <w:tcW w:w="852" w:type="dxa"/>
            <w:vMerge/>
            <w:tcBorders>
              <w:top w:val="single" w:sz="4" w:space="0" w:color="000000"/>
              <w:left w:val="single" w:sz="4" w:space="0" w:color="000000"/>
              <w:bottom w:val="single" w:sz="4" w:space="0" w:color="000000"/>
              <w:right w:val="single" w:sz="4" w:space="0" w:color="000000"/>
            </w:tcBorders>
            <w:shd w:val="clear" w:color="auto" w:fill="E2EFD9"/>
          </w:tcPr>
          <w:p w14:paraId="7CB52A58" w14:textId="77777777" w:rsidR="005A6C72" w:rsidRPr="0070621F" w:rsidRDefault="005A6C72" w:rsidP="005A6C72">
            <w:pPr>
              <w:spacing w:line="240" w:lineRule="auto"/>
              <w:rPr>
                <w:rFonts w:ascii="Arial" w:hAnsi="Arial" w:cs="Arial"/>
                <w:sz w:val="20"/>
                <w:szCs w:val="20"/>
              </w:rPr>
            </w:pPr>
          </w:p>
        </w:tc>
        <w:tc>
          <w:tcPr>
            <w:tcW w:w="1588"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14:paraId="4D265AF1"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lang w:val="en-US"/>
              </w:rPr>
              <w:t>Effector memory 2</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7BBBD2"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rPr>
              <w:t>EM2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E1532F" w14:textId="77777777" w:rsidR="005A6C72" w:rsidRPr="0070621F" w:rsidRDefault="005A6C72" w:rsidP="005A6C72">
            <w:pPr>
              <w:pStyle w:val="Body"/>
              <w:rPr>
                <w:rFonts w:ascii="Arial" w:hAnsi="Arial" w:cs="Arial"/>
                <w:b/>
                <w:sz w:val="20"/>
                <w:szCs w:val="20"/>
              </w:rPr>
            </w:pPr>
            <w:r w:rsidRPr="0070621F">
              <w:rPr>
                <w:rFonts w:ascii="Arial" w:hAnsi="Arial" w:cs="Arial"/>
                <w:b/>
                <w:sz w:val="20"/>
                <w:szCs w:val="20"/>
              </w:rPr>
              <w:t>CD27+CD28-</w:t>
            </w:r>
            <w:r w:rsidRPr="0070621F">
              <w:rPr>
                <w:rFonts w:ascii="Arial" w:hAnsi="Arial" w:cs="Arial"/>
                <w:b/>
                <w:sz w:val="20"/>
                <w:szCs w:val="20"/>
              </w:rPr>
              <w:br/>
            </w:r>
            <w:r w:rsidRPr="0070621F">
              <w:rPr>
                <w:rFonts w:ascii="Arial" w:hAnsi="Arial" w:cs="Arial"/>
                <w:b/>
                <w:sz w:val="20"/>
                <w:szCs w:val="20"/>
                <w:shd w:val="clear" w:color="auto" w:fill="FFFF00"/>
              </w:rPr>
              <w:t xml:space="preserve"> </w:t>
            </w:r>
          </w:p>
        </w:tc>
        <w:tc>
          <w:tcPr>
            <w:tcW w:w="3118" w:type="dxa"/>
            <w:vMerge/>
            <w:tcBorders>
              <w:left w:val="single" w:sz="4" w:space="0" w:color="000000"/>
              <w:right w:val="single" w:sz="4" w:space="0" w:color="000000"/>
            </w:tcBorders>
          </w:tcPr>
          <w:p w14:paraId="7B41217D" w14:textId="77777777" w:rsidR="005A6C72" w:rsidRPr="0070621F" w:rsidRDefault="005A6C72" w:rsidP="005A6C72">
            <w:pPr>
              <w:pStyle w:val="Body"/>
              <w:rPr>
                <w:rFonts w:ascii="Arial" w:hAnsi="Arial" w:cs="Arial"/>
                <w:sz w:val="20"/>
                <w:szCs w:val="20"/>
              </w:rPr>
            </w:pPr>
          </w:p>
        </w:tc>
      </w:tr>
      <w:tr w:rsidR="005A6C72" w:rsidRPr="0070621F" w14:paraId="7A626D44" w14:textId="77777777" w:rsidTr="005A6C72">
        <w:trPr>
          <w:trHeight w:val="442"/>
        </w:trPr>
        <w:tc>
          <w:tcPr>
            <w:tcW w:w="852" w:type="dxa"/>
            <w:vMerge/>
            <w:tcBorders>
              <w:top w:val="single" w:sz="4" w:space="0" w:color="000000"/>
              <w:left w:val="single" w:sz="4" w:space="0" w:color="000000"/>
              <w:bottom w:val="single" w:sz="4" w:space="0" w:color="000000"/>
              <w:right w:val="single" w:sz="4" w:space="0" w:color="000000"/>
            </w:tcBorders>
            <w:shd w:val="clear" w:color="auto" w:fill="E2EFD9"/>
          </w:tcPr>
          <w:p w14:paraId="267FCA43" w14:textId="77777777" w:rsidR="005A6C72" w:rsidRPr="0070621F" w:rsidRDefault="005A6C72" w:rsidP="005A6C72">
            <w:pPr>
              <w:spacing w:line="240" w:lineRule="auto"/>
              <w:rPr>
                <w:rFonts w:ascii="Arial" w:hAnsi="Arial" w:cs="Arial"/>
                <w:sz w:val="20"/>
                <w:szCs w:val="20"/>
              </w:rPr>
            </w:pPr>
          </w:p>
        </w:tc>
        <w:tc>
          <w:tcPr>
            <w:tcW w:w="1588"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14:paraId="0F7F4150"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lang w:val="en-US"/>
              </w:rPr>
              <w:t>Effector memory 3</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F94CCB"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rPr>
              <w:t>EM3</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03BA19" w14:textId="77777777" w:rsidR="005A6C72" w:rsidRPr="0070621F" w:rsidRDefault="005A6C72" w:rsidP="005A6C72">
            <w:pPr>
              <w:pStyle w:val="Body"/>
              <w:rPr>
                <w:rFonts w:ascii="Arial" w:hAnsi="Arial" w:cs="Arial"/>
                <w:b/>
                <w:sz w:val="20"/>
                <w:szCs w:val="20"/>
              </w:rPr>
            </w:pPr>
            <w:r w:rsidRPr="0070621F">
              <w:rPr>
                <w:rFonts w:ascii="Arial" w:hAnsi="Arial" w:cs="Arial"/>
                <w:b/>
                <w:sz w:val="20"/>
                <w:szCs w:val="20"/>
              </w:rPr>
              <w:t>CD27-CD28-</w:t>
            </w:r>
          </w:p>
        </w:tc>
        <w:tc>
          <w:tcPr>
            <w:tcW w:w="3118" w:type="dxa"/>
            <w:vMerge/>
            <w:tcBorders>
              <w:left w:val="single" w:sz="4" w:space="0" w:color="000000"/>
              <w:right w:val="single" w:sz="4" w:space="0" w:color="000000"/>
            </w:tcBorders>
          </w:tcPr>
          <w:p w14:paraId="3C072D52" w14:textId="77777777" w:rsidR="005A6C72" w:rsidRPr="0070621F" w:rsidRDefault="005A6C72" w:rsidP="005A6C72">
            <w:pPr>
              <w:pStyle w:val="Body"/>
              <w:rPr>
                <w:rFonts w:ascii="Arial" w:hAnsi="Arial" w:cs="Arial"/>
                <w:sz w:val="20"/>
                <w:szCs w:val="20"/>
              </w:rPr>
            </w:pPr>
          </w:p>
        </w:tc>
      </w:tr>
      <w:tr w:rsidR="005A6C72" w:rsidRPr="0070621F" w14:paraId="275BFBAD" w14:textId="77777777" w:rsidTr="005A6C72">
        <w:trPr>
          <w:trHeight w:val="442"/>
        </w:trPr>
        <w:tc>
          <w:tcPr>
            <w:tcW w:w="852" w:type="dxa"/>
            <w:vMerge/>
            <w:tcBorders>
              <w:top w:val="single" w:sz="4" w:space="0" w:color="000000"/>
              <w:left w:val="single" w:sz="4" w:space="0" w:color="000000"/>
              <w:bottom w:val="single" w:sz="4" w:space="0" w:color="000000"/>
              <w:right w:val="single" w:sz="4" w:space="0" w:color="000000"/>
            </w:tcBorders>
            <w:shd w:val="clear" w:color="auto" w:fill="E2EFD9"/>
          </w:tcPr>
          <w:p w14:paraId="2D06B8AC" w14:textId="77777777" w:rsidR="005A6C72" w:rsidRPr="0070621F" w:rsidRDefault="005A6C72" w:rsidP="005A6C72">
            <w:pPr>
              <w:spacing w:line="240" w:lineRule="auto"/>
              <w:rPr>
                <w:rFonts w:ascii="Arial" w:hAnsi="Arial" w:cs="Arial"/>
                <w:sz w:val="20"/>
                <w:szCs w:val="20"/>
              </w:rPr>
            </w:pPr>
          </w:p>
        </w:tc>
        <w:tc>
          <w:tcPr>
            <w:tcW w:w="1588"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14:paraId="75E778C5"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lang w:val="en-US"/>
              </w:rPr>
              <w:t>Effector memory 4</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11190C"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rPr>
              <w:t>EM4</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FAC863" w14:textId="77777777" w:rsidR="005A6C72" w:rsidRPr="0070621F" w:rsidRDefault="005A6C72" w:rsidP="005A6C72">
            <w:pPr>
              <w:pStyle w:val="Body"/>
              <w:rPr>
                <w:rFonts w:ascii="Arial" w:hAnsi="Arial" w:cs="Arial"/>
                <w:b/>
                <w:sz w:val="20"/>
                <w:szCs w:val="20"/>
              </w:rPr>
            </w:pPr>
            <w:r w:rsidRPr="0070621F">
              <w:rPr>
                <w:rFonts w:ascii="Arial" w:hAnsi="Arial" w:cs="Arial"/>
                <w:b/>
                <w:sz w:val="20"/>
                <w:szCs w:val="20"/>
              </w:rPr>
              <w:t>CD27-CD28+</w:t>
            </w:r>
            <w:r w:rsidRPr="0070621F">
              <w:rPr>
                <w:rFonts w:ascii="Arial" w:hAnsi="Arial" w:cs="Arial"/>
                <w:b/>
                <w:sz w:val="20"/>
                <w:szCs w:val="20"/>
              </w:rPr>
              <w:br/>
            </w:r>
          </w:p>
        </w:tc>
        <w:tc>
          <w:tcPr>
            <w:tcW w:w="3118" w:type="dxa"/>
            <w:vMerge/>
            <w:tcBorders>
              <w:left w:val="single" w:sz="4" w:space="0" w:color="000000"/>
              <w:bottom w:val="single" w:sz="4" w:space="0" w:color="000000"/>
              <w:right w:val="single" w:sz="4" w:space="0" w:color="000000"/>
            </w:tcBorders>
          </w:tcPr>
          <w:p w14:paraId="1DE64E71" w14:textId="77777777" w:rsidR="005A6C72" w:rsidRPr="0070621F" w:rsidRDefault="005A6C72" w:rsidP="005A6C72">
            <w:pPr>
              <w:pStyle w:val="Body"/>
              <w:rPr>
                <w:rFonts w:ascii="Arial" w:hAnsi="Arial" w:cs="Arial"/>
                <w:sz w:val="20"/>
                <w:szCs w:val="20"/>
              </w:rPr>
            </w:pPr>
          </w:p>
        </w:tc>
      </w:tr>
      <w:tr w:rsidR="005A6C72" w:rsidRPr="0070621F" w14:paraId="6B8D280E" w14:textId="77777777" w:rsidTr="005A6C72">
        <w:trPr>
          <w:trHeight w:val="416"/>
        </w:trPr>
        <w:tc>
          <w:tcPr>
            <w:tcW w:w="2440" w:type="dxa"/>
            <w:gridSpan w:val="2"/>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14:paraId="0ED2DF49"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lang w:val="en-US"/>
              </w:rPr>
              <w:t>Effector memory re-expressing CD45RA</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CCB947"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lang w:val="de-DE"/>
              </w:rPr>
              <w:t>EMRA</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ECB6C1" w14:textId="77777777" w:rsidR="005A6C72" w:rsidRPr="0070621F" w:rsidRDefault="005A6C72" w:rsidP="005A6C72">
            <w:pPr>
              <w:pStyle w:val="Body"/>
              <w:rPr>
                <w:rFonts w:ascii="Arial" w:hAnsi="Arial" w:cs="Arial"/>
                <w:b/>
                <w:sz w:val="20"/>
                <w:szCs w:val="20"/>
              </w:rPr>
            </w:pPr>
            <w:r w:rsidRPr="0070621F">
              <w:rPr>
                <w:rFonts w:ascii="Arial" w:hAnsi="Arial" w:cs="Arial"/>
                <w:b/>
                <w:sz w:val="20"/>
                <w:szCs w:val="20"/>
              </w:rPr>
              <w:t>CD45RA-CCR7-</w:t>
            </w:r>
            <w:r w:rsidRPr="0070621F">
              <w:rPr>
                <w:rFonts w:ascii="Arial" w:hAnsi="Arial" w:cs="Arial"/>
                <w:b/>
                <w:sz w:val="20"/>
                <w:szCs w:val="20"/>
              </w:rPr>
              <w:br/>
              <w:t xml:space="preserve"> </w:t>
            </w:r>
          </w:p>
        </w:tc>
        <w:tc>
          <w:tcPr>
            <w:tcW w:w="3118" w:type="dxa"/>
            <w:tcBorders>
              <w:top w:val="single" w:sz="4" w:space="0" w:color="000000"/>
              <w:left w:val="single" w:sz="4" w:space="0" w:color="000000"/>
              <w:bottom w:val="single" w:sz="4" w:space="0" w:color="000000"/>
              <w:right w:val="single" w:sz="4" w:space="0" w:color="000000"/>
            </w:tcBorders>
          </w:tcPr>
          <w:p w14:paraId="562BDB69" w14:textId="77777777" w:rsidR="005A6C72" w:rsidRPr="0070621F" w:rsidRDefault="005A6C72" w:rsidP="005A6C72">
            <w:pPr>
              <w:pStyle w:val="Body"/>
              <w:rPr>
                <w:rFonts w:ascii="Arial" w:hAnsi="Arial" w:cs="Arial"/>
                <w:sz w:val="20"/>
                <w:szCs w:val="20"/>
              </w:rPr>
            </w:pPr>
          </w:p>
        </w:tc>
      </w:tr>
      <w:tr w:rsidR="005A6C72" w:rsidRPr="0070621F" w14:paraId="512549AB" w14:textId="77777777" w:rsidTr="005A6C72">
        <w:trPr>
          <w:trHeight w:val="485"/>
        </w:trPr>
        <w:tc>
          <w:tcPr>
            <w:tcW w:w="2440" w:type="dxa"/>
            <w:gridSpan w:val="2"/>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14:paraId="214683EB"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lang w:val="en-US"/>
              </w:rPr>
              <w:t xml:space="preserve">Tissue resident memory </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3F9854"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lang w:val="de-DE"/>
              </w:rPr>
              <w:t>TRM</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C38CB6" w14:textId="77777777" w:rsidR="005A6C72" w:rsidRPr="0070621F" w:rsidRDefault="005A6C72" w:rsidP="005A6C72">
            <w:pPr>
              <w:pStyle w:val="Body"/>
              <w:rPr>
                <w:rFonts w:ascii="Arial" w:hAnsi="Arial" w:cs="Arial"/>
                <w:b/>
                <w:sz w:val="20"/>
                <w:szCs w:val="20"/>
              </w:rPr>
            </w:pPr>
            <w:r w:rsidRPr="0070621F">
              <w:rPr>
                <w:rFonts w:ascii="Arial" w:hAnsi="Arial" w:cs="Arial"/>
                <w:b/>
                <w:sz w:val="20"/>
                <w:szCs w:val="20"/>
              </w:rPr>
              <w:t>CD103+CD69+</w:t>
            </w:r>
          </w:p>
        </w:tc>
        <w:tc>
          <w:tcPr>
            <w:tcW w:w="3118" w:type="dxa"/>
            <w:tcBorders>
              <w:top w:val="single" w:sz="4" w:space="0" w:color="000000"/>
              <w:left w:val="single" w:sz="4" w:space="0" w:color="000000"/>
              <w:bottom w:val="single" w:sz="4" w:space="0" w:color="000000"/>
              <w:right w:val="single" w:sz="4" w:space="0" w:color="000000"/>
            </w:tcBorders>
          </w:tcPr>
          <w:p w14:paraId="73F9CC73" w14:textId="77777777" w:rsidR="005A6C72" w:rsidRPr="0070621F" w:rsidRDefault="005A6C72" w:rsidP="005A6C72">
            <w:pPr>
              <w:pStyle w:val="Body"/>
              <w:rPr>
                <w:rFonts w:ascii="Arial" w:hAnsi="Arial" w:cs="Arial"/>
                <w:sz w:val="20"/>
                <w:szCs w:val="20"/>
                <w:lang w:val="en-US"/>
              </w:rPr>
            </w:pPr>
            <w:proofErr w:type="spellStart"/>
            <w:r w:rsidRPr="0070621F">
              <w:rPr>
                <w:rFonts w:ascii="Arial" w:hAnsi="Arial" w:cs="Arial"/>
                <w:sz w:val="20"/>
                <w:szCs w:val="20"/>
                <w:lang w:val="en-US"/>
              </w:rPr>
              <w:t>Tbet</w:t>
            </w:r>
            <w:r w:rsidRPr="0070621F">
              <w:rPr>
                <w:rFonts w:ascii="Arial" w:hAnsi="Arial" w:cs="Arial"/>
                <w:sz w:val="20"/>
                <w:szCs w:val="20"/>
                <w:vertAlign w:val="superscript"/>
                <w:lang w:val="en-US"/>
              </w:rPr>
              <w:t>low</w:t>
            </w:r>
            <w:proofErr w:type="spellEnd"/>
            <w:r w:rsidRPr="0070621F">
              <w:rPr>
                <w:rFonts w:ascii="Arial" w:hAnsi="Arial" w:cs="Arial"/>
                <w:sz w:val="20"/>
                <w:szCs w:val="20"/>
                <w:vertAlign w:val="superscript"/>
                <w:lang w:val="en-US"/>
              </w:rPr>
              <w:t xml:space="preserve"> </w:t>
            </w:r>
            <w:r w:rsidRPr="0070621F">
              <w:rPr>
                <w:rFonts w:ascii="Arial" w:hAnsi="Arial" w:cs="Arial"/>
                <w:sz w:val="20"/>
                <w:szCs w:val="20"/>
                <w:lang w:val="en-US"/>
              </w:rPr>
              <w:t>/ TCF1</w:t>
            </w:r>
            <w:r w:rsidRPr="0070621F">
              <w:rPr>
                <w:rFonts w:ascii="Arial" w:hAnsi="Arial" w:cs="Arial"/>
                <w:sz w:val="20"/>
                <w:szCs w:val="20"/>
                <w:vertAlign w:val="superscript"/>
                <w:lang w:val="en-US"/>
              </w:rPr>
              <w:t>low</w:t>
            </w:r>
            <w:r w:rsidRPr="0070621F">
              <w:rPr>
                <w:rFonts w:ascii="Arial" w:hAnsi="Arial" w:cs="Arial"/>
                <w:sz w:val="20"/>
                <w:szCs w:val="20"/>
                <w:lang w:val="en-US"/>
              </w:rPr>
              <w:t xml:space="preserve"> / </w:t>
            </w:r>
            <w:proofErr w:type="spellStart"/>
            <w:r w:rsidRPr="0070621F">
              <w:rPr>
                <w:rFonts w:ascii="Arial" w:hAnsi="Arial" w:cs="Arial"/>
                <w:sz w:val="20"/>
                <w:szCs w:val="20"/>
                <w:lang w:val="en-US"/>
              </w:rPr>
              <w:t>Hobit</w:t>
            </w:r>
            <w:proofErr w:type="spellEnd"/>
            <w:r w:rsidRPr="0070621F">
              <w:rPr>
                <w:rFonts w:ascii="Arial" w:hAnsi="Arial" w:cs="Arial"/>
                <w:sz w:val="20"/>
                <w:szCs w:val="20"/>
                <w:vertAlign w:val="superscript"/>
                <w:lang w:val="en-US"/>
              </w:rPr>
              <w:t xml:space="preserve"> hi</w:t>
            </w:r>
            <w:r w:rsidRPr="0070621F">
              <w:rPr>
                <w:rFonts w:ascii="Arial" w:hAnsi="Arial" w:cs="Arial"/>
                <w:sz w:val="20"/>
                <w:szCs w:val="20"/>
                <w:lang w:val="en-US"/>
              </w:rPr>
              <w:t xml:space="preserve"> / Blimp1</w:t>
            </w:r>
            <w:r w:rsidRPr="0070621F">
              <w:rPr>
                <w:rFonts w:ascii="Arial" w:hAnsi="Arial" w:cs="Arial"/>
                <w:sz w:val="20"/>
                <w:szCs w:val="20"/>
                <w:vertAlign w:val="superscript"/>
                <w:lang w:val="en-US"/>
              </w:rPr>
              <w:t>hi</w:t>
            </w:r>
            <w:r w:rsidRPr="0070621F">
              <w:rPr>
                <w:rFonts w:ascii="Arial" w:hAnsi="Arial" w:cs="Arial"/>
                <w:sz w:val="20"/>
                <w:szCs w:val="20"/>
                <w:lang w:val="en-US"/>
              </w:rPr>
              <w:t xml:space="preserve"> /KLF2</w:t>
            </w:r>
            <w:r w:rsidRPr="0070621F">
              <w:rPr>
                <w:rFonts w:ascii="Arial" w:hAnsi="Arial" w:cs="Arial"/>
                <w:sz w:val="20"/>
                <w:szCs w:val="20"/>
                <w:vertAlign w:val="superscript"/>
                <w:lang w:val="en-US"/>
              </w:rPr>
              <w:t>-/low</w:t>
            </w:r>
            <w:r w:rsidRPr="0070621F">
              <w:rPr>
                <w:rFonts w:ascii="Arial" w:hAnsi="Arial" w:cs="Arial"/>
                <w:sz w:val="20"/>
                <w:szCs w:val="20"/>
                <w:lang w:val="en-US"/>
              </w:rPr>
              <w:t xml:space="preserve"> / </w:t>
            </w:r>
            <w:proofErr w:type="spellStart"/>
            <w:r w:rsidRPr="0070621F">
              <w:rPr>
                <w:rFonts w:ascii="Arial" w:hAnsi="Arial" w:cs="Arial"/>
                <w:sz w:val="20"/>
                <w:szCs w:val="20"/>
                <w:lang w:val="en-US"/>
              </w:rPr>
              <w:t>Eomes</w:t>
            </w:r>
            <w:proofErr w:type="spellEnd"/>
            <w:r w:rsidRPr="0070621F">
              <w:rPr>
                <w:rFonts w:ascii="Arial" w:hAnsi="Arial" w:cs="Arial"/>
                <w:sz w:val="20"/>
                <w:szCs w:val="20"/>
                <w:lang w:val="en-US"/>
              </w:rPr>
              <w:t xml:space="preserve"> </w:t>
            </w:r>
            <w:r w:rsidRPr="0070621F">
              <w:rPr>
                <w:rFonts w:ascii="Arial" w:hAnsi="Arial" w:cs="Arial"/>
                <w:sz w:val="20"/>
                <w:szCs w:val="20"/>
                <w:vertAlign w:val="superscript"/>
                <w:lang w:val="en-US"/>
              </w:rPr>
              <w:t>-/low</w:t>
            </w:r>
          </w:p>
        </w:tc>
      </w:tr>
      <w:tr w:rsidR="005A6C72" w:rsidRPr="0070621F" w14:paraId="6CD8D13E" w14:textId="77777777" w:rsidTr="005A6C72">
        <w:trPr>
          <w:trHeight w:val="437"/>
        </w:trPr>
        <w:tc>
          <w:tcPr>
            <w:tcW w:w="2440" w:type="dxa"/>
            <w:gridSpan w:val="2"/>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14:paraId="1E88028F"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lang w:val="en-US"/>
              </w:rPr>
              <w:t xml:space="preserve">Central memory </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D6EED4"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rPr>
              <w:t>CM</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9534C6"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rPr>
              <w:t>CD45RA-CCR7+</w:t>
            </w:r>
          </w:p>
        </w:tc>
        <w:tc>
          <w:tcPr>
            <w:tcW w:w="3118" w:type="dxa"/>
            <w:tcBorders>
              <w:top w:val="single" w:sz="4" w:space="0" w:color="000000"/>
              <w:left w:val="single" w:sz="4" w:space="0" w:color="000000"/>
              <w:bottom w:val="single" w:sz="4" w:space="0" w:color="000000"/>
              <w:right w:val="single" w:sz="4" w:space="0" w:color="000000"/>
            </w:tcBorders>
          </w:tcPr>
          <w:p w14:paraId="79167022" w14:textId="77777777" w:rsidR="005A6C72" w:rsidRPr="0070621F" w:rsidRDefault="005A6C72" w:rsidP="005A6C72">
            <w:pPr>
              <w:pStyle w:val="Body"/>
              <w:rPr>
                <w:rFonts w:ascii="Arial" w:hAnsi="Arial" w:cs="Arial"/>
                <w:sz w:val="20"/>
                <w:szCs w:val="20"/>
              </w:rPr>
            </w:pPr>
            <w:proofErr w:type="spellStart"/>
            <w:r w:rsidRPr="0070621F">
              <w:rPr>
                <w:rFonts w:ascii="Arial" w:hAnsi="Arial" w:cs="Arial"/>
                <w:sz w:val="20"/>
                <w:szCs w:val="20"/>
                <w:lang w:val="en-US"/>
              </w:rPr>
              <w:t>Tbet</w:t>
            </w:r>
            <w:r w:rsidRPr="0070621F">
              <w:rPr>
                <w:rFonts w:ascii="Arial" w:hAnsi="Arial" w:cs="Arial"/>
                <w:sz w:val="20"/>
                <w:szCs w:val="20"/>
                <w:vertAlign w:val="superscript"/>
                <w:lang w:val="en-US"/>
              </w:rPr>
              <w:t>low</w:t>
            </w:r>
            <w:proofErr w:type="spellEnd"/>
            <w:r w:rsidRPr="0070621F">
              <w:rPr>
                <w:rFonts w:ascii="Arial" w:hAnsi="Arial" w:cs="Arial"/>
                <w:sz w:val="20"/>
                <w:szCs w:val="20"/>
                <w:vertAlign w:val="superscript"/>
                <w:lang w:val="en-US"/>
              </w:rPr>
              <w:t xml:space="preserve"> </w:t>
            </w:r>
            <w:r w:rsidRPr="0070621F">
              <w:rPr>
                <w:rFonts w:ascii="Arial" w:hAnsi="Arial" w:cs="Arial"/>
                <w:sz w:val="20"/>
                <w:szCs w:val="20"/>
                <w:lang w:val="en-US"/>
              </w:rPr>
              <w:t xml:space="preserve">/ </w:t>
            </w:r>
            <w:proofErr w:type="spellStart"/>
            <w:r w:rsidRPr="0070621F">
              <w:rPr>
                <w:rFonts w:ascii="Arial" w:hAnsi="Arial" w:cs="Arial"/>
                <w:sz w:val="20"/>
                <w:szCs w:val="20"/>
                <w:lang w:val="en-US"/>
              </w:rPr>
              <w:t>Eomes</w:t>
            </w:r>
            <w:proofErr w:type="spellEnd"/>
            <w:r w:rsidRPr="0070621F">
              <w:rPr>
                <w:rFonts w:ascii="Arial" w:hAnsi="Arial" w:cs="Arial"/>
                <w:sz w:val="20"/>
                <w:szCs w:val="20"/>
                <w:vertAlign w:val="superscript"/>
                <w:lang w:val="en-US"/>
              </w:rPr>
              <w:t xml:space="preserve"> hi</w:t>
            </w:r>
            <w:r w:rsidRPr="0070621F">
              <w:rPr>
                <w:rFonts w:ascii="Arial" w:hAnsi="Arial" w:cs="Arial"/>
                <w:sz w:val="20"/>
                <w:szCs w:val="20"/>
                <w:lang w:val="en-US"/>
              </w:rPr>
              <w:t xml:space="preserve"> / TCF1</w:t>
            </w:r>
            <w:r w:rsidRPr="0070621F">
              <w:rPr>
                <w:rFonts w:ascii="Arial" w:hAnsi="Arial" w:cs="Arial"/>
                <w:sz w:val="20"/>
                <w:szCs w:val="20"/>
                <w:vertAlign w:val="superscript"/>
                <w:lang w:val="en-US"/>
              </w:rPr>
              <w:t>hi</w:t>
            </w:r>
            <w:r w:rsidRPr="0070621F">
              <w:rPr>
                <w:rFonts w:ascii="Arial" w:hAnsi="Arial" w:cs="Arial"/>
                <w:sz w:val="20"/>
                <w:szCs w:val="20"/>
                <w:lang w:val="en-US"/>
              </w:rPr>
              <w:t xml:space="preserve"> / BCL6</w:t>
            </w:r>
            <w:r w:rsidRPr="0070621F">
              <w:rPr>
                <w:rFonts w:ascii="Arial" w:hAnsi="Arial" w:cs="Arial"/>
                <w:sz w:val="20"/>
                <w:szCs w:val="20"/>
                <w:vertAlign w:val="superscript"/>
                <w:lang w:val="en-US"/>
              </w:rPr>
              <w:t xml:space="preserve"> hi</w:t>
            </w:r>
            <w:r w:rsidRPr="0070621F">
              <w:rPr>
                <w:rFonts w:ascii="Arial" w:hAnsi="Arial" w:cs="Arial"/>
                <w:sz w:val="20"/>
                <w:szCs w:val="20"/>
                <w:lang w:val="en-US"/>
              </w:rPr>
              <w:t xml:space="preserve"> / STAT3</w:t>
            </w:r>
            <w:r w:rsidRPr="0070621F">
              <w:rPr>
                <w:rFonts w:ascii="Arial" w:hAnsi="Arial" w:cs="Arial"/>
                <w:sz w:val="20"/>
                <w:szCs w:val="20"/>
                <w:vertAlign w:val="superscript"/>
                <w:lang w:val="en-US"/>
              </w:rPr>
              <w:t xml:space="preserve"> hi</w:t>
            </w:r>
            <w:r w:rsidRPr="0070621F">
              <w:rPr>
                <w:rFonts w:ascii="Arial" w:hAnsi="Arial" w:cs="Arial"/>
                <w:sz w:val="20"/>
                <w:szCs w:val="20"/>
                <w:lang w:val="en-US"/>
              </w:rPr>
              <w:t xml:space="preserve"> / ID3</w:t>
            </w:r>
            <w:r w:rsidRPr="0070621F">
              <w:rPr>
                <w:rFonts w:ascii="Arial" w:hAnsi="Arial" w:cs="Arial"/>
                <w:sz w:val="20"/>
                <w:szCs w:val="20"/>
                <w:vertAlign w:val="superscript"/>
                <w:lang w:val="en-US"/>
              </w:rPr>
              <w:t xml:space="preserve"> hi</w:t>
            </w:r>
            <w:r w:rsidRPr="0070621F">
              <w:rPr>
                <w:rFonts w:ascii="Arial" w:hAnsi="Arial" w:cs="Arial"/>
                <w:sz w:val="20"/>
                <w:szCs w:val="20"/>
                <w:lang w:val="en-US"/>
              </w:rPr>
              <w:t xml:space="preserve"> </w:t>
            </w:r>
          </w:p>
        </w:tc>
      </w:tr>
      <w:tr w:rsidR="005A6C72" w:rsidRPr="0070621F" w14:paraId="0C1D6130" w14:textId="77777777" w:rsidTr="005A6C72">
        <w:trPr>
          <w:trHeight w:val="442"/>
        </w:trPr>
        <w:tc>
          <w:tcPr>
            <w:tcW w:w="2440" w:type="dxa"/>
            <w:gridSpan w:val="2"/>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14:paraId="54E03254"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lang w:val="en-US"/>
              </w:rPr>
              <w:t xml:space="preserve">Stem cell memory  </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F7B5A1"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rPr>
              <w:t>SCM</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FFB7A8" w14:textId="77777777" w:rsidR="005A6C72" w:rsidRPr="0070621F" w:rsidRDefault="005A6C72" w:rsidP="005A6C72">
            <w:pPr>
              <w:pStyle w:val="Body"/>
              <w:rPr>
                <w:rFonts w:ascii="Arial" w:hAnsi="Arial" w:cs="Arial"/>
                <w:sz w:val="20"/>
                <w:szCs w:val="20"/>
              </w:rPr>
            </w:pPr>
            <w:r w:rsidRPr="0070621F">
              <w:rPr>
                <w:rFonts w:ascii="Arial" w:hAnsi="Arial" w:cs="Arial"/>
                <w:sz w:val="20"/>
                <w:szCs w:val="20"/>
                <w:shd w:val="clear" w:color="auto" w:fill="FFFFFF"/>
              </w:rPr>
              <w:t>CD45RA+CCR7+</w:t>
            </w:r>
            <w:r w:rsidRPr="0070621F">
              <w:rPr>
                <w:rFonts w:ascii="Arial" w:hAnsi="Arial" w:cs="Arial"/>
                <w:sz w:val="20"/>
                <w:szCs w:val="20"/>
                <w:vertAlign w:val="superscript"/>
              </w:rPr>
              <w:br/>
            </w:r>
            <w:r w:rsidRPr="0070621F">
              <w:rPr>
                <w:rFonts w:ascii="Arial" w:hAnsi="Arial" w:cs="Arial"/>
                <w:sz w:val="20"/>
                <w:szCs w:val="20"/>
                <w:shd w:val="clear" w:color="auto" w:fill="FFFFFF"/>
              </w:rPr>
              <w:t>CD27+</w:t>
            </w:r>
            <w:r w:rsidRPr="0070621F">
              <w:rPr>
                <w:rFonts w:ascii="Arial" w:hAnsi="Arial" w:cs="Arial"/>
                <w:sz w:val="20"/>
                <w:szCs w:val="20"/>
                <w:vertAlign w:val="superscript"/>
              </w:rPr>
              <w:t xml:space="preserve"> </w:t>
            </w:r>
            <w:r w:rsidRPr="0070621F">
              <w:rPr>
                <w:rFonts w:ascii="Arial" w:hAnsi="Arial" w:cs="Arial"/>
                <w:sz w:val="20"/>
                <w:szCs w:val="20"/>
                <w:shd w:val="clear" w:color="auto" w:fill="FFFFFF"/>
              </w:rPr>
              <w:t>CD95+</w:t>
            </w:r>
          </w:p>
        </w:tc>
        <w:tc>
          <w:tcPr>
            <w:tcW w:w="3118" w:type="dxa"/>
            <w:tcBorders>
              <w:top w:val="single" w:sz="4" w:space="0" w:color="000000"/>
              <w:left w:val="single" w:sz="4" w:space="0" w:color="000000"/>
              <w:bottom w:val="single" w:sz="4" w:space="0" w:color="000000"/>
              <w:right w:val="single" w:sz="4" w:space="0" w:color="000000"/>
            </w:tcBorders>
          </w:tcPr>
          <w:p w14:paraId="51357D86" w14:textId="15A62547" w:rsidR="005A6C72" w:rsidRPr="0070621F" w:rsidRDefault="005A6C72" w:rsidP="005A6C72">
            <w:pPr>
              <w:pStyle w:val="Body"/>
              <w:rPr>
                <w:rFonts w:ascii="Arial" w:hAnsi="Arial" w:cs="Arial"/>
                <w:sz w:val="20"/>
                <w:szCs w:val="20"/>
                <w:shd w:val="clear" w:color="auto" w:fill="FFFFFF"/>
              </w:rPr>
            </w:pPr>
            <w:r w:rsidRPr="0014151A">
              <w:rPr>
                <w:rFonts w:ascii="Arial" w:hAnsi="Arial" w:cs="Arial"/>
                <w:color w:val="000000" w:themeColor="text1"/>
                <w:sz w:val="20"/>
                <w:szCs w:val="20"/>
                <w:lang w:val="en-US"/>
              </w:rPr>
              <w:t>TCF1</w:t>
            </w:r>
            <w:r w:rsidRPr="0014151A">
              <w:rPr>
                <w:rFonts w:ascii="Arial" w:hAnsi="Arial" w:cs="Arial"/>
                <w:color w:val="000000" w:themeColor="text1"/>
                <w:sz w:val="20"/>
                <w:szCs w:val="20"/>
                <w:vertAlign w:val="superscript"/>
                <w:lang w:val="en-US"/>
              </w:rPr>
              <w:t>hi</w:t>
            </w:r>
            <w:r w:rsidRPr="0014151A">
              <w:rPr>
                <w:rFonts w:ascii="Arial" w:hAnsi="Arial" w:cs="Arial"/>
                <w:color w:val="000000" w:themeColor="text1"/>
                <w:sz w:val="20"/>
                <w:szCs w:val="20"/>
                <w:lang w:val="en-US"/>
              </w:rPr>
              <w:t xml:space="preserve"> </w:t>
            </w:r>
          </w:p>
        </w:tc>
      </w:tr>
      <w:tr w:rsidR="005A6C72" w:rsidRPr="0070621F" w14:paraId="5DBC3DEF" w14:textId="77777777" w:rsidTr="005A6C72">
        <w:trPr>
          <w:trHeight w:val="442"/>
        </w:trPr>
        <w:tc>
          <w:tcPr>
            <w:tcW w:w="2440" w:type="dxa"/>
            <w:gridSpan w:val="2"/>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14:paraId="5E262A4E" w14:textId="77777777" w:rsidR="005A6C72" w:rsidRPr="0070621F" w:rsidRDefault="00B171D4" w:rsidP="005A6C72">
            <w:pPr>
              <w:pStyle w:val="Body"/>
              <w:rPr>
                <w:rFonts w:ascii="Arial" w:hAnsi="Arial" w:cs="Arial"/>
                <w:sz w:val="20"/>
                <w:szCs w:val="20"/>
                <w:lang w:val="en-US"/>
              </w:rPr>
            </w:pPr>
            <w:r>
              <w:rPr>
                <w:rFonts w:ascii="Arial" w:hAnsi="Arial" w:cs="Arial"/>
                <w:sz w:val="20"/>
                <w:szCs w:val="20"/>
                <w:lang w:val="en-US"/>
              </w:rPr>
              <w:t>P</w:t>
            </w:r>
            <w:r w:rsidRPr="00B171D4">
              <w:rPr>
                <w:rFonts w:ascii="Arial" w:hAnsi="Arial" w:cs="Arial"/>
                <w:sz w:val="20"/>
                <w:szCs w:val="20"/>
                <w:lang w:val="en-US"/>
              </w:rPr>
              <w:t>eripheral memory</w:t>
            </w:r>
          </w:p>
        </w:tc>
        <w:tc>
          <w:tcPr>
            <w:tcW w:w="84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31D131" w14:textId="77777777" w:rsidR="005A6C72" w:rsidRPr="0070621F" w:rsidRDefault="005A6C72" w:rsidP="005A6C72">
            <w:pPr>
              <w:pStyle w:val="Body"/>
              <w:rPr>
                <w:rFonts w:ascii="Arial" w:hAnsi="Arial" w:cs="Arial"/>
                <w:sz w:val="20"/>
                <w:szCs w:val="20"/>
                <w:lang w:val="de-DE"/>
              </w:rPr>
            </w:pPr>
            <w:r w:rsidRPr="0070621F">
              <w:rPr>
                <w:rFonts w:ascii="Arial" w:hAnsi="Arial" w:cs="Arial"/>
                <w:sz w:val="20"/>
                <w:szCs w:val="20"/>
                <w:lang w:val="de-DE"/>
              </w:rPr>
              <w:t>TPM</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33435C" w14:textId="727E25F0" w:rsidR="005A6C72" w:rsidRPr="0070621F" w:rsidRDefault="005A6C72" w:rsidP="005A6C72">
            <w:pPr>
              <w:pStyle w:val="Body"/>
              <w:rPr>
                <w:rFonts w:ascii="Arial" w:hAnsi="Arial" w:cs="Arial"/>
                <w:sz w:val="20"/>
                <w:szCs w:val="20"/>
                <w:shd w:val="clear" w:color="auto" w:fill="FFFFFF"/>
                <w:lang w:val="de-DE"/>
              </w:rPr>
            </w:pPr>
            <w:r w:rsidRPr="0070621F">
              <w:rPr>
                <w:rFonts w:ascii="Arial" w:hAnsi="Arial" w:cs="Arial"/>
                <w:sz w:val="20"/>
                <w:szCs w:val="20"/>
                <w:shd w:val="clear" w:color="auto" w:fill="FFFFFF"/>
                <w:lang w:val="de-DE"/>
              </w:rPr>
              <w:t>CX3CR1</w:t>
            </w:r>
            <w:r w:rsidRPr="0070621F">
              <w:rPr>
                <w:rFonts w:ascii="Arial" w:hAnsi="Arial" w:cs="Arial"/>
                <w:sz w:val="20"/>
                <w:szCs w:val="20"/>
                <w:shd w:val="clear" w:color="auto" w:fill="FFFFFF"/>
                <w:vertAlign w:val="superscript"/>
                <w:lang w:val="de-DE"/>
              </w:rPr>
              <w:t>int</w:t>
            </w:r>
            <w:r w:rsidR="00DB4476">
              <w:rPr>
                <w:rFonts w:ascii="Arial" w:hAnsi="Arial" w:cs="Arial"/>
                <w:sz w:val="20"/>
                <w:szCs w:val="20"/>
                <w:shd w:val="clear" w:color="auto" w:fill="FFFFFF"/>
                <w:vertAlign w:val="superscript"/>
                <w:lang w:val="de-DE"/>
              </w:rPr>
              <w:t xml:space="preserve"> </w:t>
            </w:r>
            <w:r w:rsidR="00DB4476" w:rsidRPr="0095172C">
              <w:rPr>
                <w:rFonts w:ascii="Arial" w:hAnsi="Arial" w:cs="Arial"/>
                <w:sz w:val="20"/>
                <w:szCs w:val="20"/>
                <w:shd w:val="clear" w:color="auto" w:fill="FFFFFF"/>
                <w:lang w:val="de-DE"/>
              </w:rPr>
              <w:t>CD27</w:t>
            </w:r>
            <w:r w:rsidR="00DB4476">
              <w:rPr>
                <w:rFonts w:ascii="Arial" w:hAnsi="Arial" w:cs="Arial"/>
                <w:sz w:val="20"/>
                <w:szCs w:val="20"/>
                <w:shd w:val="clear" w:color="auto" w:fill="FFFFFF"/>
                <w:vertAlign w:val="superscript"/>
                <w:lang w:val="de-DE"/>
              </w:rPr>
              <w:t>hi</w:t>
            </w:r>
            <w:r w:rsidR="00DB4476" w:rsidRPr="0095172C">
              <w:rPr>
                <w:rFonts w:ascii="Arial" w:hAnsi="Arial" w:cs="Arial"/>
                <w:sz w:val="20"/>
                <w:szCs w:val="20"/>
                <w:shd w:val="clear" w:color="auto" w:fill="FFFFFF"/>
                <w:lang w:val="de-DE"/>
              </w:rPr>
              <w:t>CD127</w:t>
            </w:r>
            <w:r w:rsidR="00DB4476" w:rsidRPr="0095172C">
              <w:rPr>
                <w:rFonts w:ascii="Arial" w:hAnsi="Arial" w:cs="Arial"/>
                <w:sz w:val="20"/>
                <w:szCs w:val="20"/>
                <w:shd w:val="clear" w:color="auto" w:fill="FFFFFF"/>
                <w:vertAlign w:val="superscript"/>
                <w:lang w:val="de-DE"/>
              </w:rPr>
              <w:t>hi</w:t>
            </w:r>
          </w:p>
        </w:tc>
        <w:tc>
          <w:tcPr>
            <w:tcW w:w="3118" w:type="dxa"/>
            <w:tcBorders>
              <w:top w:val="single" w:sz="4" w:space="0" w:color="000000"/>
              <w:left w:val="single" w:sz="4" w:space="0" w:color="000000"/>
              <w:bottom w:val="single" w:sz="4" w:space="0" w:color="000000"/>
              <w:right w:val="single" w:sz="4" w:space="0" w:color="000000"/>
            </w:tcBorders>
          </w:tcPr>
          <w:p w14:paraId="54ABCBF4" w14:textId="77777777" w:rsidR="005A6C72" w:rsidRPr="0070621F" w:rsidRDefault="005A6C72" w:rsidP="005A6C72">
            <w:pPr>
              <w:pStyle w:val="Body"/>
              <w:rPr>
                <w:rFonts w:ascii="Arial" w:hAnsi="Arial" w:cs="Arial"/>
                <w:color w:val="FF0000"/>
                <w:sz w:val="20"/>
                <w:szCs w:val="20"/>
                <w:lang w:val="en-US"/>
              </w:rPr>
            </w:pPr>
          </w:p>
        </w:tc>
      </w:tr>
    </w:tbl>
    <w:p w14:paraId="19A0E20D" w14:textId="09F9F149" w:rsidR="0070621F" w:rsidRPr="0070621F" w:rsidRDefault="0070621F" w:rsidP="00AA2A9C">
      <w:pPr>
        <w:pStyle w:val="Body"/>
        <w:spacing w:line="276" w:lineRule="auto"/>
        <w:rPr>
          <w:rFonts w:ascii="Arial" w:hAnsi="Arial" w:cs="Arial"/>
          <w:bCs/>
          <w:sz w:val="20"/>
          <w:lang w:val="en-GB"/>
        </w:rPr>
      </w:pPr>
      <w:r w:rsidRPr="0070621F">
        <w:rPr>
          <w:rFonts w:ascii="Arial" w:hAnsi="Arial" w:cs="Arial"/>
          <w:bCs/>
          <w:sz w:val="20"/>
          <w:lang w:val="en-GB"/>
        </w:rPr>
        <w:t xml:space="preserve">(*) Refers to </w:t>
      </w:r>
      <w:r w:rsidR="005A6C72" w:rsidRPr="0070621F">
        <w:rPr>
          <w:rFonts w:ascii="Arial" w:hAnsi="Arial" w:cs="Arial"/>
          <w:bCs/>
          <w:sz w:val="20"/>
          <w:lang w:val="en-GB"/>
        </w:rPr>
        <w:t xml:space="preserve">markers </w:t>
      </w:r>
      <w:r w:rsidRPr="0070621F">
        <w:rPr>
          <w:rFonts w:ascii="Arial" w:hAnsi="Arial" w:cs="Arial"/>
          <w:bCs/>
          <w:sz w:val="20"/>
          <w:lang w:val="en-GB"/>
        </w:rPr>
        <w:t xml:space="preserve">used to identify the respective population by Flow cytometry. </w:t>
      </w:r>
      <w:r>
        <w:rPr>
          <w:rFonts w:ascii="Arial" w:hAnsi="Arial" w:cs="Arial"/>
          <w:bCs/>
          <w:sz w:val="20"/>
          <w:lang w:val="en-GB"/>
        </w:rPr>
        <w:t>The markers</w:t>
      </w:r>
      <w:r w:rsidR="005A6C72" w:rsidRPr="0070621F">
        <w:rPr>
          <w:rFonts w:ascii="Arial" w:hAnsi="Arial" w:cs="Arial"/>
          <w:bCs/>
          <w:sz w:val="20"/>
          <w:lang w:val="en-GB"/>
        </w:rPr>
        <w:t xml:space="preserve"> </w:t>
      </w:r>
      <w:r w:rsidRPr="0070621F">
        <w:rPr>
          <w:rFonts w:ascii="Arial" w:hAnsi="Arial" w:cs="Arial"/>
          <w:bCs/>
          <w:sz w:val="20"/>
          <w:lang w:val="en-GB"/>
        </w:rPr>
        <w:t>reported in the context of research in decidua tissues</w:t>
      </w:r>
      <w:r>
        <w:rPr>
          <w:rFonts w:ascii="Arial" w:hAnsi="Arial" w:cs="Arial"/>
          <w:bCs/>
          <w:sz w:val="20"/>
          <w:lang w:val="en-GB"/>
        </w:rPr>
        <w:t xml:space="preserve"> are highlighted i</w:t>
      </w:r>
      <w:r w:rsidRPr="0070621F">
        <w:rPr>
          <w:rFonts w:ascii="Arial" w:hAnsi="Arial" w:cs="Arial"/>
          <w:bCs/>
          <w:sz w:val="20"/>
          <w:lang w:val="en-GB"/>
        </w:rPr>
        <w:t xml:space="preserve">n </w:t>
      </w:r>
      <w:r w:rsidRPr="0070621F">
        <w:rPr>
          <w:rFonts w:ascii="Arial" w:hAnsi="Arial" w:cs="Arial"/>
          <w:b/>
          <w:bCs/>
          <w:sz w:val="20"/>
          <w:lang w:val="en-GB"/>
        </w:rPr>
        <w:t>bold</w:t>
      </w:r>
      <w:r w:rsidRPr="0070621F">
        <w:rPr>
          <w:rFonts w:ascii="Arial" w:hAnsi="Arial" w:cs="Arial"/>
          <w:bCs/>
          <w:sz w:val="20"/>
          <w:lang w:val="en-GB"/>
        </w:rPr>
        <w:t xml:space="preserve">. </w:t>
      </w:r>
    </w:p>
    <w:p w14:paraId="0D1A7F4E" w14:textId="0C6636B2" w:rsidR="00AA2A9C" w:rsidRDefault="00AA2A9C">
      <w:pPr>
        <w:rPr>
          <w:rFonts w:ascii="Arial" w:eastAsia="Arial Unicode MS" w:hAnsi="Arial" w:cs="Arial"/>
          <w:b/>
          <w:bCs/>
          <w:color w:val="000000"/>
          <w:sz w:val="24"/>
          <w:szCs w:val="24"/>
          <w:u w:color="000000"/>
          <w:bdr w:val="nil"/>
          <w:lang w:val="is-IS" w:eastAsia="en-GB"/>
          <w14:textOutline w14:w="0" w14:cap="flat" w14:cmpd="sng" w14:algn="ctr">
            <w14:noFill/>
            <w14:prstDash w14:val="solid"/>
            <w14:bevel/>
          </w14:textOutline>
        </w:rPr>
      </w:pPr>
      <w:r>
        <w:rPr>
          <w:rFonts w:ascii="Arial" w:hAnsi="Arial" w:cs="Arial"/>
          <w:b/>
          <w:bCs/>
          <w:lang w:val="is-IS"/>
        </w:rPr>
        <w:br w:type="page"/>
      </w:r>
    </w:p>
    <w:p w14:paraId="484CF9CB" w14:textId="77777777" w:rsidR="005A6C72" w:rsidRPr="0070621F" w:rsidRDefault="005A6C72" w:rsidP="00AA2A9C">
      <w:pPr>
        <w:pStyle w:val="Body"/>
        <w:spacing w:line="360" w:lineRule="auto"/>
        <w:jc w:val="both"/>
        <w:rPr>
          <w:rFonts w:ascii="Arial" w:hAnsi="Arial" w:cs="Arial"/>
          <w:b/>
          <w:bCs/>
          <w:lang w:val="is-IS"/>
        </w:rPr>
      </w:pPr>
    </w:p>
    <w:tbl>
      <w:tblPr>
        <w:tblpPr w:leftFromText="180" w:rightFromText="180" w:vertAnchor="text" w:tblpY="1"/>
        <w:tblOverlap w:val="never"/>
        <w:tblW w:w="997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1696"/>
        <w:gridCol w:w="1276"/>
        <w:gridCol w:w="1134"/>
        <w:gridCol w:w="1418"/>
        <w:gridCol w:w="1417"/>
        <w:gridCol w:w="1559"/>
        <w:gridCol w:w="1473"/>
      </w:tblGrid>
      <w:tr w:rsidR="005A6C72" w:rsidRPr="0070621F" w14:paraId="74F7DB06" w14:textId="77777777" w:rsidTr="008B657F">
        <w:trPr>
          <w:trHeight w:val="220"/>
        </w:trPr>
        <w:tc>
          <w:tcPr>
            <w:tcW w:w="1696" w:type="dxa"/>
            <w:vMerge w:val="restart"/>
            <w:tcBorders>
              <w:top w:val="single" w:sz="4" w:space="0" w:color="000000"/>
              <w:left w:val="single" w:sz="4" w:space="0" w:color="000000"/>
              <w:bottom w:val="single" w:sz="4" w:space="0" w:color="000000"/>
              <w:right w:val="single" w:sz="4" w:space="0" w:color="000000"/>
            </w:tcBorders>
            <w:shd w:val="clear" w:color="auto" w:fill="D0CECE"/>
            <w:tcMar>
              <w:top w:w="80" w:type="dxa"/>
              <w:left w:w="80" w:type="dxa"/>
              <w:bottom w:w="80" w:type="dxa"/>
              <w:right w:w="80" w:type="dxa"/>
            </w:tcMar>
            <w:vAlign w:val="center"/>
          </w:tcPr>
          <w:p w14:paraId="4C929A71" w14:textId="77777777" w:rsidR="005A6C72" w:rsidRPr="0070621F" w:rsidRDefault="005A6C72" w:rsidP="008B657F">
            <w:pPr>
              <w:pStyle w:val="Body"/>
              <w:jc w:val="center"/>
              <w:rPr>
                <w:rFonts w:ascii="Arial" w:hAnsi="Arial" w:cs="Arial"/>
              </w:rPr>
            </w:pPr>
            <w:r w:rsidRPr="002B79C2">
              <w:rPr>
                <w:rFonts w:ascii="Arial" w:hAnsi="Arial" w:cs="Arial"/>
                <w:b/>
                <w:bCs/>
                <w:sz w:val="21"/>
                <w:szCs w:val="21"/>
                <w:lang w:val="is-IS"/>
              </w:rPr>
              <w:t>Cell population (Abbrev.)</w:t>
            </w:r>
          </w:p>
        </w:tc>
        <w:tc>
          <w:tcPr>
            <w:tcW w:w="2410" w:type="dxa"/>
            <w:gridSpan w:val="2"/>
            <w:tcBorders>
              <w:top w:val="single" w:sz="4" w:space="0" w:color="000000"/>
              <w:left w:val="single" w:sz="4" w:space="0" w:color="000000"/>
              <w:bottom w:val="single" w:sz="4" w:space="0" w:color="000000"/>
              <w:right w:val="single" w:sz="4" w:space="0" w:color="000000"/>
            </w:tcBorders>
            <w:shd w:val="clear" w:color="auto" w:fill="D0CECE"/>
            <w:tcMar>
              <w:top w:w="80" w:type="dxa"/>
              <w:left w:w="80" w:type="dxa"/>
              <w:bottom w:w="80" w:type="dxa"/>
              <w:right w:w="80" w:type="dxa"/>
            </w:tcMar>
            <w:vAlign w:val="center"/>
          </w:tcPr>
          <w:p w14:paraId="2F3BC95A" w14:textId="77777777" w:rsidR="005A6C72" w:rsidRPr="0070621F" w:rsidRDefault="005A6C72" w:rsidP="008B657F">
            <w:pPr>
              <w:pStyle w:val="Body"/>
              <w:jc w:val="center"/>
              <w:rPr>
                <w:rFonts w:ascii="Arial" w:hAnsi="Arial" w:cs="Arial"/>
              </w:rPr>
            </w:pPr>
            <w:proofErr w:type="spellStart"/>
            <w:r w:rsidRPr="0070621F">
              <w:rPr>
                <w:rFonts w:ascii="Arial" w:hAnsi="Arial" w:cs="Arial"/>
                <w:b/>
                <w:bCs/>
                <w:sz w:val="21"/>
                <w:szCs w:val="21"/>
                <w:lang w:val="pt-PT"/>
              </w:rPr>
              <w:t>Trimesters</w:t>
            </w:r>
            <w:proofErr w:type="spellEnd"/>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D0CECE"/>
            <w:tcMar>
              <w:top w:w="80" w:type="dxa"/>
              <w:left w:w="80" w:type="dxa"/>
              <w:bottom w:w="80" w:type="dxa"/>
              <w:right w:w="80" w:type="dxa"/>
            </w:tcMar>
            <w:vAlign w:val="center"/>
          </w:tcPr>
          <w:p w14:paraId="23A8558B" w14:textId="77777777" w:rsidR="005A6C72" w:rsidRPr="0070621F" w:rsidRDefault="005A6C72" w:rsidP="008B657F">
            <w:pPr>
              <w:pStyle w:val="Body"/>
              <w:jc w:val="center"/>
              <w:rPr>
                <w:rFonts w:ascii="Arial" w:hAnsi="Arial" w:cs="Arial"/>
              </w:rPr>
            </w:pPr>
            <w:r w:rsidRPr="0070621F">
              <w:rPr>
                <w:rFonts w:ascii="Arial" w:hAnsi="Arial" w:cs="Arial"/>
                <w:b/>
                <w:bCs/>
                <w:sz w:val="21"/>
                <w:szCs w:val="21"/>
                <w:lang w:val="en-US"/>
              </w:rPr>
              <w:t>Cytokine secretion</w:t>
            </w:r>
          </w:p>
        </w:tc>
        <w:tc>
          <w:tcPr>
            <w:tcW w:w="1417" w:type="dxa"/>
            <w:vMerge w:val="restart"/>
            <w:tcBorders>
              <w:top w:val="single" w:sz="4" w:space="0" w:color="000000"/>
              <w:left w:val="single" w:sz="4" w:space="0" w:color="000000"/>
              <w:bottom w:val="single" w:sz="4" w:space="0" w:color="000000"/>
              <w:right w:val="single" w:sz="6" w:space="0" w:color="000000"/>
            </w:tcBorders>
            <w:shd w:val="clear" w:color="auto" w:fill="D0CECE"/>
            <w:tcMar>
              <w:top w:w="80" w:type="dxa"/>
              <w:left w:w="80" w:type="dxa"/>
              <w:bottom w:w="80" w:type="dxa"/>
              <w:right w:w="80" w:type="dxa"/>
            </w:tcMar>
            <w:vAlign w:val="center"/>
          </w:tcPr>
          <w:p w14:paraId="0BE672CA" w14:textId="77777777" w:rsidR="005A6C72" w:rsidRPr="0070621F" w:rsidRDefault="005A6C72" w:rsidP="008B657F">
            <w:pPr>
              <w:pStyle w:val="Body"/>
              <w:jc w:val="center"/>
              <w:rPr>
                <w:rFonts w:ascii="Arial" w:hAnsi="Arial" w:cs="Arial"/>
              </w:rPr>
            </w:pPr>
            <w:proofErr w:type="spellStart"/>
            <w:r w:rsidRPr="0070621F">
              <w:rPr>
                <w:rFonts w:ascii="Arial" w:hAnsi="Arial" w:cs="Arial"/>
                <w:b/>
                <w:bCs/>
                <w:sz w:val="21"/>
                <w:szCs w:val="21"/>
                <w:lang w:val="en-US"/>
              </w:rPr>
              <w:t>Cytoxicity</w:t>
            </w:r>
            <w:proofErr w:type="spellEnd"/>
          </w:p>
        </w:tc>
        <w:tc>
          <w:tcPr>
            <w:tcW w:w="1559" w:type="dxa"/>
            <w:vMerge w:val="restart"/>
            <w:tcBorders>
              <w:top w:val="single" w:sz="4" w:space="0" w:color="000000"/>
              <w:left w:val="single" w:sz="6" w:space="0" w:color="000000"/>
              <w:bottom w:val="single" w:sz="4" w:space="0" w:color="000000"/>
              <w:right w:val="single" w:sz="6" w:space="0" w:color="000000"/>
            </w:tcBorders>
            <w:shd w:val="clear" w:color="auto" w:fill="D0CECE"/>
            <w:tcMar>
              <w:top w:w="80" w:type="dxa"/>
              <w:left w:w="80" w:type="dxa"/>
              <w:bottom w:w="80" w:type="dxa"/>
              <w:right w:w="80" w:type="dxa"/>
            </w:tcMar>
            <w:vAlign w:val="center"/>
          </w:tcPr>
          <w:p w14:paraId="22CE7930" w14:textId="77777777" w:rsidR="005A6C72" w:rsidRPr="0070621F" w:rsidRDefault="005A6C72" w:rsidP="008B657F">
            <w:pPr>
              <w:pStyle w:val="Body"/>
              <w:jc w:val="center"/>
              <w:rPr>
                <w:rFonts w:ascii="Arial" w:hAnsi="Arial" w:cs="Arial"/>
              </w:rPr>
            </w:pPr>
            <w:r w:rsidRPr="0070621F">
              <w:rPr>
                <w:rFonts w:ascii="Arial" w:hAnsi="Arial" w:cs="Arial"/>
                <w:b/>
                <w:bCs/>
                <w:sz w:val="21"/>
                <w:szCs w:val="21"/>
                <w:lang w:val="en-US"/>
              </w:rPr>
              <w:t>Inhibitory molecules</w:t>
            </w:r>
          </w:p>
        </w:tc>
        <w:tc>
          <w:tcPr>
            <w:tcW w:w="1473" w:type="dxa"/>
            <w:vMerge w:val="restart"/>
            <w:tcBorders>
              <w:top w:val="single" w:sz="4" w:space="0" w:color="000000"/>
              <w:left w:val="single" w:sz="6" w:space="0" w:color="000000"/>
              <w:right w:val="single" w:sz="6" w:space="0" w:color="000000"/>
            </w:tcBorders>
            <w:shd w:val="clear" w:color="auto" w:fill="D0CECE"/>
            <w:tcMar>
              <w:top w:w="80" w:type="dxa"/>
              <w:left w:w="80" w:type="dxa"/>
              <w:bottom w:w="80" w:type="dxa"/>
              <w:right w:w="80" w:type="dxa"/>
            </w:tcMar>
            <w:vAlign w:val="center"/>
          </w:tcPr>
          <w:p w14:paraId="660BFD0D" w14:textId="77777777" w:rsidR="005A6C72" w:rsidRPr="0070621F" w:rsidRDefault="005A6C72" w:rsidP="008B657F">
            <w:pPr>
              <w:pStyle w:val="Body"/>
              <w:jc w:val="center"/>
              <w:rPr>
                <w:rFonts w:ascii="Arial" w:hAnsi="Arial" w:cs="Arial"/>
              </w:rPr>
            </w:pPr>
            <w:r w:rsidRPr="0070621F">
              <w:rPr>
                <w:rFonts w:ascii="Arial" w:hAnsi="Arial" w:cs="Arial"/>
                <w:b/>
                <w:bCs/>
                <w:sz w:val="21"/>
                <w:szCs w:val="21"/>
                <w:lang w:val="en-US"/>
              </w:rPr>
              <w:t>Pathology</w:t>
            </w:r>
          </w:p>
        </w:tc>
      </w:tr>
      <w:tr w:rsidR="005A6C72" w:rsidRPr="0070621F" w14:paraId="1CFC176A" w14:textId="77777777" w:rsidTr="008B657F">
        <w:trPr>
          <w:trHeight w:val="220"/>
        </w:trPr>
        <w:tc>
          <w:tcPr>
            <w:tcW w:w="1696" w:type="dxa"/>
            <w:vMerge/>
            <w:tcBorders>
              <w:top w:val="single" w:sz="4" w:space="0" w:color="000000"/>
              <w:left w:val="single" w:sz="4" w:space="0" w:color="000000"/>
              <w:bottom w:val="single" w:sz="4" w:space="0" w:color="000000"/>
              <w:right w:val="single" w:sz="4" w:space="0" w:color="000000"/>
            </w:tcBorders>
            <w:shd w:val="clear" w:color="auto" w:fill="D0CECE"/>
          </w:tcPr>
          <w:p w14:paraId="639A6652" w14:textId="77777777" w:rsidR="005A6C72" w:rsidRPr="0070621F" w:rsidRDefault="005A6C72" w:rsidP="008B657F">
            <w:pPr>
              <w:spacing w:line="240" w:lineRule="auto"/>
              <w:rPr>
                <w:rFonts w:ascii="Arial" w:hAnsi="Arial" w:cs="Arial"/>
              </w:rPr>
            </w:pPr>
          </w:p>
        </w:tc>
        <w:tc>
          <w:tcPr>
            <w:tcW w:w="1276" w:type="dxa"/>
            <w:tcBorders>
              <w:top w:val="single" w:sz="4" w:space="0" w:color="000000"/>
              <w:left w:val="single" w:sz="4" w:space="0" w:color="000000"/>
              <w:bottom w:val="single" w:sz="4" w:space="0" w:color="000000"/>
              <w:right w:val="single" w:sz="4" w:space="0" w:color="000000"/>
            </w:tcBorders>
            <w:shd w:val="clear" w:color="auto" w:fill="D0CECE"/>
            <w:tcMar>
              <w:top w:w="80" w:type="dxa"/>
              <w:left w:w="80" w:type="dxa"/>
              <w:bottom w:w="80" w:type="dxa"/>
              <w:right w:w="80" w:type="dxa"/>
            </w:tcMar>
            <w:vAlign w:val="center"/>
          </w:tcPr>
          <w:p w14:paraId="35543C6B" w14:textId="77777777" w:rsidR="005A6C72" w:rsidRPr="0070621F" w:rsidRDefault="005A6C72" w:rsidP="008B657F">
            <w:pPr>
              <w:pStyle w:val="Body"/>
              <w:jc w:val="center"/>
              <w:rPr>
                <w:rFonts w:ascii="Arial" w:hAnsi="Arial" w:cs="Arial"/>
              </w:rPr>
            </w:pPr>
            <w:r w:rsidRPr="0070621F">
              <w:rPr>
                <w:rFonts w:ascii="Arial" w:hAnsi="Arial" w:cs="Arial"/>
                <w:b/>
                <w:bCs/>
                <w:sz w:val="21"/>
                <w:szCs w:val="21"/>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D0CECE"/>
            <w:tcMar>
              <w:top w:w="80" w:type="dxa"/>
              <w:left w:w="80" w:type="dxa"/>
              <w:bottom w:w="80" w:type="dxa"/>
              <w:right w:w="80" w:type="dxa"/>
            </w:tcMar>
            <w:vAlign w:val="center"/>
          </w:tcPr>
          <w:p w14:paraId="7B9EAC89" w14:textId="77777777" w:rsidR="005A6C72" w:rsidRPr="0070621F" w:rsidRDefault="005A6C72" w:rsidP="008B657F">
            <w:pPr>
              <w:pStyle w:val="Body"/>
              <w:jc w:val="center"/>
              <w:rPr>
                <w:rFonts w:ascii="Arial" w:hAnsi="Arial" w:cs="Arial"/>
              </w:rPr>
            </w:pPr>
            <w:r w:rsidRPr="0070621F">
              <w:rPr>
                <w:rFonts w:ascii="Arial" w:hAnsi="Arial" w:cs="Arial"/>
                <w:b/>
                <w:bCs/>
                <w:sz w:val="21"/>
                <w:szCs w:val="21"/>
              </w:rPr>
              <w:t>3</w:t>
            </w:r>
          </w:p>
        </w:tc>
        <w:tc>
          <w:tcPr>
            <w:tcW w:w="1418" w:type="dxa"/>
            <w:vMerge/>
            <w:tcBorders>
              <w:top w:val="single" w:sz="4" w:space="0" w:color="000000"/>
              <w:left w:val="single" w:sz="4" w:space="0" w:color="000000"/>
              <w:bottom w:val="single" w:sz="4" w:space="0" w:color="000000"/>
              <w:right w:val="single" w:sz="4" w:space="0" w:color="000000"/>
            </w:tcBorders>
            <w:shd w:val="clear" w:color="auto" w:fill="D0CECE"/>
          </w:tcPr>
          <w:p w14:paraId="114DF18B" w14:textId="77777777" w:rsidR="005A6C72" w:rsidRPr="0070621F" w:rsidRDefault="005A6C72" w:rsidP="008B657F">
            <w:pPr>
              <w:spacing w:line="240" w:lineRule="auto"/>
              <w:rPr>
                <w:rFonts w:ascii="Arial" w:hAnsi="Arial" w:cs="Arial"/>
              </w:rPr>
            </w:pPr>
          </w:p>
        </w:tc>
        <w:tc>
          <w:tcPr>
            <w:tcW w:w="1417" w:type="dxa"/>
            <w:vMerge/>
            <w:tcBorders>
              <w:top w:val="single" w:sz="4" w:space="0" w:color="000000"/>
              <w:left w:val="single" w:sz="4" w:space="0" w:color="000000"/>
              <w:bottom w:val="single" w:sz="4" w:space="0" w:color="000000"/>
              <w:right w:val="single" w:sz="6" w:space="0" w:color="000000"/>
            </w:tcBorders>
            <w:shd w:val="clear" w:color="auto" w:fill="D0CECE"/>
          </w:tcPr>
          <w:p w14:paraId="76381904" w14:textId="77777777" w:rsidR="005A6C72" w:rsidRPr="0070621F" w:rsidRDefault="005A6C72" w:rsidP="008B657F">
            <w:pPr>
              <w:spacing w:line="240" w:lineRule="auto"/>
              <w:rPr>
                <w:rFonts w:ascii="Arial" w:hAnsi="Arial" w:cs="Arial"/>
              </w:rPr>
            </w:pPr>
          </w:p>
        </w:tc>
        <w:tc>
          <w:tcPr>
            <w:tcW w:w="1559" w:type="dxa"/>
            <w:vMerge/>
            <w:tcBorders>
              <w:top w:val="single" w:sz="4" w:space="0" w:color="000000"/>
              <w:left w:val="single" w:sz="6" w:space="0" w:color="000000"/>
              <w:bottom w:val="single" w:sz="4" w:space="0" w:color="000000"/>
              <w:right w:val="single" w:sz="6" w:space="0" w:color="000000"/>
            </w:tcBorders>
            <w:shd w:val="clear" w:color="auto" w:fill="D0CECE"/>
          </w:tcPr>
          <w:p w14:paraId="61249F25" w14:textId="77777777" w:rsidR="005A6C72" w:rsidRPr="0070621F" w:rsidRDefault="005A6C72" w:rsidP="008B657F">
            <w:pPr>
              <w:spacing w:line="240" w:lineRule="auto"/>
              <w:rPr>
                <w:rFonts w:ascii="Arial" w:hAnsi="Arial" w:cs="Arial"/>
              </w:rPr>
            </w:pPr>
          </w:p>
        </w:tc>
        <w:tc>
          <w:tcPr>
            <w:tcW w:w="1473" w:type="dxa"/>
            <w:vMerge/>
            <w:tcBorders>
              <w:left w:val="single" w:sz="6" w:space="0" w:color="000000"/>
              <w:bottom w:val="single" w:sz="4" w:space="0" w:color="000000"/>
              <w:right w:val="single" w:sz="6" w:space="0" w:color="000000"/>
            </w:tcBorders>
            <w:shd w:val="clear" w:color="auto" w:fill="D0CECE"/>
            <w:tcMar>
              <w:top w:w="80" w:type="dxa"/>
              <w:left w:w="80" w:type="dxa"/>
              <w:bottom w:w="80" w:type="dxa"/>
              <w:right w:w="80" w:type="dxa"/>
            </w:tcMar>
          </w:tcPr>
          <w:p w14:paraId="54FA2F79" w14:textId="77777777" w:rsidR="005A6C72" w:rsidRPr="0070621F" w:rsidRDefault="005A6C72" w:rsidP="008B657F">
            <w:pPr>
              <w:spacing w:line="240" w:lineRule="auto"/>
              <w:rPr>
                <w:rFonts w:ascii="Arial" w:hAnsi="Arial" w:cs="Arial"/>
              </w:rPr>
            </w:pPr>
          </w:p>
        </w:tc>
      </w:tr>
      <w:tr w:rsidR="005A6C72" w:rsidRPr="0070621F" w14:paraId="1FB36D79" w14:textId="77777777" w:rsidTr="008B657F">
        <w:trPr>
          <w:trHeight w:val="990"/>
        </w:trPr>
        <w:tc>
          <w:tcPr>
            <w:tcW w:w="1696" w:type="dxa"/>
            <w:tcBorders>
              <w:top w:val="single" w:sz="4" w:space="0" w:color="000000"/>
              <w:left w:val="single" w:sz="4" w:space="0" w:color="000000"/>
              <w:bottom w:val="single" w:sz="4" w:space="0" w:color="000000"/>
              <w:right w:val="single" w:sz="4" w:space="0" w:color="000000"/>
            </w:tcBorders>
            <w:shd w:val="clear" w:color="auto" w:fill="F2F2F2"/>
            <w:tcMar>
              <w:top w:w="80" w:type="dxa"/>
              <w:left w:w="80" w:type="dxa"/>
              <w:bottom w:w="80" w:type="dxa"/>
              <w:right w:w="80" w:type="dxa"/>
            </w:tcMar>
            <w:vAlign w:val="center"/>
          </w:tcPr>
          <w:p w14:paraId="0E1B0AEA" w14:textId="77777777" w:rsidR="005A6C72" w:rsidRPr="0070621F" w:rsidRDefault="005A6C72" w:rsidP="008B657F">
            <w:pPr>
              <w:pStyle w:val="Body"/>
              <w:rPr>
                <w:rFonts w:ascii="Arial" w:hAnsi="Arial" w:cs="Arial"/>
              </w:rPr>
            </w:pPr>
            <w:r w:rsidRPr="0070621F">
              <w:rPr>
                <w:rFonts w:ascii="Arial" w:hAnsi="Arial" w:cs="Arial"/>
                <w:sz w:val="21"/>
                <w:szCs w:val="21"/>
              </w:rPr>
              <w:t>Na</w:t>
            </w:r>
            <w:r w:rsidRPr="0070621F">
              <w:rPr>
                <w:rFonts w:ascii="Arial" w:hAnsi="Arial" w:cs="Arial"/>
              </w:rPr>
              <w:t>ï</w:t>
            </w:r>
            <w:r w:rsidRPr="0070621F">
              <w:rPr>
                <w:rFonts w:ascii="Arial" w:hAnsi="Arial" w:cs="Arial"/>
                <w:sz w:val="21"/>
                <w:szCs w:val="21"/>
              </w:rPr>
              <w:t>ve</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7E5879" w14:textId="212A4C9A" w:rsidR="005A6C72" w:rsidRPr="0070621F" w:rsidRDefault="005A6C72" w:rsidP="008B657F">
            <w:pPr>
              <w:pStyle w:val="Body"/>
              <w:jc w:val="center"/>
              <w:rPr>
                <w:rFonts w:ascii="Arial" w:hAnsi="Arial" w:cs="Arial"/>
              </w:rPr>
            </w:pPr>
            <w:r w:rsidRPr="0070621F">
              <w:rPr>
                <w:rFonts w:ascii="Arial" w:hAnsi="Arial" w:cs="Arial"/>
                <w:color w:val="000000" w:themeColor="text1"/>
                <w:sz w:val="21"/>
                <w:szCs w:val="21"/>
                <w:lang w:val="ru-RU"/>
              </w:rPr>
              <w:t>-</w:t>
            </w:r>
            <w:r w:rsidR="0070621F">
              <w:rPr>
                <w:rFonts w:ascii="Arial" w:hAnsi="Arial" w:cs="Arial"/>
                <w:color w:val="F82EF9"/>
                <w:sz w:val="21"/>
                <w:szCs w:val="21"/>
                <w:lang w:val="ru-RU"/>
              </w:rPr>
              <w:t xml:space="preserve"> </w:t>
            </w:r>
            <w:r w:rsidR="00DB4476">
              <w:rPr>
                <w:rFonts w:ascii="Calibri" w:hAnsi="Calibri"/>
                <w:b/>
                <w:bCs/>
                <w:color w:val="auto"/>
                <w:sz w:val="20"/>
                <w:szCs w:val="20"/>
                <w:u w:color="2E74B5"/>
                <w:lang w:val="en-US"/>
              </w:rPr>
              <w:sym w:font="Symbol" w:char="F0AF"/>
            </w:r>
            <w:r w:rsidRPr="0070621F">
              <w:rPr>
                <w:rFonts w:ascii="Arial" w:hAnsi="Arial" w:cs="Arial"/>
                <w:b/>
                <w:bCs/>
                <w:color w:val="2E74B5"/>
                <w:sz w:val="21"/>
                <w:szCs w:val="21"/>
                <w:u w:color="2E74B5"/>
                <w:lang w:val="en-US"/>
              </w:rPr>
              <w:br/>
            </w:r>
            <w:r w:rsidR="005421A9">
              <w:rPr>
                <w:rFonts w:ascii="Arial" w:hAnsi="Arial" w:cs="Arial"/>
                <w:sz w:val="21"/>
                <w:szCs w:val="21"/>
              </w:rPr>
              <w:fldChar w:fldCharType="begin" w:fldLock="1"/>
            </w:r>
            <w:r w:rsidR="008B657F">
              <w:rPr>
                <w:rFonts w:ascii="Arial" w:hAnsi="Arial" w:cs="Arial"/>
                <w:sz w:val="21"/>
                <w:szCs w:val="21"/>
              </w:rPr>
              <w:instrText>ADDIN CSL_CITATION {"citationItems":[{"id":"ITEM-1","itemData":{"DOI":"10.1186/s12967-020-02371-3","ISSN":"1479-5876","author":[{"dropping-particle":"","family":"Liu","given":"Lu","non-dropping-particle":"","parse-names":false,"suffix":""},{"dropping-particle":"","family":"Huang","given":"Xixi","non-dropping-particle":"","parse-names":false,"suffix":""},{"dropping-particle":"","family":"Xu","given":"Chunfang","non-dropping-particle":"","parse-names":false,"suffix":""},{"dropping-particle":"","family":"Chen","given":"Chunqin","non-dropping-particle":"","parse-names":false,"suffix":""},{"dropping-particle":"","family":"Zhao","given":"Weijie","non-dropping-particle":"","parse-names":false,"suffix":""},{"dropping-particle":"","family":"Li","given":"Dajin","non-dropping-particle":"","parse-names":false,"suffix":""},{"dropping-particle":"","family":"Li","given":"Liping","non-dropping-particle":"","parse-names":false,"suffix":""},{"dropping-particle":"","family":"Wang","given":"Li","non-dropping-particle":"","parse-names":false,"suffix":""}],"container-title":"Journal of Translational Medicine","id":"ITEM-1","issued":{"date-parts":[["2020"]]},"page":"1-14","publisher":"BioMed Central","title":"Decidual ­ CD8 + T cells exhibit both residency and tolerance signatures modulated by decidual stromal cells","type":"article-journal"},"uris":["http://www.mendeley.com/documents/?uuid=6a9e35fd-335e-41da-9e98-a8391f3f8e86"]},{"id":"ITEM-2","itemData":{"DOI":"10.1038/cddis.2015.112","ISBN":"2041-4889 (Electronic)","ISSN":"20414889","PMID":"25950468","abstract":"CD8(+) T cells are critical in the balance between fetal tolerance and antiviral immunity. T-cell immunoglobulin mucin-3 (Tim-3) and programmed cell death-1 (PD-1) are important negative immune regulatory molecules involved in viral persistence and tumor metastasis. Here, we demonstrate that Tim-3(+)PD-1(+)CD8(+) T cells from decidua greatly outnumbered those from peripheral blood during human early pregnancy. Co-culture of trophoblasts with CD8(+) T cells upregulated PD-1(+) and/or Tim-3(+) immune cells. Furthermore, the population of CD8(+) T cells co-expressing PD-1 and Tim-3 was enriched within the intermediate memory subset in decidua. This population exhibited high proliferative activity and Th2-type cytokine producing capacity. Blockade of Tim-3 and PD-1 resulted in decreased in vitro proliferation and Th2-type cytokine production while increased trophoblast killing and IFN-γ producing capacities of CD8(+) T cells. Pregnant CBA/J females challenged with Tim-3 and/or PD-1 blocking antibodies were more susceptible to fetal loss, which was associated with CD8(+) T-cell dysfunction. Importantly, the number and function of Tim-3(+)PD-1(+)CD8(+) T cells in decidua were significantly impaired in miscarriage. These findings underline the important roles of Tim-3 and PD-1 pathways in regulating decidual CD8(+) T-cell function and maintaining normal pregnancy.","author":[{"dropping-particle":"","family":"Wang","given":"S. C.","non-dropping-particle":"","parse-names":false,"suffix":""},{"dropping-particle":"","family":"Li","given":"Y. H.","non-dropping-particle":"","parse-names":false,"suffix":""},{"dropping-particle":"","family":"Piao","given":"H. L.","non-dropping-particle":"","parse-names":false,"suffix":""},{"dropping-particle":"","family":"Hong","given":"X. W.","non-dropping-particle":"","parse-names":false,"suffix":""},{"dropping-particle":"","family":"Zhang","given":"D.","non-dropping-particle":"","parse-names":false,"suffix":""},{"dropping-particle":"","family":"Xu","given":"Y. Y.","non-dropping-particle":"","parse-names":false,"suffix":""},{"dropping-particle":"","family":"Tao","given":"Y.","non-dropping-particle":"","parse-names":false,"suffix":""},{"dropping-particle":"","family":"Wang","given":"Y.","non-dropping-particle":"","parse-names":false,"suffix":""},{"dropping-particle":"","family":"Yuan","given":"M. M.","non-dropping-particle":"","parse-names":false,"suffix":""},{"dropping-particle":"","family":"Li","given":"D. J.","non-dropping-particle":"","parse-names":false,"suffix":""},{"dropping-particle":"","family":"Du","given":"M. R.","non-dropping-particle":"","parse-names":false,"suffix":""}],"container-title":"Cell Death and Disease","id":"ITEM-2","issue":"5","issued":{"date-parts":[["2015"]]},"page":"1-10","title":"PD-1 and Tim-3 pathways are associated with regulatory CD8+ T-cell function in decidua and maintenance of normal pregnancy","type":"article-journal","volume":"6"},"uris":["http://www.mendeley.com/documents/?uuid=5c318b04-594b-4321-8826-9480dfe9437b"]},{"id":"ITEM-3","itemData":{"DOI":"10.1073/pnas.1713957115","ISBN":"1091-6490 (Electronic) 0027-8424 (Linking)","ISSN":"0027-8424","PMID":"29259116","abstract":"Understanding how decidual CD8+ T cell (CD8+ dT) cytotoxicity is regulated and how these cells integrate the competing needs for maternal-fetal tolerance and immunity to infection is an important research and clinical goal. Gene-expression analysis of effector-memory CD8+ dT demonstrated a mixed transcriptional signature of T cell dysfunction, activation, and effector function. High protein expression of coinhibitory molecules PD1, CTLA4, and LAG3, accompanied by low expression of cytolytic molecules suggests that the decidual microenvironment reduces CD8+ dT effector responses to maintain tolerance to fetal antigens. However, CD8+ dT degranulated, proliferated, and produced IFN-γ, TNF-α, perforin, and granzymes upon in vitro stimulation, demonstrating that CD8+ dT are not permanently suppressed and retain the capacity to respond to proinflammatory events, such as infections. The balance between transient dysfunction of CD8+ dT that are permissive of placental and fetal development, and reversal of this dysfunctional state, is crucial in understanding the etiology of pregnancy complications and prevention of congenital infections.","author":[{"dropping-particle":"","family":"Zwan","given":"Anita","non-dropping-particle":"van der","parse-names":false,"suffix":""},{"dropping-particle":"","family":"Bi","given":"Kevin","non-dropping-particle":"","parse-names":false,"suffix":""},{"dropping-particle":"","family":"Norwitz","given":"Errol R.","non-dropping-particle":"","parse-names":false,"suffix":""},{"dropping-particle":"","family":"Crespo","given":"Ângela C.","non-dropping-particle":"","parse-names":false,"suffix":""},{"dropping-particle":"","family":"Claas","given":"Frans H. J.","non-dropping-particle":"","parse-names":false,"suffix":""},{"dropping-particle":"","family":"Strominger","given":"Jack L.","non-dropping-particle":"","parse-names":false,"suffix":""},{"dropping-particle":"","family":"Tilburgs","given":"Tamara","non-dropping-particle":"","parse-names":false,"suffix":""}],"container-title":"Proceedings of the National Academy of Sciences","id":"ITEM-3","issue":"2","issued":{"date-parts":[["2018"]]},"page":"201713957","title":"Mixed signature of activation and dysfunction allows human decidual CD8 + T cells to provide both tolerance and immunity","type":"article-journal","volume":"115"},"uris":["http://www.mendeley.com/documents/?uuid=63fce5dd-5ebe-4249-8e32-ac192f0abdfa"]},{"id":"ITEM-4","itemData":{"DOI":"10.3389/fimmu.2020.01082","author":[{"dropping-particle":"","family":"Morita","given":"Keiko","non-dropping-particle":"","parse-names":false,"suffix":""},{"dropping-particle":"","family":"Tsuda","given":"Sayaka","non-dropping-particle":"","parse-names":false,"suffix":""},{"dropping-particle":"","family":"Kobayashi","given":"Eiji","non-dropping-particle":"","parse-names":false,"suffix":""},{"dropping-particle":"","family":"Hamana","given":"Hiroshi","non-dropping-particle":"","parse-names":false,"suffix":""},{"dropping-particle":"","family":"Tsuda","given":"Kei","non-dropping-particle":"","parse-names":false,"suffix":""}],"id":"ITEM-4","issue":"June","issued":{"date-parts":[["2020"]]},"title":"Analysis of TCR Repertoire and PD-1 Expression in Decidual and Peripheral CD8 + T Cells Reveals Distinct Immune Mechanisms in Miscarriage and Preeclampsia","type":"article-journal","volume":"11"},"uris":["http://www.mendeley.com/documents/?uuid=10d1eec6-9110-425c-a544-1207713b6cfb"]},{"id":"ITEM-5","itemData":{"DOI":"10.3389/fimmu.2018.00937","ISSN":"16643224","abstract":"Decidual CD8 + (dCD8) T cells have been proposed to play important roles in immune protection against the invading pathogens and in tolerance toward the growing semi-allogeneic fetus during early pregnancy. However, their phenotypic and functional characteristics remain poorly defined. Here, we performed the first analysis of the transcriptional and alternative splicing (AS) signatures for human first-trimester dCD8 T cells using high-throughput mRNA sequencing. Our data revealed that dCD8 T cells have distinct transcriptional and AS landscapes when compared with their autologous peripheral blood CD8 + (pCD8) T counterparts. Furthermore, human dCD8 T cells were observed to contain CD8-Treg and effector-memory T-cell subsets, and display enhanced functionality in terms of degranulation and cytokine production on a per-cell basis. Additionally, we have identified the novel splice junctions that use a high ratio of the non-canonical splicing motif GC-AG and found that AS is not a major contributor to the gene expression-level changes between paired pCD8 and dCD8 T cells. Together, our findings not only provide a comprehensive framework of the transcriptional and AS landscapes but also reveal the functional feature of human dCD8 T cells, which are of great importance in understanding the biology of these cells and the physiology of human healthy pregnancy.","author":[{"dropping-particle":"","family":"Zeng","given":"Weihong","non-dropping-particle":"","parse-names":false,"suffix":""},{"dropping-particle":"","family":"Liu","given":"Xinmei","non-dropping-particle":"","parse-names":false,"suffix":""},{"dropping-particle":"","family":"Liu","given":"Zhicui","non-dropping-particle":"","parse-names":false,"suffix":""},{"dropping-particle":"","family":"Zheng","given":"Ying","non-dropping-particle":"","parse-names":false,"suffix":""},{"dropping-particle":"","family":"Yu","given":"Tiantian","non-dropping-particle":"","parse-names":false,"suffix":""},{"dropping-particle":"","family":"Fu","given":"Shaliu","non-dropping-particle":"","parse-names":false,"suffix":""},{"dropping-particle":"","family":"Li","given":"Xiao","non-dropping-particle":"","parse-names":false,"suffix":""},{"dropping-particle":"","family":"Zhang","given":"Jing","non-dropping-particle":"","parse-names":false,"suffix":""},{"dropping-particle":"","family":"Zhang","given":"Siming","non-dropping-particle":"","parse-names":false,"suffix":""},{"dropping-particle":"","family":"Ma","given":"Xiaoling","non-dropping-particle":"","parse-names":false,"suffix":""},{"dropping-particle":"","family":"Liu","given":"Xiao Rui","non-dropping-particle":"","parse-names":false,"suffix":""},{"dropping-particle":"","family":"Qin","given":"Xiaoli","non-dropping-particle":"","parse-names":false,"suffix":""},{"dropping-particle":"","family":"Khanniche","given":"Asma","non-dropping-particle":"","parse-names":false,"suffix":""},{"dropping-particle":"","family":"Zhang","given":"Yan","non-dropping-particle":"","parse-names":false,"suffix":""},{"dropping-particle":"","family":"Tian","given":"Fuju","non-dropping-particle":"","parse-names":false,"suffix":""},{"dropping-particle":"","family":"Lin","given":"Yi","non-dropping-particle":"","parse-names":false,"suffix":""}],"container-title":"Frontiers in Immunology","id":"ITEM-5","issue":"MAY","issued":{"date-parts":[["2018"]]},"page":"1-16","title":"Deep surveying of the transcriptional and alternative splicing signatures for decidual CD8+T cells at the first trimester of human healthy pregnancy","type":"article-journal","volume":"9"},"uris":["http://www.mendeley.com/documents/?uuid=eef0ce9e-9e30-4706-bec7-774fc1abaf42"]}],"mendeley":{"formattedCitation":"(2–6)","plainTextFormattedCitation":"(2–6)","previouslyFormattedCitation":"(2–6)"},"properties":{"noteIndex":0},"schema":"https://github.com/citation-style-language/schema/raw/master/csl-citation.json"}</w:instrText>
            </w:r>
            <w:r w:rsidR="005421A9">
              <w:rPr>
                <w:rFonts w:ascii="Arial" w:hAnsi="Arial" w:cs="Arial"/>
                <w:sz w:val="21"/>
                <w:szCs w:val="21"/>
              </w:rPr>
              <w:fldChar w:fldCharType="separate"/>
            </w:r>
            <w:r w:rsidR="003E2B8F" w:rsidRPr="003E2B8F">
              <w:rPr>
                <w:rFonts w:ascii="Arial" w:hAnsi="Arial" w:cs="Arial"/>
                <w:noProof/>
                <w:sz w:val="21"/>
                <w:szCs w:val="21"/>
              </w:rPr>
              <w:t>(2–6)</w:t>
            </w:r>
            <w:r w:rsidR="005421A9">
              <w:rPr>
                <w:rFonts w:ascii="Arial" w:hAnsi="Arial" w:cs="Arial"/>
                <w:sz w:val="21"/>
                <w:szCs w:val="21"/>
              </w:rPr>
              <w:fldChar w:fldCharType="end"/>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14ECE8" w14:textId="122E9C9F" w:rsidR="005A6C72" w:rsidRPr="0070621F" w:rsidRDefault="005A6C72" w:rsidP="008B657F">
            <w:pPr>
              <w:pStyle w:val="Body"/>
              <w:jc w:val="center"/>
              <w:rPr>
                <w:rFonts w:ascii="Arial" w:eastAsia="Calibri" w:hAnsi="Arial" w:cs="Arial"/>
                <w:sz w:val="21"/>
                <w:szCs w:val="21"/>
              </w:rPr>
            </w:pPr>
            <w:r w:rsidRPr="0070621F">
              <w:rPr>
                <w:rFonts w:ascii="Arial" w:hAnsi="Arial" w:cs="Arial"/>
                <w:sz w:val="21"/>
                <w:szCs w:val="21"/>
              </w:rPr>
              <w:t>-/+</w:t>
            </w:r>
            <w:r w:rsidRPr="0070621F">
              <w:rPr>
                <w:rFonts w:ascii="Arial" w:eastAsia="Calibri" w:hAnsi="Arial" w:cs="Arial"/>
                <w:sz w:val="21"/>
                <w:szCs w:val="21"/>
                <w:lang w:val="is-IS"/>
              </w:rPr>
              <w:t xml:space="preserve"> </w:t>
            </w:r>
            <w:r w:rsidR="0070621F">
              <w:rPr>
                <w:rFonts w:ascii="Arial" w:hAnsi="Arial" w:cs="Arial"/>
                <w:b/>
                <w:bCs/>
                <w:color w:val="F82EF9"/>
                <w:sz w:val="21"/>
                <w:szCs w:val="21"/>
                <w:u w:color="2E74B5"/>
                <w:lang w:val="en-US"/>
              </w:rPr>
              <w:t xml:space="preserve"> </w:t>
            </w:r>
            <w:r w:rsidR="00DB4476">
              <w:rPr>
                <w:rFonts w:ascii="Calibri" w:hAnsi="Calibri"/>
                <w:b/>
                <w:bCs/>
                <w:color w:val="auto"/>
                <w:sz w:val="20"/>
                <w:szCs w:val="20"/>
                <w:u w:color="2E74B5"/>
                <w:lang w:val="en-US"/>
              </w:rPr>
              <w:sym w:font="Symbol" w:char="F0AF"/>
            </w:r>
            <w:r w:rsidRPr="0070621F">
              <w:rPr>
                <w:rFonts w:ascii="Arial" w:hAnsi="Arial" w:cs="Arial"/>
                <w:b/>
                <w:bCs/>
                <w:color w:val="2E74B5"/>
                <w:sz w:val="21"/>
                <w:szCs w:val="21"/>
                <w:u w:color="2E74B5"/>
                <w:lang w:val="en-US"/>
              </w:rPr>
              <w:br/>
            </w:r>
            <w:r w:rsidR="005421A9">
              <w:rPr>
                <w:rFonts w:ascii="Arial" w:hAnsi="Arial" w:cs="Arial"/>
                <w:sz w:val="21"/>
                <w:szCs w:val="21"/>
              </w:rPr>
              <w:fldChar w:fldCharType="begin" w:fldLock="1"/>
            </w:r>
            <w:r w:rsidR="008B657F">
              <w:rPr>
                <w:rFonts w:ascii="Arial" w:hAnsi="Arial" w:cs="Arial"/>
                <w:sz w:val="21"/>
                <w:szCs w:val="21"/>
              </w:rPr>
              <w:instrText>ADDIN CSL_CITATION {"citationItems":[{"id":"ITEM-1","itemData":{"DOI":"10.1073/pnas.1713957115","ISBN":"1091-6490 (Electronic) 0027-8424 (Linking)","ISSN":"0027-8424","PMID":"29259116","abstract":"Understanding how decidual CD8+ T cell (CD8+ dT) cytotoxicity is regulated and how these cells integrate the competing needs for maternal-fetal tolerance and immunity to infection is an important research and clinical goal. Gene-expression analysis of effector-memory CD8+ dT demonstrated a mixed transcriptional signature of T cell dysfunction, activation, and effector function. High protein expression of coinhibitory molecules PD1, CTLA4, and LAG3, accompanied by low expression of cytolytic molecules suggests that the decidual microenvironment reduces CD8+ dT effector responses to maintain tolerance to fetal antigens. However, CD8+ dT degranulated, proliferated, and produced IFN-γ, TNF-α, perforin, and granzymes upon in vitro stimulation, demonstrating that CD8+ dT are not permanently suppressed and retain the capacity to respond to proinflammatory events, such as infections. The balance between transient dysfunction of CD8+ dT that are permissive of placental and fetal development, and reversal of this dysfunctional state, is crucial in understanding the etiology of pregnancy complications and prevention of congenital infections.","author":[{"dropping-particle":"","family":"Zwan","given":"Anita","non-dropping-particle":"van der","parse-names":false,"suffix":""},{"dropping-particle":"","family":"Bi","given":"Kevin","non-dropping-particle":"","parse-names":false,"suffix":""},{"dropping-particle":"","family":"Norwitz","given":"Errol R.","non-dropping-particle":"","parse-names":false,"suffix":""},{"dropping-particle":"","family":"Crespo","given":"Ângela C.","non-dropping-particle":"","parse-names":false,"suffix":""},{"dropping-particle":"","family":"Claas","given":"Frans H. J.","non-dropping-particle":"","parse-names":false,"suffix":""},{"dropping-particle":"","family":"Strominger","given":"Jack L.","non-dropping-particle":"","parse-names":false,"suffix":""},{"dropping-particle":"","family":"Tilburgs","given":"Tamara","non-dropping-particle":"","parse-names":false,"suffix":""}],"container-title":"Proceedings of the National Academy of Sciences","id":"ITEM-1","issue":"2","issued":{"date-parts":[["2018"]]},"page":"201713957","title":"Mixed signature of activation and dysfunction allows human decidual CD8 + T cells to provide both tolerance and immunity","type":"article-journal","volume":"115"},"uris":["http://www.mendeley.com/documents/?uuid=63fce5dd-5ebe-4249-8e32-ac192f0abdfa"]},{"id":"ITEM-2","itemData":{"DOI":"10.3389/fimmu.2020.01082","author":[{"dropping-particle":"","family":"Morita","given":"Keiko","non-dropping-particle":"","parse-names":false,"suffix":""},{"dropping-particle":"","family":"Tsuda","given":"Sayaka","non-dropping-particle":"","parse-names":false,"suffix":""},{"dropping-particle":"","family":"Kobayashi","given":"Eiji","non-dropping-particle":"","parse-names":false,"suffix":""},{"dropping-particle":"","family":"Hamana","given":"Hiroshi","non-dropping-particle":"","parse-names":false,"suffix":""},{"dropping-particle":"","family":"Tsuda","given":"Kei","non-dropping-particle":"","parse-names":false,"suffix":""}],"id":"ITEM-2","issue":"June","issued":{"date-parts":[["2020"]]},"title":"Analysis of TCR Repertoire and PD-1 Expression in Decidual and Peripheral CD8 + T Cells Reveals Distinct Immune Mechanisms in Miscarriage and Preeclampsia","type":"article-journal","volume":"11"},"uris":["http://www.mendeley.com/documents/?uuid=10d1eec6-9110-425c-a544-1207713b6cfb"]},{"id":"ITEM-3","itemData":{"DOI":"10.4049/jimmunol.0903597","author":[{"dropping-particle":"","family":"Tilburgs","given":"Tamara","non-dropping-particle":"","parse-names":false,"suffix":""},{"dropping-particle":"","family":"Schonkeren","given":"Dorrith","non-dropping-particle":"","parse-names":false,"suffix":""},{"dropping-particle":"","family":"Eikmans","given":"Michael","non-dropping-particle":"","parse-names":false,"suffix":""},{"dropping-particle":"","family":"Nagtzaam","given":"Nicole M","non-dropping-particle":"","parse-names":false,"suffix":""},{"dropping-particle":"","family":"Datema","given":"Gert","non-dropping-particle":"","parse-names":false,"suffix":""},{"dropping-particle":"","family":"Swings","given":"Godelieve M","non-dropping-particle":"","parse-names":false,"suffix":""},{"dropping-particle":"","family":"Prins","given":"Frans","non-dropping-particle":"","parse-names":false,"suffix":""},{"dropping-particle":"Van","family":"Lith","given":"Jan M","non-dropping-particle":"","parse-names":false,"suffix":""},{"dropping-particle":"Van Der","family":"Mast","given":"Barbara J","non-dropping-particle":"","parse-names":false,"suffix":""},{"dropping-particle":"","family":"Roelen","given":"L","non-dropping-particle":"","parse-names":false,"suffix":""},{"dropping-particle":"","family":"Scherjon","given":"Sicco A","non-dropping-particle":"","parse-names":false,"suffix":""},{"dropping-particle":"","family":"Claas","given":"Frans H","non-dropping-particle":"","parse-names":false,"suffix":""}],"id":"ITEM-3","issued":{"date-parts":[["2010"]]},"title":"Human Decidual Tissue Contains Differentiated CD8 + Effector-Memory T Cells with Unique Properties","type":"article-journal"},"uris":["http://www.mendeley.com/documents/?uuid=5d4fde8a-4839-47ce-a9a5-906a60ed4ab5"]},{"id":"ITEM-4","itemData":{"DOI":"10.4049/jimmunol.1700114.Decidual","author":[{"dropping-particle":"","family":"Powell","given":"Richard M","non-dropping-particle":"","parse-names":false,"suffix":""},{"dropping-particle":"","family":"Lissauer","given":"David","non-dropping-particle":"","parse-names":false,"suffix":""},{"dropping-particle":"","family":"Tamblyn","given":"Jennifer","non-dropping-particle":"","parse-names":false,"suffix":""},{"dropping-particle":"","family":"Beggs","given":"Andrew","non-dropping-particle":"","parse-names":false,"suffix":""},{"dropping-particle":"","family":"Cox","given":"Philip","non-dropping-particle":"","parse-names":false,"suffix":""},{"dropping-particle":"","family":"Moss","given":"Paul","non-dropping-particle":"","parse-names":false,"suffix":""},{"dropping-particle":"","family":"Kilby","given":"Mark D","non-dropping-particle":"","parse-names":false,"suffix":""}],"id":"ITEM-4","issue":"10","issued":{"date-parts":[["2017"]]},"page":"3406-3417","title":"Decidual T cells exhibit a highly differentiated phenotype and demonstrate potential fetal-specificity and a strong transcriptional response to interferon","type":"article-journal","volume":"199"},"uris":["http://www.mendeley.com/documents/?uuid=f5891cb9-2830-46ce-a60a-77f830cabe6d"]},{"id":"ITEM-5","itemData":{"DOI":"10.1038/s41598-017-03191-0","author":[{"dropping-particle":"","family":"Feyaerts","given":"Dorien","non-dropping-particle":"","parse-names":false,"suffix":""},{"dropping-particle":"","family":"Benner","given":"Marilen","non-dropping-particle":"","parse-names":false,"suffix":""},{"dropping-particle":"Van","family":"Cranenbroek","given":"Bram","non-dropping-particle":"","parse-names":false,"suffix":""},{"dropping-particle":"Van Der","family":"Heijden","given":"Olivier W H","non-dropping-particle":"","parse-names":false,"suffix":""}],"id":"ITEM-5","issue":"April","issued":{"date-parts":[["2017"]]},"page":"1-10","publisher":"Springer US","title":"Human uterine lymphocytes acquire a more experienced and tolerogenic phenotype during pregnancy","type":"article-journal"},"uris":["http://www.mendeley.com/documents/?uuid=488fc210-ce17-4f3a-b46c-2f75aa85751e"]}],"mendeley":{"formattedCitation":"(4,5,7–9)","plainTextFormattedCitation":"(4,5,7–9)","previouslyFormattedCitation":"(4,5,7–9)"},"properties":{"noteIndex":0},"schema":"https://github.com/citation-style-language/schema/raw/master/csl-citation.json"}</w:instrText>
            </w:r>
            <w:r w:rsidR="005421A9">
              <w:rPr>
                <w:rFonts w:ascii="Arial" w:hAnsi="Arial" w:cs="Arial"/>
                <w:sz w:val="21"/>
                <w:szCs w:val="21"/>
              </w:rPr>
              <w:fldChar w:fldCharType="separate"/>
            </w:r>
            <w:r w:rsidR="003E2B8F" w:rsidRPr="003E2B8F">
              <w:rPr>
                <w:rFonts w:ascii="Arial" w:hAnsi="Arial" w:cs="Arial"/>
                <w:noProof/>
                <w:sz w:val="21"/>
                <w:szCs w:val="21"/>
              </w:rPr>
              <w:t>(4,5,7–9)</w:t>
            </w:r>
            <w:r w:rsidR="005421A9">
              <w:rPr>
                <w:rFonts w:ascii="Arial" w:hAnsi="Arial" w:cs="Arial"/>
                <w:sz w:val="21"/>
                <w:szCs w:val="21"/>
              </w:rPr>
              <w:fldChar w:fldCharType="end"/>
            </w:r>
            <w:r w:rsidRPr="0070621F">
              <w:rPr>
                <w:rFonts w:ascii="Arial" w:eastAsia="Calibri" w:hAnsi="Arial" w:cs="Arial"/>
                <w:sz w:val="21"/>
                <w:szCs w:val="21"/>
              </w:rPr>
              <w:br/>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D136AF" w14:textId="61C1FC6A" w:rsidR="005A6C72" w:rsidRPr="0070621F" w:rsidRDefault="005A6C72" w:rsidP="008B657F">
            <w:pPr>
              <w:pStyle w:val="Body"/>
              <w:jc w:val="center"/>
              <w:rPr>
                <w:rFonts w:ascii="Arial" w:hAnsi="Arial" w:cs="Arial"/>
              </w:rPr>
            </w:pPr>
            <w:r w:rsidRPr="0070621F">
              <w:rPr>
                <w:rFonts w:ascii="Arial" w:hAnsi="Arial" w:cs="Arial"/>
                <w:sz w:val="21"/>
                <w:szCs w:val="21"/>
              </w:rPr>
              <w:t xml:space="preserve">-/+ IFNy </w:t>
            </w:r>
            <w:r w:rsidRPr="0070621F">
              <w:rPr>
                <w:rFonts w:ascii="Arial" w:eastAsia="Calibri" w:hAnsi="Arial" w:cs="Arial"/>
                <w:sz w:val="21"/>
                <w:szCs w:val="21"/>
              </w:rPr>
              <w:br/>
            </w:r>
            <w:r w:rsidRPr="0070621F">
              <w:rPr>
                <w:rFonts w:ascii="Arial" w:hAnsi="Arial" w:cs="Arial"/>
                <w:sz w:val="21"/>
                <w:szCs w:val="21"/>
                <w:lang w:val="en-US"/>
              </w:rPr>
              <w:t xml:space="preserve">- </w:t>
            </w:r>
            <w:proofErr w:type="spellStart"/>
            <w:r w:rsidRPr="0070621F">
              <w:rPr>
                <w:rFonts w:ascii="Arial" w:hAnsi="Arial" w:cs="Arial"/>
                <w:sz w:val="21"/>
                <w:szCs w:val="21"/>
                <w:lang w:val="en-US"/>
              </w:rPr>
              <w:t>TNFa</w:t>
            </w:r>
            <w:proofErr w:type="spellEnd"/>
            <w:r w:rsidRPr="0070621F">
              <w:rPr>
                <w:rFonts w:ascii="Arial" w:hAnsi="Arial" w:cs="Arial"/>
                <w:sz w:val="21"/>
                <w:szCs w:val="21"/>
                <w:lang w:val="en-US"/>
              </w:rPr>
              <w:t xml:space="preserve"> </w:t>
            </w:r>
            <w:r w:rsidRPr="0070621F">
              <w:rPr>
                <w:rFonts w:ascii="Arial" w:eastAsia="Calibri" w:hAnsi="Arial" w:cs="Arial"/>
                <w:sz w:val="21"/>
                <w:szCs w:val="21"/>
              </w:rPr>
              <w:br/>
            </w:r>
            <w:r w:rsidR="005421A9">
              <w:rPr>
                <w:rFonts w:ascii="Arial" w:hAnsi="Arial" w:cs="Arial"/>
                <w:sz w:val="21"/>
                <w:szCs w:val="21"/>
              </w:rPr>
              <w:fldChar w:fldCharType="begin" w:fldLock="1"/>
            </w:r>
            <w:r w:rsidR="008B657F">
              <w:rPr>
                <w:rFonts w:ascii="Arial" w:hAnsi="Arial" w:cs="Arial"/>
                <w:sz w:val="21"/>
                <w:szCs w:val="21"/>
              </w:rPr>
              <w:instrText>ADDIN CSL_CITATION {"citationItems":[{"id":"ITEM-1","itemData":{"DOI":"10.1073/pnas.1713957115","ISBN":"1091-6490 (Electronic) 0027-8424 (Linking)","ISSN":"0027-8424","PMID":"29259116","abstract":"Understanding how decidual CD8+ T cell (CD8+ dT) cytotoxicity is regulated and how these cells integrate the competing needs for maternal-fetal tolerance and immunity to infection is an important research and clinical goal. Gene-expression analysis of effector-memory CD8+ dT demonstrated a mixed transcriptional signature of T cell dysfunction, activation, and effector function. High protein expression of coinhibitory molecules PD1, CTLA4, and LAG3, accompanied by low expression of cytolytic molecules suggests that the decidual microenvironment reduces CD8+ dT effector responses to maintain tolerance to fetal antigens. However, CD8+ dT degranulated, proliferated, and produced IFN-γ, TNF-α, perforin, and granzymes upon in vitro stimulation, demonstrating that CD8+ dT are not permanently suppressed and retain the capacity to respond to proinflammatory events, such as infections. The balance between transient dysfunction of CD8+ dT that are permissive of placental and fetal development, and reversal of this dysfunctional state, is crucial in understanding the etiology of pregnancy complications and prevention of congenital infections.","author":[{"dropping-particle":"","family":"Zwan","given":"Anita","non-dropping-particle":"van der","parse-names":false,"suffix":""},{"dropping-particle":"","family":"Bi","given":"Kevin","non-dropping-particle":"","parse-names":false,"suffix":""},{"dropping-particle":"","family":"Norwitz","given":"Errol R.","non-dropping-particle":"","parse-names":false,"suffix":""},{"dropping-particle":"","family":"Crespo","given":"Ângela C.","non-dropping-particle":"","parse-names":false,"suffix":""},{"dropping-particle":"","family":"Claas","given":"Frans H. J.","non-dropping-particle":"","parse-names":false,"suffix":""},{"dropping-particle":"","family":"Strominger","given":"Jack L.","non-dropping-particle":"","parse-names":false,"suffix":""},{"dropping-particle":"","family":"Tilburgs","given":"Tamara","non-dropping-particle":"","parse-names":false,"suffix":""}],"container-title":"Proceedings of the National Academy of Sciences","id":"ITEM-1","issue":"2","issued":{"date-parts":[["2018"]]},"page":"201713957","title":"Mixed signature of activation and dysfunction allows human decidual CD8 + T cells to provide both tolerance and immunity","type":"article-journal","volume":"115"},"uris":["http://www.mendeley.com/documents/?uuid=63fce5dd-5ebe-4249-8e32-ac192f0abdfa"]}],"mendeley":{"formattedCitation":"(4)","plainTextFormattedCitation":"(4)","previouslyFormattedCitation":"(4)"},"properties":{"noteIndex":0},"schema":"https://github.com/citation-style-language/schema/raw/master/csl-citation.json"}</w:instrText>
            </w:r>
            <w:r w:rsidR="005421A9">
              <w:rPr>
                <w:rFonts w:ascii="Arial" w:hAnsi="Arial" w:cs="Arial"/>
                <w:sz w:val="21"/>
                <w:szCs w:val="21"/>
              </w:rPr>
              <w:fldChar w:fldCharType="separate"/>
            </w:r>
            <w:r w:rsidR="003E2B8F" w:rsidRPr="003E2B8F">
              <w:rPr>
                <w:rFonts w:ascii="Arial" w:hAnsi="Arial" w:cs="Arial"/>
                <w:noProof/>
                <w:sz w:val="21"/>
                <w:szCs w:val="21"/>
              </w:rPr>
              <w:t>(4)</w:t>
            </w:r>
            <w:r w:rsidR="005421A9">
              <w:rPr>
                <w:rFonts w:ascii="Arial" w:hAnsi="Arial" w:cs="Arial"/>
                <w:sz w:val="21"/>
                <w:szCs w:val="21"/>
              </w:rPr>
              <w:fldChar w:fldCharType="end"/>
            </w:r>
          </w:p>
        </w:tc>
        <w:tc>
          <w:tcPr>
            <w:tcW w:w="141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2E2B861B" w14:textId="28883A5A" w:rsidR="005A6C72" w:rsidRPr="0070621F" w:rsidRDefault="005A6C72" w:rsidP="008B657F">
            <w:pPr>
              <w:pStyle w:val="Body"/>
              <w:jc w:val="center"/>
              <w:rPr>
                <w:rFonts w:ascii="Arial" w:hAnsi="Arial" w:cs="Arial"/>
              </w:rPr>
            </w:pPr>
            <w:r w:rsidRPr="0070621F">
              <w:rPr>
                <w:rFonts w:ascii="Arial" w:hAnsi="Arial" w:cs="Arial"/>
                <w:sz w:val="21"/>
                <w:szCs w:val="21"/>
              </w:rPr>
              <w:t>PRF</w:t>
            </w:r>
            <w:r w:rsidRPr="0070621F">
              <w:rPr>
                <w:rFonts w:ascii="Arial" w:hAnsi="Arial" w:cs="Arial"/>
                <w:sz w:val="21"/>
                <w:szCs w:val="21"/>
                <w:vertAlign w:val="subscript"/>
              </w:rPr>
              <w:t>low</w:t>
            </w:r>
            <w:r w:rsidRPr="0070621F">
              <w:rPr>
                <w:rFonts w:ascii="Arial" w:hAnsi="Arial" w:cs="Arial"/>
                <w:sz w:val="21"/>
                <w:szCs w:val="21"/>
                <w:lang w:val="is-IS"/>
              </w:rPr>
              <w:t>*</w:t>
            </w:r>
            <w:r w:rsidRPr="0070621F">
              <w:rPr>
                <w:rFonts w:ascii="Arial" w:eastAsia="Calibri" w:hAnsi="Arial" w:cs="Arial"/>
                <w:sz w:val="21"/>
                <w:szCs w:val="21"/>
              </w:rPr>
              <w:br/>
            </w:r>
            <w:r w:rsidRPr="0070621F">
              <w:rPr>
                <w:rFonts w:ascii="Arial" w:hAnsi="Arial" w:cs="Arial"/>
                <w:sz w:val="21"/>
                <w:szCs w:val="21"/>
              </w:rPr>
              <w:t xml:space="preserve">GZMB </w:t>
            </w:r>
            <w:r w:rsidRPr="0070621F">
              <w:rPr>
                <w:rFonts w:ascii="Arial" w:hAnsi="Arial" w:cs="Arial"/>
                <w:sz w:val="21"/>
                <w:szCs w:val="21"/>
                <w:vertAlign w:val="subscript"/>
                <w:lang w:val="en-US"/>
              </w:rPr>
              <w:t xml:space="preserve">low </w:t>
            </w:r>
            <w:r w:rsidRPr="0070621F">
              <w:rPr>
                <w:rFonts w:ascii="Arial" w:hAnsi="Arial" w:cs="Arial"/>
                <w:sz w:val="21"/>
                <w:szCs w:val="21"/>
                <w:lang w:val="en-US"/>
              </w:rPr>
              <w:t>*</w:t>
            </w:r>
            <w:r w:rsidRPr="0070621F">
              <w:rPr>
                <w:rFonts w:ascii="Arial" w:eastAsia="Calibri" w:hAnsi="Arial" w:cs="Arial"/>
                <w:sz w:val="21"/>
                <w:szCs w:val="21"/>
                <w:vertAlign w:val="subscript"/>
              </w:rPr>
              <w:br/>
            </w:r>
            <w:r w:rsidRPr="0070621F">
              <w:rPr>
                <w:rFonts w:ascii="Arial" w:hAnsi="Arial" w:cs="Arial"/>
                <w:sz w:val="21"/>
                <w:szCs w:val="21"/>
                <w:lang w:val="pt-PT"/>
              </w:rPr>
              <w:t>-CD107a</w:t>
            </w:r>
            <w:r w:rsidR="0070621F">
              <w:rPr>
                <w:rFonts w:ascii="Arial" w:hAnsi="Arial" w:cs="Arial"/>
                <w:b/>
                <w:bCs/>
                <w:color w:val="F82EF9"/>
                <w:sz w:val="21"/>
                <w:szCs w:val="21"/>
                <w:lang w:val="pt-PT"/>
              </w:rPr>
              <w:t xml:space="preserve"> </w:t>
            </w:r>
            <w:r w:rsidR="00DB4476">
              <w:rPr>
                <w:rFonts w:ascii="Calibri" w:hAnsi="Calibri"/>
                <w:b/>
                <w:bCs/>
                <w:color w:val="auto"/>
                <w:sz w:val="20"/>
                <w:szCs w:val="20"/>
                <w:u w:color="2E74B5"/>
                <w:lang w:val="en-US"/>
              </w:rPr>
              <w:sym w:font="Symbol" w:char="F0AF"/>
            </w:r>
            <w:r w:rsidRPr="0070621F">
              <w:rPr>
                <w:rFonts w:ascii="Arial" w:hAnsi="Arial" w:cs="Arial"/>
                <w:b/>
                <w:bCs/>
                <w:color w:val="2E74B5"/>
                <w:sz w:val="21"/>
                <w:szCs w:val="21"/>
                <w:u w:color="2E74B5"/>
                <w:lang w:val="en-US"/>
              </w:rPr>
              <w:t xml:space="preserve"> </w:t>
            </w:r>
            <w:r w:rsidRPr="0070621F">
              <w:rPr>
                <w:rFonts w:ascii="Arial" w:hAnsi="Arial" w:cs="Arial"/>
                <w:b/>
                <w:bCs/>
                <w:color w:val="2E74B5"/>
                <w:sz w:val="21"/>
                <w:szCs w:val="21"/>
                <w:u w:color="2E74B5"/>
                <w:lang w:val="en-US"/>
              </w:rPr>
              <w:br/>
            </w:r>
            <w:r w:rsidR="005421A9">
              <w:rPr>
                <w:rFonts w:ascii="Arial" w:hAnsi="Arial" w:cs="Arial"/>
                <w:sz w:val="21"/>
                <w:szCs w:val="21"/>
              </w:rPr>
              <w:fldChar w:fldCharType="begin" w:fldLock="1"/>
            </w:r>
            <w:r w:rsidR="008B657F">
              <w:rPr>
                <w:rFonts w:ascii="Arial" w:hAnsi="Arial" w:cs="Arial"/>
                <w:sz w:val="21"/>
                <w:szCs w:val="21"/>
              </w:rPr>
              <w:instrText>ADDIN CSL_CITATION {"citationItems":[{"id":"ITEM-1","itemData":{"DOI":"10.1073/pnas.1713957115","ISBN":"1091-6490 (Electronic) 0027-8424 (Linking)","ISSN":"0027-8424","PMID":"29259116","abstract":"Understanding how decidual CD8+ T cell (CD8+ dT) cytotoxicity is regulated and how these cells integrate the competing needs for maternal-fetal tolerance and immunity to infection is an important research and clinical goal. Gene-expression analysis of effector-memory CD8+ dT demonstrated a mixed transcriptional signature of T cell dysfunction, activation, and effector function. High protein expression of coinhibitory molecules PD1, CTLA4, and LAG3, accompanied by low expression of cytolytic molecules suggests that the decidual microenvironment reduces CD8+ dT effector responses to maintain tolerance to fetal antigens. However, CD8+ dT degranulated, proliferated, and produced IFN-γ, TNF-α, perforin, and granzymes upon in vitro stimulation, demonstrating that CD8+ dT are not permanently suppressed and retain the capacity to respond to proinflammatory events, such as infections. The balance between transient dysfunction of CD8+ dT that are permissive of placental and fetal development, and reversal of this dysfunctional state, is crucial in understanding the etiology of pregnancy complications and prevention of congenital infections.","author":[{"dropping-particle":"","family":"Zwan","given":"Anita","non-dropping-particle":"van der","parse-names":false,"suffix":""},{"dropping-particle":"","family":"Bi","given":"Kevin","non-dropping-particle":"","parse-names":false,"suffix":""},{"dropping-particle":"","family":"Norwitz","given":"Errol R.","non-dropping-particle":"","parse-names":false,"suffix":""},{"dropping-particle":"","family":"Crespo","given":"Ângela C.","non-dropping-particle":"","parse-names":false,"suffix":""},{"dropping-particle":"","family":"Claas","given":"Frans H. J.","non-dropping-particle":"","parse-names":false,"suffix":""},{"dropping-particle":"","family":"Strominger","given":"Jack L.","non-dropping-particle":"","parse-names":false,"suffix":""},{"dropping-particle":"","family":"Tilburgs","given":"Tamara","non-dropping-particle":"","parse-names":false,"suffix":""}],"container-title":"Proceedings of the National Academy of Sciences","id":"ITEM-1","issue":"2","issued":{"date-parts":[["2018"]]},"page":"201713957","title":"Mixed signature of activation and dysfunction allows human decidual CD8 + T cells to provide both tolerance and immunity","type":"article-journal","volume":"115"},"uris":["http://www.mendeley.com/documents/?uuid=63fce5dd-5ebe-4249-8e32-ac192f0abdfa"]},{"id":"ITEM-2","itemData":{"DOI":"10.4049/jimmunol.0903597","author":[{"dropping-particle":"","family":"Tilburgs","given":"Tamara","non-dropping-particle":"","parse-names":false,"suffix":""},{"dropping-particle":"","family":"Schonkeren","given":"Dorrith","non-dropping-particle":"","parse-names":false,"suffix":""},{"dropping-particle":"","family":"Eikmans","given":"Michael","non-dropping-particle":"","parse-names":false,"suffix":""},{"dropping-particle":"","family":"Nagtzaam","given":"Nicole M","non-dropping-particle":"","parse-names":false,"suffix":""},{"dropping-particle":"","family":"Datema","given":"Gert","non-dropping-particle":"","parse-names":false,"suffix":""},{"dropping-particle":"","family":"Swings","given":"Godelieve M","non-dropping-particle":"","parse-names":false,"suffix":""},{"dropping-particle":"","family":"Prins","given":"Frans","non-dropping-particle":"","parse-names":false,"suffix":""},{"dropping-particle":"Van","family":"Lith","given":"Jan M","non-dropping-particle":"","parse-names":false,"suffix":""},{"dropping-particle":"Van Der","family":"Mast","given":"Barbara J","non-dropping-particle":"","parse-names":false,"suffix":""},{"dropping-particle":"","family":"Roelen","given":"L","non-dropping-particle":"","parse-names":false,"suffix":""},{"dropping-particle":"","family":"Scherjon","given":"Sicco A","non-dropping-particle":"","parse-names":false,"suffix":""},{"dropping-particle":"","family":"Claas","given":"Frans H","non-dropping-particle":"","parse-names":false,"suffix":""}],"id":"ITEM-2","issued":{"date-parts":[["2010"]]},"title":"Human Decidual Tissue Contains Differentiated CD8 + Effector-Memory T Cells with Unique Properties","type":"article-journal"},"uris":["http://www.mendeley.com/documents/?uuid=5d4fde8a-4839-47ce-a9a5-906a60ed4ab5"]}],"mendeley":{"formattedCitation":"(4,7)","plainTextFormattedCitation":"(4,7)","previouslyFormattedCitation":"(4,7)"},"properties":{"noteIndex":0},"schema":"https://github.com/citation-style-language/schema/raw/master/csl-citation.json"}</w:instrText>
            </w:r>
            <w:r w:rsidR="005421A9">
              <w:rPr>
                <w:rFonts w:ascii="Arial" w:hAnsi="Arial" w:cs="Arial"/>
                <w:sz w:val="21"/>
                <w:szCs w:val="21"/>
              </w:rPr>
              <w:fldChar w:fldCharType="separate"/>
            </w:r>
            <w:r w:rsidR="003E2B8F" w:rsidRPr="003E2B8F">
              <w:rPr>
                <w:rFonts w:ascii="Arial" w:hAnsi="Arial" w:cs="Arial"/>
                <w:noProof/>
                <w:sz w:val="21"/>
                <w:szCs w:val="21"/>
              </w:rPr>
              <w:t>(4,7)</w:t>
            </w:r>
            <w:r w:rsidR="005421A9">
              <w:rPr>
                <w:rFonts w:ascii="Arial" w:hAnsi="Arial" w:cs="Arial"/>
                <w:sz w:val="21"/>
                <w:szCs w:val="21"/>
              </w:rPr>
              <w:fldChar w:fldCharType="end"/>
            </w:r>
          </w:p>
        </w:tc>
        <w:tc>
          <w:tcPr>
            <w:tcW w:w="1559" w:type="dxa"/>
            <w:tcBorders>
              <w:top w:val="single" w:sz="4" w:space="0" w:color="000000"/>
              <w:left w:val="single" w:sz="6" w:space="0" w:color="000000"/>
              <w:bottom w:val="single" w:sz="4" w:space="0" w:color="000000"/>
              <w:right w:val="single" w:sz="6" w:space="0" w:color="000000"/>
            </w:tcBorders>
            <w:shd w:val="clear" w:color="auto" w:fill="auto"/>
            <w:tcMar>
              <w:top w:w="80" w:type="dxa"/>
              <w:left w:w="80" w:type="dxa"/>
              <w:bottom w:w="80" w:type="dxa"/>
              <w:right w:w="80" w:type="dxa"/>
            </w:tcMar>
          </w:tcPr>
          <w:p w14:paraId="56C48BEE" w14:textId="070F0945" w:rsidR="005A6C72" w:rsidRPr="0070621F" w:rsidRDefault="005A6C72" w:rsidP="008B657F">
            <w:pPr>
              <w:pStyle w:val="Body"/>
              <w:jc w:val="center"/>
              <w:rPr>
                <w:rFonts w:ascii="Arial" w:hAnsi="Arial" w:cs="Arial"/>
              </w:rPr>
            </w:pPr>
            <w:r w:rsidRPr="0070621F">
              <w:rPr>
                <w:rFonts w:ascii="Arial" w:hAnsi="Arial" w:cs="Arial"/>
                <w:sz w:val="21"/>
                <w:szCs w:val="21"/>
              </w:rPr>
              <w:t>+</w:t>
            </w:r>
            <w:r w:rsidRPr="0070621F">
              <w:rPr>
                <w:rFonts w:ascii="Arial" w:hAnsi="Arial" w:cs="Arial"/>
                <w:sz w:val="21"/>
                <w:szCs w:val="21"/>
                <w:lang w:val="de-DE"/>
              </w:rPr>
              <w:t>PD1</w:t>
            </w:r>
            <w:r w:rsidRPr="0070621F">
              <w:rPr>
                <w:rFonts w:ascii="Arial" w:hAnsi="Arial" w:cs="Arial"/>
                <w:sz w:val="21"/>
                <w:szCs w:val="21"/>
                <w:vertAlign w:val="superscript"/>
              </w:rPr>
              <w:t>+</w:t>
            </w:r>
            <w:r w:rsidRPr="0070621F">
              <w:rPr>
                <w:rFonts w:ascii="Arial" w:hAnsi="Arial" w:cs="Arial"/>
                <w:sz w:val="21"/>
                <w:szCs w:val="21"/>
              </w:rPr>
              <w:t>Tim3</w:t>
            </w:r>
            <w:r w:rsidRPr="0070621F">
              <w:rPr>
                <w:rFonts w:ascii="Arial" w:hAnsi="Arial" w:cs="Arial"/>
                <w:sz w:val="21"/>
                <w:szCs w:val="21"/>
                <w:vertAlign w:val="superscript"/>
              </w:rPr>
              <w:t>+</w:t>
            </w:r>
            <w:r w:rsidRPr="0070621F">
              <w:rPr>
                <w:rFonts w:ascii="Arial" w:hAnsi="Arial" w:cs="Arial"/>
                <w:sz w:val="21"/>
                <w:szCs w:val="21"/>
              </w:rPr>
              <w:t xml:space="preserve"> </w:t>
            </w:r>
            <w:r w:rsidRPr="0070621F">
              <w:rPr>
                <w:rFonts w:ascii="Arial" w:eastAsia="Calibri" w:hAnsi="Arial" w:cs="Arial"/>
                <w:sz w:val="21"/>
                <w:szCs w:val="21"/>
              </w:rPr>
              <w:br/>
            </w:r>
            <w:r w:rsidR="005421A9">
              <w:rPr>
                <w:rFonts w:ascii="Arial" w:hAnsi="Arial" w:cs="Arial"/>
                <w:sz w:val="21"/>
                <w:szCs w:val="21"/>
              </w:rPr>
              <w:fldChar w:fldCharType="begin" w:fldLock="1"/>
            </w:r>
            <w:r w:rsidR="008B657F">
              <w:rPr>
                <w:rFonts w:ascii="Arial" w:hAnsi="Arial" w:cs="Arial"/>
                <w:sz w:val="21"/>
                <w:szCs w:val="21"/>
              </w:rPr>
              <w:instrText>ADDIN CSL_CITATION {"citationItems":[{"id":"ITEM-1","itemData":{"DOI":"10.1038/cddis.2015.112","ISBN":"2041-4889 (Electronic)","ISSN":"20414889","PMID":"25950468","abstract":"CD8(+) T cells are critical in the balance between fetal tolerance and antiviral immunity. T-cell immunoglobulin mucin-3 (Tim-3) and programmed cell death-1 (PD-1) are important negative immune regulatory molecules involved in viral persistence and tumor metastasis. Here, we demonstrate that Tim-3(+)PD-1(+)CD8(+) T cells from decidua greatly outnumbered those from peripheral blood during human early pregnancy. Co-culture of trophoblasts with CD8(+) T cells upregulated PD-1(+) and/or Tim-3(+) immune cells. Furthermore, the population of CD8(+) T cells co-expressing PD-1 and Tim-3 was enriched within the intermediate memory subset in decidua. This population exhibited high proliferative activity and Th2-type cytokine producing capacity. Blockade of Tim-3 and PD-1 resulted in decreased in vitro proliferation and Th2-type cytokine production while increased trophoblast killing and IFN-γ producing capacities of CD8(+) T cells. Pregnant CBA/J females challenged with Tim-3 and/or PD-1 blocking antibodies were more susceptible to fetal loss, which was associated with CD8(+) T-cell dysfunction. Importantly, the number and function of Tim-3(+)PD-1(+)CD8(+) T cells in decidua were significantly impaired in miscarriage. These findings underline the important roles of Tim-3 and PD-1 pathways in regulating decidual CD8(+) T-cell function and maintaining normal pregnancy.","author":[{"dropping-particle":"","family":"Wang","given":"S. C.","non-dropping-particle":"","parse-names":false,"suffix":""},{"dropping-particle":"","family":"Li","given":"Y. H.","non-dropping-particle":"","parse-names":false,"suffix":""},{"dropping-particle":"","family":"Piao","given":"H. L.","non-dropping-particle":"","parse-names":false,"suffix":""},{"dropping-particle":"","family":"Hong","given":"X. W.","non-dropping-particle":"","parse-names":false,"suffix":""},{"dropping-particle":"","family":"Zhang","given":"D.","non-dropping-particle":"","parse-names":false,"suffix":""},{"dropping-particle":"","family":"Xu","given":"Y. Y.","non-dropping-particle":"","parse-names":false,"suffix":""},{"dropping-particle":"","family":"Tao","given":"Y.","non-dropping-particle":"","parse-names":false,"suffix":""},{"dropping-particle":"","family":"Wang","given":"Y.","non-dropping-particle":"","parse-names":false,"suffix":""},{"dropping-particle":"","family":"Yuan","given":"M. M.","non-dropping-particle":"","parse-names":false,"suffix":""},{"dropping-particle":"","family":"Li","given":"D. J.","non-dropping-particle":"","parse-names":false,"suffix":""},{"dropping-particle":"","family":"Du","given":"M. R.","non-dropping-particle":"","parse-names":false,"suffix":""}],"container-title":"Cell Death and Disease","id":"ITEM-1","issue":"5","issued":{"date-parts":[["2015"]]},"page":"1-10","title":"PD-1 and Tim-3 pathways are associated with regulatory CD8+ T-cell function in decidua and maintenance of normal pregnancy","type":"article-journal","volume":"6"},"uris":["http://www.mendeley.com/documents/?uuid=5c318b04-594b-4321-8826-9480dfe9437b"]}],"mendeley":{"formattedCitation":"(3)","plainTextFormattedCitation":"(3)","previouslyFormattedCitation":"(3)"},"properties":{"noteIndex":0},"schema":"https://github.com/citation-style-language/schema/raw/master/csl-citation.json"}</w:instrText>
            </w:r>
            <w:r w:rsidR="005421A9">
              <w:rPr>
                <w:rFonts w:ascii="Arial" w:hAnsi="Arial" w:cs="Arial"/>
                <w:sz w:val="21"/>
                <w:szCs w:val="21"/>
              </w:rPr>
              <w:fldChar w:fldCharType="separate"/>
            </w:r>
            <w:r w:rsidR="003E2B8F" w:rsidRPr="003E2B8F">
              <w:rPr>
                <w:rFonts w:ascii="Arial" w:hAnsi="Arial" w:cs="Arial"/>
                <w:noProof/>
                <w:sz w:val="21"/>
                <w:szCs w:val="21"/>
              </w:rPr>
              <w:t>(3)</w:t>
            </w:r>
            <w:r w:rsidR="005421A9">
              <w:rPr>
                <w:rFonts w:ascii="Arial" w:hAnsi="Arial" w:cs="Arial"/>
                <w:sz w:val="21"/>
                <w:szCs w:val="21"/>
              </w:rPr>
              <w:fldChar w:fldCharType="end"/>
            </w:r>
          </w:p>
        </w:tc>
        <w:tc>
          <w:tcPr>
            <w:tcW w:w="1473" w:type="dxa"/>
            <w:tcBorders>
              <w:top w:val="single" w:sz="4" w:space="0" w:color="000000"/>
              <w:left w:val="single" w:sz="6" w:space="0" w:color="000000"/>
              <w:bottom w:val="single" w:sz="4" w:space="0" w:color="000000"/>
              <w:right w:val="single" w:sz="6" w:space="0" w:color="000000"/>
            </w:tcBorders>
            <w:shd w:val="clear" w:color="auto" w:fill="auto"/>
            <w:tcMar>
              <w:top w:w="80" w:type="dxa"/>
              <w:left w:w="80" w:type="dxa"/>
              <w:bottom w:w="80" w:type="dxa"/>
              <w:right w:w="80" w:type="dxa"/>
            </w:tcMar>
          </w:tcPr>
          <w:p w14:paraId="4D39064C" w14:textId="1DA4440D" w:rsidR="005A6C72" w:rsidRPr="0070621F" w:rsidRDefault="002B79C2" w:rsidP="008B657F">
            <w:pPr>
              <w:spacing w:line="240" w:lineRule="auto"/>
              <w:rPr>
                <w:rFonts w:ascii="Arial" w:hAnsi="Arial" w:cs="Arial"/>
              </w:rPr>
            </w:pPr>
            <w:r>
              <w:rPr>
                <w:rFonts w:ascii="Arial" w:hAnsi="Arial" w:cs="Arial"/>
              </w:rPr>
              <w:t>N/D</w:t>
            </w:r>
          </w:p>
        </w:tc>
      </w:tr>
    </w:tbl>
    <w:p w14:paraId="6D75A252" w14:textId="277BA91E" w:rsidR="005A6C72" w:rsidRPr="0070621F" w:rsidRDefault="00AA2A9C" w:rsidP="009D45B0">
      <w:pPr>
        <w:pStyle w:val="Body"/>
        <w:spacing w:line="360" w:lineRule="auto"/>
        <w:rPr>
          <w:rFonts w:ascii="Arial" w:hAnsi="Arial" w:cs="Arial"/>
          <w:b/>
          <w:bCs/>
          <w:lang w:val="is-IS"/>
        </w:rPr>
      </w:pPr>
      <w:r w:rsidRPr="009D45B0">
        <w:rPr>
          <w:rFonts w:ascii="Arial" w:hAnsi="Arial" w:cs="Arial"/>
          <w:b/>
          <w:bCs/>
          <w:sz w:val="20"/>
          <w:szCs w:val="20"/>
          <w:lang w:val="is-IS"/>
        </w:rPr>
        <w:t>Supplementary Table 2.</w:t>
      </w:r>
      <w:r w:rsidRPr="009D45B0">
        <w:rPr>
          <w:rFonts w:ascii="Arial" w:hAnsi="Arial" w:cs="Arial"/>
          <w:b/>
          <w:sz w:val="20"/>
          <w:szCs w:val="20"/>
        </w:rPr>
        <w:t xml:space="preserve"> CD8+ </w:t>
      </w:r>
      <w:r w:rsidRPr="009D45B0">
        <w:rPr>
          <w:rFonts w:ascii="Arial" w:hAnsi="Arial" w:cs="Arial"/>
          <w:b/>
          <w:sz w:val="20"/>
          <w:szCs w:val="20"/>
          <w:lang w:val="en-GB"/>
        </w:rPr>
        <w:t>naive cells</w:t>
      </w:r>
      <w:r w:rsidRPr="009D45B0">
        <w:rPr>
          <w:rFonts w:ascii="Arial" w:hAnsi="Arial" w:cs="Arial"/>
          <w:b/>
          <w:sz w:val="20"/>
          <w:szCs w:val="20"/>
        </w:rPr>
        <w:t xml:space="preserve"> in human decidua</w:t>
      </w:r>
    </w:p>
    <w:p w14:paraId="11066CAD" w14:textId="3814D6A7" w:rsidR="00AA2A9C" w:rsidRPr="00190BBB" w:rsidRDefault="00AA2A9C" w:rsidP="00AA2A9C">
      <w:pPr>
        <w:pStyle w:val="Body"/>
        <w:spacing w:line="276" w:lineRule="auto"/>
        <w:jc w:val="both"/>
        <w:rPr>
          <w:rFonts w:ascii="Arial" w:hAnsi="Arial" w:cs="Arial"/>
          <w:color w:val="000000" w:themeColor="text1"/>
          <w:sz w:val="20"/>
          <w:szCs w:val="20"/>
          <w:u w:color="FF00FF"/>
          <w:lang w:val="is-IS"/>
        </w:rPr>
      </w:pPr>
      <w:r w:rsidRPr="00190BBB">
        <w:rPr>
          <w:rFonts w:ascii="Arial" w:hAnsi="Arial" w:cs="Arial"/>
          <w:color w:val="000000" w:themeColor="text1"/>
          <w:sz w:val="20"/>
          <w:szCs w:val="20"/>
          <w:lang w:val="en-US"/>
        </w:rPr>
        <w:t xml:space="preserve">The data is based on published flow cytometry analysis using markers CD45RA and CCR7 as well as inhibitory markers and cytokine expression </w:t>
      </w:r>
      <w:r w:rsidR="00190BBB" w:rsidRPr="00190BBB">
        <w:rPr>
          <w:rFonts w:ascii="Arial" w:hAnsi="Arial" w:cs="Arial"/>
          <w:bCs/>
          <w:color w:val="000000" w:themeColor="text1"/>
          <w:sz w:val="20"/>
          <w:szCs w:val="20"/>
          <w:lang w:val="en-GB"/>
        </w:rPr>
        <w:t>Black</w:t>
      </w:r>
      <w:r w:rsidR="00190BBB" w:rsidRPr="00190BBB">
        <w:rPr>
          <w:rFonts w:ascii="Arial" w:hAnsi="Arial" w:cs="Arial"/>
          <w:color w:val="000000" w:themeColor="text1"/>
          <w:sz w:val="20"/>
          <w:szCs w:val="20"/>
          <w:lang w:val="en-US"/>
        </w:rPr>
        <w:t xml:space="preserve"> symbols </w:t>
      </w:r>
      <w:r w:rsidR="00190BBB" w:rsidRPr="00190BBB">
        <w:rPr>
          <w:rFonts w:ascii="Arial" w:hAnsi="Arial" w:cs="Arial"/>
          <w:b/>
          <w:bCs/>
          <w:color w:val="000000" w:themeColor="text1"/>
          <w:sz w:val="20"/>
          <w:szCs w:val="20"/>
          <w:u w:color="FF00FF"/>
        </w:rPr>
        <w:t>↑</w:t>
      </w:r>
      <w:r w:rsidR="00190BBB" w:rsidRPr="00190BBB">
        <w:rPr>
          <w:rFonts w:ascii="Arial" w:hAnsi="Arial" w:cs="Arial"/>
          <w:bCs/>
          <w:color w:val="000000" w:themeColor="text1"/>
          <w:sz w:val="20"/>
          <w:szCs w:val="20"/>
          <w:u w:color="FF00FF"/>
          <w:lang w:val="is-IS"/>
        </w:rPr>
        <w:t xml:space="preserve">, </w:t>
      </w:r>
      <w:r w:rsidR="00190BBB" w:rsidRPr="00190BBB">
        <w:rPr>
          <w:rFonts w:ascii="Arial" w:hAnsi="Arial" w:cs="Arial"/>
          <w:b/>
          <w:bCs/>
          <w:color w:val="000000" w:themeColor="text1"/>
          <w:sz w:val="20"/>
          <w:szCs w:val="20"/>
          <w:u w:color="FF00FF"/>
        </w:rPr>
        <w:t>↓</w:t>
      </w:r>
      <w:r w:rsidR="00190BBB" w:rsidRPr="00190BBB">
        <w:rPr>
          <w:rFonts w:ascii="Arial" w:hAnsi="Arial" w:cs="Arial"/>
          <w:b/>
          <w:bCs/>
          <w:color w:val="000000" w:themeColor="text1"/>
          <w:sz w:val="20"/>
          <w:szCs w:val="20"/>
          <w:u w:color="FF00FF"/>
          <w:lang w:val="en-GB"/>
        </w:rPr>
        <w:t xml:space="preserve">, </w:t>
      </w:r>
      <w:r w:rsidR="00190BBB" w:rsidRPr="00190BBB">
        <w:rPr>
          <w:rFonts w:ascii="Arial" w:hAnsi="Arial" w:cs="Arial"/>
          <w:bCs/>
          <w:color w:val="000000" w:themeColor="text1"/>
          <w:sz w:val="20"/>
          <w:szCs w:val="20"/>
        </w:rPr>
        <w:t xml:space="preserve">and </w:t>
      </w:r>
      <w:r w:rsidR="00190BBB" w:rsidRPr="00190BBB">
        <w:rPr>
          <w:rFonts w:ascii="Arial" w:hAnsi="Arial" w:cs="Arial"/>
          <w:b/>
          <w:bCs/>
          <w:color w:val="000000" w:themeColor="text1"/>
          <w:sz w:val="20"/>
          <w:szCs w:val="20"/>
        </w:rPr>
        <w:t>=</w:t>
      </w:r>
      <w:r w:rsidR="00190BBB" w:rsidRPr="00190BBB">
        <w:rPr>
          <w:rFonts w:ascii="Arial" w:hAnsi="Arial" w:cs="Arial"/>
          <w:bCs/>
          <w:color w:val="000000" w:themeColor="text1"/>
          <w:sz w:val="20"/>
          <w:szCs w:val="20"/>
        </w:rPr>
        <w:t xml:space="preserve"> </w:t>
      </w:r>
      <w:r w:rsidR="00190BBB" w:rsidRPr="00190BBB">
        <w:rPr>
          <w:rFonts w:ascii="Arial" w:hAnsi="Arial" w:cs="Arial"/>
          <w:bCs/>
          <w:color w:val="000000" w:themeColor="text1"/>
          <w:sz w:val="20"/>
          <w:szCs w:val="20"/>
          <w:lang w:val="en-GB"/>
        </w:rPr>
        <w:t>indicate</w:t>
      </w:r>
      <w:r w:rsidR="00190BBB" w:rsidRPr="00190BBB">
        <w:rPr>
          <w:rFonts w:ascii="Arial" w:hAnsi="Arial" w:cs="Arial"/>
          <w:b/>
          <w:bCs/>
          <w:color w:val="000000" w:themeColor="text1"/>
          <w:sz w:val="20"/>
          <w:szCs w:val="20"/>
          <w:u w:color="FF00FF"/>
        </w:rPr>
        <w:t xml:space="preserve"> </w:t>
      </w:r>
      <w:r w:rsidR="00190BBB" w:rsidRPr="00190BBB">
        <w:rPr>
          <w:rFonts w:ascii="Arial" w:hAnsi="Arial" w:cs="Arial"/>
          <w:color w:val="000000" w:themeColor="text1"/>
          <w:sz w:val="20"/>
          <w:szCs w:val="20"/>
          <w:lang w:val="en-US"/>
        </w:rPr>
        <w:t xml:space="preserve">significantly higher, </w:t>
      </w:r>
      <w:proofErr w:type="gramStart"/>
      <w:r w:rsidR="00190BBB" w:rsidRPr="00190BBB">
        <w:rPr>
          <w:rFonts w:ascii="Arial" w:hAnsi="Arial" w:cs="Arial"/>
          <w:color w:val="000000" w:themeColor="text1"/>
          <w:sz w:val="20"/>
          <w:szCs w:val="20"/>
          <w:lang w:val="en-US"/>
        </w:rPr>
        <w:t>lower</w:t>
      </w:r>
      <w:proofErr w:type="gramEnd"/>
      <w:r w:rsidR="00190BBB" w:rsidRPr="00190BBB">
        <w:rPr>
          <w:rFonts w:ascii="Arial" w:hAnsi="Arial" w:cs="Arial"/>
          <w:color w:val="000000" w:themeColor="text1"/>
          <w:sz w:val="20"/>
          <w:szCs w:val="20"/>
          <w:lang w:val="en-US"/>
        </w:rPr>
        <w:t xml:space="preserve"> or not significantly different compared to CD8+ T cells in peripheral blood. </w:t>
      </w:r>
      <w:r w:rsidR="00190BBB" w:rsidRPr="00190BBB">
        <w:rPr>
          <w:rFonts w:ascii="Arial" w:hAnsi="Arial" w:cs="Arial"/>
          <w:b/>
          <w:bCs/>
          <w:color w:val="000000" w:themeColor="text1"/>
          <w:sz w:val="20"/>
          <w:szCs w:val="20"/>
        </w:rPr>
        <w:t xml:space="preserve">- </w:t>
      </w:r>
      <w:r w:rsidR="00190BBB" w:rsidRPr="00190BBB">
        <w:rPr>
          <w:rFonts w:ascii="Arial" w:hAnsi="Arial" w:cs="Arial"/>
          <w:color w:val="000000" w:themeColor="text1"/>
          <w:sz w:val="20"/>
          <w:szCs w:val="20"/>
          <w:lang w:val="en-US"/>
        </w:rPr>
        <w:t xml:space="preserve">very low (0-5%);  </w:t>
      </w:r>
      <w:r w:rsidR="00190BBB" w:rsidRPr="00190BBB">
        <w:rPr>
          <w:rFonts w:ascii="Arial" w:hAnsi="Arial" w:cs="Arial"/>
          <w:color w:val="000000" w:themeColor="text1"/>
          <w:sz w:val="20"/>
          <w:szCs w:val="20"/>
        </w:rPr>
        <w:t>+</w:t>
      </w:r>
      <w:r w:rsidR="00190BBB" w:rsidRPr="00190BBB">
        <w:rPr>
          <w:rFonts w:ascii="Arial" w:hAnsi="Arial" w:cs="Arial"/>
          <w:color w:val="000000" w:themeColor="text1"/>
          <w:sz w:val="20"/>
          <w:szCs w:val="20"/>
          <w:lang w:val="en-US"/>
        </w:rPr>
        <w:t xml:space="preserve"> low: 6-20%;  </w:t>
      </w:r>
      <w:r w:rsidR="00190BBB" w:rsidRPr="00190BBB">
        <w:rPr>
          <w:rFonts w:ascii="Arial" w:hAnsi="Arial" w:cs="Arial"/>
          <w:color w:val="000000" w:themeColor="text1"/>
          <w:sz w:val="20"/>
          <w:szCs w:val="20"/>
        </w:rPr>
        <w:t>++</w:t>
      </w:r>
      <w:r w:rsidR="00190BBB" w:rsidRPr="00190BBB">
        <w:rPr>
          <w:rFonts w:ascii="Arial" w:hAnsi="Arial" w:cs="Arial"/>
          <w:color w:val="000000" w:themeColor="text1"/>
          <w:sz w:val="20"/>
          <w:szCs w:val="20"/>
          <w:lang w:val="en-US"/>
        </w:rPr>
        <w:t xml:space="preserve"> high: 21-55 %; </w:t>
      </w:r>
      <w:r w:rsidR="00190BBB" w:rsidRPr="00190BBB">
        <w:rPr>
          <w:rFonts w:ascii="Arial" w:hAnsi="Arial" w:cs="Arial"/>
          <w:color w:val="000000" w:themeColor="text1"/>
          <w:sz w:val="20"/>
          <w:szCs w:val="20"/>
        </w:rPr>
        <w:t>+++</w:t>
      </w:r>
      <w:r w:rsidR="00190BBB" w:rsidRPr="00190BBB">
        <w:rPr>
          <w:rFonts w:ascii="Arial" w:hAnsi="Arial" w:cs="Arial"/>
          <w:b/>
          <w:bCs/>
          <w:color w:val="000000" w:themeColor="text1"/>
          <w:sz w:val="20"/>
          <w:szCs w:val="20"/>
        </w:rPr>
        <w:t xml:space="preserve"> </w:t>
      </w:r>
      <w:r w:rsidR="00190BBB" w:rsidRPr="00190BBB">
        <w:rPr>
          <w:rFonts w:ascii="Arial" w:hAnsi="Arial" w:cs="Arial"/>
          <w:color w:val="000000" w:themeColor="text1"/>
          <w:sz w:val="20"/>
          <w:szCs w:val="20"/>
          <w:lang w:val="en-US"/>
        </w:rPr>
        <w:t>very high &gt;56 % of the reference population. The symbol “/” represents diverging values. N/D: data not determined</w:t>
      </w:r>
      <w:r w:rsidRPr="00190BBB">
        <w:rPr>
          <w:rFonts w:ascii="Arial" w:hAnsi="Arial" w:cs="Arial"/>
          <w:color w:val="000000" w:themeColor="text1"/>
          <w:sz w:val="20"/>
          <w:szCs w:val="20"/>
          <w:lang w:val="en-US"/>
        </w:rPr>
        <w:t>. Low in subscript refers to a low mean fluorescence intensity by flow cytometry.</w:t>
      </w:r>
      <w:r w:rsidRPr="00190BBB">
        <w:rPr>
          <w:rFonts w:ascii="Arial" w:eastAsia="Cambria" w:hAnsi="Arial" w:cs="Arial"/>
          <w:color w:val="000000" w:themeColor="text1"/>
          <w:sz w:val="20"/>
          <w:szCs w:val="20"/>
          <w:lang w:val="is-IS"/>
        </w:rPr>
        <w:t xml:space="preserve"> </w:t>
      </w:r>
      <w:r w:rsidRPr="00190BBB">
        <w:rPr>
          <w:rFonts w:ascii="Arial" w:hAnsi="Arial" w:cs="Arial"/>
          <w:color w:val="000000" w:themeColor="text1"/>
          <w:sz w:val="20"/>
          <w:szCs w:val="20"/>
          <w:u w:color="FF00FF"/>
          <w:lang w:val="is-IS"/>
        </w:rPr>
        <w:t>Cytokine secretion/cytoxicity  was measured following PMA/Iomycin stimulation except those marked with „*“. PRF: perforin-1; GrzB: granzyme B.</w:t>
      </w:r>
    </w:p>
    <w:p w14:paraId="54E1038C" w14:textId="77777777" w:rsidR="005A6C72" w:rsidRPr="0070621F" w:rsidRDefault="005A6C72" w:rsidP="005A6C72">
      <w:pPr>
        <w:pStyle w:val="Body"/>
        <w:spacing w:line="360" w:lineRule="auto"/>
        <w:jc w:val="both"/>
        <w:rPr>
          <w:rFonts w:ascii="Arial" w:eastAsia="Arial" w:hAnsi="Arial" w:cs="Arial"/>
          <w:sz w:val="22"/>
          <w:szCs w:val="22"/>
        </w:rPr>
      </w:pPr>
    </w:p>
    <w:p w14:paraId="5751F118" w14:textId="6FC689C4" w:rsidR="005A6C72" w:rsidRPr="00B171D4" w:rsidRDefault="005A6C72" w:rsidP="005A6C72">
      <w:pPr>
        <w:pStyle w:val="Body"/>
        <w:spacing w:line="360" w:lineRule="auto"/>
        <w:jc w:val="both"/>
        <w:rPr>
          <w:rFonts w:ascii="Arial" w:hAnsi="Arial" w:cs="Arial"/>
          <w:sz w:val="20"/>
          <w:szCs w:val="20"/>
          <w:lang w:val="en-US"/>
        </w:rPr>
      </w:pPr>
      <w:r w:rsidRPr="00B171D4">
        <w:rPr>
          <w:rFonts w:ascii="Arial" w:hAnsi="Arial" w:cs="Arial"/>
          <w:b/>
          <w:sz w:val="20"/>
          <w:szCs w:val="20"/>
          <w:lang w:val="en-US"/>
        </w:rPr>
        <w:t xml:space="preserve">Suppl. Table </w:t>
      </w:r>
      <w:r w:rsidR="0070621F" w:rsidRPr="00B171D4">
        <w:rPr>
          <w:rFonts w:ascii="Arial" w:hAnsi="Arial" w:cs="Arial"/>
          <w:b/>
          <w:sz w:val="20"/>
          <w:szCs w:val="20"/>
          <w:lang w:val="en-US"/>
        </w:rPr>
        <w:t>3</w:t>
      </w:r>
      <w:r w:rsidRPr="00B171D4">
        <w:rPr>
          <w:rFonts w:ascii="Arial" w:hAnsi="Arial" w:cs="Arial"/>
          <w:b/>
          <w:sz w:val="20"/>
          <w:szCs w:val="20"/>
          <w:lang w:val="en-US"/>
        </w:rPr>
        <w:t xml:space="preserve">. CD8 T cell inhibitory receptors and their ligands at the </w:t>
      </w:r>
      <w:proofErr w:type="spellStart"/>
      <w:r w:rsidRPr="00B171D4">
        <w:rPr>
          <w:rFonts w:ascii="Arial" w:hAnsi="Arial" w:cs="Arial"/>
          <w:b/>
          <w:sz w:val="20"/>
          <w:szCs w:val="20"/>
          <w:lang w:val="en-US"/>
        </w:rPr>
        <w:t>feto</w:t>
      </w:r>
      <w:proofErr w:type="spellEnd"/>
      <w:r w:rsidRPr="00B171D4">
        <w:rPr>
          <w:rFonts w:ascii="Arial" w:hAnsi="Arial" w:cs="Arial"/>
          <w:b/>
          <w:sz w:val="20"/>
          <w:szCs w:val="20"/>
          <w:lang w:val="en-US"/>
        </w:rPr>
        <w:t>-maternal interface</w:t>
      </w:r>
      <w:r w:rsidRPr="00B171D4">
        <w:rPr>
          <w:rFonts w:ascii="Arial" w:hAnsi="Arial" w:cs="Arial"/>
          <w:sz w:val="20"/>
          <w:szCs w:val="20"/>
          <w:lang w:val="en-US"/>
        </w:rPr>
        <w:t xml:space="preserve">. </w:t>
      </w:r>
    </w:p>
    <w:tbl>
      <w:tblPr>
        <w:tblW w:w="938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596"/>
        <w:gridCol w:w="1276"/>
        <w:gridCol w:w="992"/>
        <w:gridCol w:w="992"/>
        <w:gridCol w:w="709"/>
        <w:gridCol w:w="992"/>
        <w:gridCol w:w="993"/>
        <w:gridCol w:w="708"/>
        <w:gridCol w:w="851"/>
        <w:gridCol w:w="1276"/>
      </w:tblGrid>
      <w:tr w:rsidR="005A6C72" w:rsidRPr="0070621F" w14:paraId="72EE39EB" w14:textId="77777777" w:rsidTr="00B171D4">
        <w:trPr>
          <w:trHeight w:val="236"/>
        </w:trPr>
        <w:tc>
          <w:tcPr>
            <w:tcW w:w="1872" w:type="dxa"/>
            <w:gridSpan w:val="2"/>
            <w:tcBorders>
              <w:top w:val="single" w:sz="4" w:space="0" w:color="000000"/>
              <w:left w:val="single" w:sz="4" w:space="0" w:color="000000"/>
              <w:bottom w:val="single" w:sz="4" w:space="0" w:color="000000"/>
              <w:right w:val="single" w:sz="4" w:space="0" w:color="000000"/>
            </w:tcBorders>
            <w:shd w:val="clear" w:color="auto" w:fill="BFBFBF"/>
          </w:tcPr>
          <w:p w14:paraId="7D9AFA62" w14:textId="77777777" w:rsidR="005A6C72" w:rsidRPr="0070621F" w:rsidRDefault="005A6C72" w:rsidP="000C407F">
            <w:pPr>
              <w:pStyle w:val="Body"/>
              <w:jc w:val="center"/>
              <w:rPr>
                <w:rFonts w:ascii="Arial" w:hAnsi="Arial" w:cs="Arial"/>
                <w:b/>
                <w:bCs/>
                <w:sz w:val="20"/>
                <w:szCs w:val="20"/>
              </w:rPr>
            </w:pPr>
            <w:r w:rsidRPr="0070621F">
              <w:rPr>
                <w:rFonts w:ascii="Arial" w:hAnsi="Arial" w:cs="Arial"/>
                <w:b/>
                <w:bCs/>
                <w:sz w:val="20"/>
                <w:szCs w:val="20"/>
                <w:lang w:val="en-US"/>
              </w:rPr>
              <w:t xml:space="preserve">Inhibitory </w:t>
            </w:r>
            <w:r w:rsidRPr="0070621F">
              <w:rPr>
                <w:rFonts w:ascii="Arial" w:hAnsi="Arial" w:cs="Arial"/>
                <w:b/>
                <w:bCs/>
                <w:sz w:val="20"/>
                <w:szCs w:val="20"/>
                <w:lang w:val="en-US"/>
              </w:rPr>
              <w:br/>
              <w:t>Receptor</w:t>
            </w:r>
          </w:p>
        </w:tc>
        <w:tc>
          <w:tcPr>
            <w:tcW w:w="992" w:type="dxa"/>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vAlign w:val="center"/>
          </w:tcPr>
          <w:p w14:paraId="3D848B8C" w14:textId="77777777" w:rsidR="005A6C72" w:rsidRPr="0070621F" w:rsidRDefault="005A6C72" w:rsidP="000C407F">
            <w:pPr>
              <w:pStyle w:val="Body"/>
              <w:jc w:val="center"/>
              <w:rPr>
                <w:rFonts w:ascii="Arial" w:hAnsi="Arial" w:cs="Arial"/>
                <w:b/>
                <w:bCs/>
                <w:sz w:val="20"/>
                <w:szCs w:val="20"/>
              </w:rPr>
            </w:pPr>
            <w:r w:rsidRPr="0070621F">
              <w:rPr>
                <w:rFonts w:ascii="Arial" w:hAnsi="Arial" w:cs="Arial"/>
                <w:b/>
                <w:bCs/>
                <w:sz w:val="20"/>
                <w:szCs w:val="20"/>
                <w:lang w:val="en-US"/>
              </w:rPr>
              <w:t>PD1</w:t>
            </w:r>
          </w:p>
        </w:tc>
        <w:tc>
          <w:tcPr>
            <w:tcW w:w="992" w:type="dxa"/>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vAlign w:val="center"/>
          </w:tcPr>
          <w:p w14:paraId="20EA3CC6" w14:textId="77777777" w:rsidR="005A6C72" w:rsidRPr="0070621F" w:rsidRDefault="005A6C72" w:rsidP="000C407F">
            <w:pPr>
              <w:pStyle w:val="Body"/>
              <w:jc w:val="center"/>
              <w:rPr>
                <w:rFonts w:ascii="Arial" w:hAnsi="Arial" w:cs="Arial"/>
                <w:b/>
                <w:bCs/>
                <w:sz w:val="20"/>
                <w:szCs w:val="20"/>
              </w:rPr>
            </w:pPr>
            <w:r w:rsidRPr="0070621F">
              <w:rPr>
                <w:rFonts w:ascii="Arial" w:hAnsi="Arial" w:cs="Arial"/>
                <w:b/>
                <w:bCs/>
                <w:sz w:val="20"/>
                <w:szCs w:val="20"/>
                <w:lang w:val="en-US"/>
              </w:rPr>
              <w:t>Tim3</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vAlign w:val="center"/>
          </w:tcPr>
          <w:p w14:paraId="552A3346" w14:textId="77777777" w:rsidR="005A6C72" w:rsidRPr="0070621F" w:rsidRDefault="005A6C72" w:rsidP="000C407F">
            <w:pPr>
              <w:pStyle w:val="Body"/>
              <w:jc w:val="center"/>
              <w:rPr>
                <w:rFonts w:ascii="Arial" w:hAnsi="Arial" w:cs="Arial"/>
                <w:b/>
                <w:bCs/>
                <w:sz w:val="20"/>
                <w:szCs w:val="20"/>
              </w:rPr>
            </w:pPr>
            <w:r w:rsidRPr="0070621F">
              <w:rPr>
                <w:rFonts w:ascii="Arial" w:hAnsi="Arial" w:cs="Arial"/>
                <w:b/>
                <w:bCs/>
                <w:sz w:val="20"/>
                <w:szCs w:val="20"/>
                <w:lang w:val="en-US"/>
              </w:rPr>
              <w:t>CTLA4</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vAlign w:val="center"/>
          </w:tcPr>
          <w:p w14:paraId="4EFDD8E0" w14:textId="77777777" w:rsidR="005A6C72" w:rsidRPr="0070621F" w:rsidRDefault="005A6C72" w:rsidP="000C407F">
            <w:pPr>
              <w:pStyle w:val="Body"/>
              <w:jc w:val="center"/>
              <w:rPr>
                <w:rFonts w:ascii="Arial" w:hAnsi="Arial" w:cs="Arial"/>
                <w:b/>
                <w:bCs/>
                <w:sz w:val="20"/>
                <w:szCs w:val="20"/>
              </w:rPr>
            </w:pPr>
            <w:r w:rsidRPr="0070621F">
              <w:rPr>
                <w:rFonts w:ascii="Arial" w:hAnsi="Arial" w:cs="Arial"/>
                <w:b/>
                <w:bCs/>
                <w:sz w:val="20"/>
                <w:szCs w:val="20"/>
                <w:lang w:val="en-US"/>
              </w:rPr>
              <w:t>LAG3</w:t>
            </w:r>
          </w:p>
        </w:tc>
        <w:tc>
          <w:tcPr>
            <w:tcW w:w="2127" w:type="dxa"/>
            <w:gridSpan w:val="2"/>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vAlign w:val="center"/>
          </w:tcPr>
          <w:p w14:paraId="7B75D80C" w14:textId="77777777" w:rsidR="005A6C72" w:rsidRPr="0070621F" w:rsidRDefault="005A6C72" w:rsidP="000C407F">
            <w:pPr>
              <w:pStyle w:val="Body"/>
              <w:jc w:val="center"/>
              <w:rPr>
                <w:rFonts w:ascii="Arial" w:hAnsi="Arial" w:cs="Arial"/>
                <w:b/>
                <w:bCs/>
                <w:sz w:val="20"/>
                <w:szCs w:val="20"/>
              </w:rPr>
            </w:pPr>
            <w:proofErr w:type="spellStart"/>
            <w:r w:rsidRPr="0070621F">
              <w:rPr>
                <w:rFonts w:ascii="Arial" w:hAnsi="Arial" w:cs="Arial"/>
                <w:b/>
                <w:bCs/>
                <w:sz w:val="20"/>
                <w:szCs w:val="20"/>
                <w:lang w:val="en-US"/>
              </w:rPr>
              <w:t>Tigit</w:t>
            </w:r>
            <w:proofErr w:type="spellEnd"/>
          </w:p>
        </w:tc>
      </w:tr>
      <w:tr w:rsidR="005A6C72" w:rsidRPr="0070621F" w14:paraId="5BF11C09" w14:textId="77777777" w:rsidTr="00B171D4">
        <w:trPr>
          <w:trHeight w:val="261"/>
        </w:trPr>
        <w:tc>
          <w:tcPr>
            <w:tcW w:w="1872" w:type="dxa"/>
            <w:gridSpan w:val="2"/>
            <w:tcBorders>
              <w:top w:val="single" w:sz="4" w:space="0" w:color="000000"/>
              <w:left w:val="single" w:sz="4" w:space="0" w:color="000000"/>
              <w:bottom w:val="single" w:sz="4" w:space="0" w:color="000000"/>
              <w:right w:val="single" w:sz="4" w:space="0" w:color="000000"/>
            </w:tcBorders>
            <w:shd w:val="clear" w:color="auto" w:fill="FAF9F9" w:themeFill="background2" w:themeFillTint="33"/>
            <w:vAlign w:val="center"/>
          </w:tcPr>
          <w:p w14:paraId="3830EC6D" w14:textId="77777777" w:rsidR="005A6C72" w:rsidRPr="0070621F" w:rsidRDefault="005A6C72" w:rsidP="000C407F">
            <w:pPr>
              <w:pStyle w:val="Body"/>
              <w:jc w:val="center"/>
              <w:rPr>
                <w:rFonts w:ascii="Arial" w:hAnsi="Arial" w:cs="Arial"/>
                <w:sz w:val="20"/>
                <w:szCs w:val="20"/>
              </w:rPr>
            </w:pPr>
            <w:r w:rsidRPr="0070621F">
              <w:rPr>
                <w:rFonts w:ascii="Arial" w:hAnsi="Arial" w:cs="Arial"/>
                <w:sz w:val="20"/>
                <w:szCs w:val="20"/>
                <w:lang w:val="en-US"/>
              </w:rPr>
              <w:t>Ligands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EAD568" w14:textId="77777777" w:rsidR="005A6C72" w:rsidRPr="0070621F" w:rsidRDefault="005A6C72" w:rsidP="000C407F">
            <w:pPr>
              <w:pStyle w:val="Body"/>
              <w:jc w:val="center"/>
              <w:rPr>
                <w:rFonts w:ascii="Arial" w:hAnsi="Arial" w:cs="Arial"/>
                <w:sz w:val="20"/>
                <w:szCs w:val="20"/>
              </w:rPr>
            </w:pPr>
            <w:r w:rsidRPr="0070621F">
              <w:rPr>
                <w:rFonts w:ascii="Arial" w:hAnsi="Arial" w:cs="Arial"/>
                <w:sz w:val="20"/>
                <w:szCs w:val="20"/>
                <w:lang w:val="en-US"/>
              </w:rPr>
              <w:t>PD-L1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09DF62" w14:textId="77777777" w:rsidR="005A6C72" w:rsidRPr="0070621F" w:rsidRDefault="005A6C72" w:rsidP="000C407F">
            <w:pPr>
              <w:pStyle w:val="Body"/>
              <w:jc w:val="center"/>
              <w:rPr>
                <w:rFonts w:ascii="Arial" w:hAnsi="Arial" w:cs="Arial"/>
                <w:sz w:val="20"/>
                <w:szCs w:val="20"/>
              </w:rPr>
            </w:pPr>
            <w:r w:rsidRPr="0070621F">
              <w:rPr>
                <w:rFonts w:ascii="Arial" w:hAnsi="Arial" w:cs="Arial"/>
                <w:sz w:val="20"/>
                <w:szCs w:val="20"/>
                <w:lang w:val="en-US"/>
              </w:rPr>
              <w:t>Gal9</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CB7BF4" w14:textId="77777777" w:rsidR="005A6C72" w:rsidRPr="0070621F" w:rsidRDefault="005A6C72" w:rsidP="000C407F">
            <w:pPr>
              <w:pStyle w:val="Body"/>
              <w:jc w:val="center"/>
              <w:rPr>
                <w:rFonts w:ascii="Arial" w:hAnsi="Arial" w:cs="Arial"/>
                <w:sz w:val="20"/>
                <w:szCs w:val="20"/>
              </w:rPr>
            </w:pPr>
            <w:r w:rsidRPr="0070621F">
              <w:rPr>
                <w:rFonts w:ascii="Arial" w:hAnsi="Arial" w:cs="Arial"/>
                <w:sz w:val="20"/>
                <w:szCs w:val="20"/>
                <w:lang w:val="en-US"/>
              </w:rPr>
              <w:t>CD80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5F392D" w14:textId="77777777" w:rsidR="005A6C72" w:rsidRPr="0070621F" w:rsidRDefault="005A6C72" w:rsidP="000C407F">
            <w:pPr>
              <w:pStyle w:val="Body"/>
              <w:jc w:val="center"/>
              <w:rPr>
                <w:rFonts w:ascii="Arial" w:hAnsi="Arial" w:cs="Arial"/>
                <w:sz w:val="20"/>
                <w:szCs w:val="20"/>
              </w:rPr>
            </w:pPr>
            <w:r w:rsidRPr="0070621F">
              <w:rPr>
                <w:rFonts w:ascii="Arial" w:hAnsi="Arial" w:cs="Arial"/>
                <w:sz w:val="20"/>
                <w:szCs w:val="20"/>
                <w:lang w:val="en-US"/>
              </w:rPr>
              <w:t>CD86</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213ECC" w14:textId="1ED55BB1" w:rsidR="005A6C72" w:rsidRPr="0070621F" w:rsidRDefault="005A6C72" w:rsidP="000C407F">
            <w:pPr>
              <w:pStyle w:val="Body"/>
              <w:jc w:val="center"/>
              <w:rPr>
                <w:rFonts w:ascii="Arial" w:hAnsi="Arial" w:cs="Arial"/>
                <w:sz w:val="20"/>
                <w:szCs w:val="20"/>
              </w:rPr>
            </w:pPr>
            <w:r w:rsidRPr="0014151A">
              <w:rPr>
                <w:rFonts w:ascii="Arial" w:hAnsi="Arial" w:cs="Arial"/>
                <w:sz w:val="20"/>
                <w:szCs w:val="20"/>
                <w:lang w:val="en-US"/>
              </w:rPr>
              <w:t>HLA</w:t>
            </w:r>
            <w:r w:rsidR="0014151A" w:rsidRPr="0014151A">
              <w:rPr>
                <w:rFonts w:ascii="Arial" w:hAnsi="Arial" w:cs="Arial"/>
                <w:sz w:val="20"/>
                <w:szCs w:val="20"/>
                <w:lang w:val="en-US"/>
              </w:rPr>
              <w:t xml:space="preserve"> class I</w:t>
            </w:r>
            <w:r w:rsidRPr="0014151A">
              <w:rPr>
                <w:rFonts w:ascii="Arial" w:hAnsi="Arial" w:cs="Arial"/>
                <w:sz w:val="20"/>
                <w:szCs w:val="20"/>
                <w:lang w:val="en-US"/>
              </w:rPr>
              <w:t>I/</w:t>
            </w:r>
            <w:r w:rsidRPr="0070621F">
              <w:rPr>
                <w:rFonts w:ascii="Arial" w:hAnsi="Arial" w:cs="Arial"/>
                <w:sz w:val="20"/>
                <w:szCs w:val="20"/>
                <w:lang w:val="en-US"/>
              </w:rPr>
              <w:br/>
              <w:t>MHC-II</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77314F1" w14:textId="77777777" w:rsidR="005A6C72" w:rsidRPr="0070621F" w:rsidRDefault="005A6C72" w:rsidP="000C407F">
            <w:pPr>
              <w:pStyle w:val="Body"/>
              <w:jc w:val="center"/>
              <w:rPr>
                <w:rFonts w:ascii="Arial" w:hAnsi="Arial" w:cs="Arial"/>
                <w:sz w:val="20"/>
                <w:szCs w:val="20"/>
              </w:rPr>
            </w:pPr>
            <w:r w:rsidRPr="0070621F">
              <w:rPr>
                <w:rFonts w:ascii="Arial" w:hAnsi="Arial" w:cs="Arial"/>
                <w:sz w:val="20"/>
                <w:szCs w:val="20"/>
                <w:lang w:val="en-US"/>
              </w:rPr>
              <w:t>FGL1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F72C8E" w14:textId="77777777" w:rsidR="005A6C72" w:rsidRPr="0070621F" w:rsidRDefault="005A6C72" w:rsidP="000C407F">
            <w:pPr>
              <w:pStyle w:val="Body"/>
              <w:jc w:val="center"/>
              <w:rPr>
                <w:rFonts w:ascii="Arial" w:hAnsi="Arial" w:cs="Arial"/>
                <w:sz w:val="20"/>
                <w:szCs w:val="20"/>
              </w:rPr>
            </w:pPr>
            <w:r w:rsidRPr="0070621F">
              <w:rPr>
                <w:rFonts w:ascii="Arial" w:hAnsi="Arial" w:cs="Arial"/>
                <w:sz w:val="20"/>
                <w:szCs w:val="20"/>
                <w:lang w:val="en-US"/>
              </w:rPr>
              <w:t>CD155</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75169B" w14:textId="77777777" w:rsidR="005A6C72" w:rsidRPr="0070621F" w:rsidRDefault="005A6C72" w:rsidP="000C407F">
            <w:pPr>
              <w:pStyle w:val="Body"/>
              <w:jc w:val="center"/>
              <w:rPr>
                <w:rFonts w:ascii="Arial" w:hAnsi="Arial" w:cs="Arial"/>
                <w:sz w:val="20"/>
                <w:szCs w:val="20"/>
                <w:lang w:val="is-IS"/>
              </w:rPr>
            </w:pPr>
            <w:r w:rsidRPr="0070621F">
              <w:rPr>
                <w:rFonts w:ascii="Arial" w:hAnsi="Arial" w:cs="Arial"/>
                <w:sz w:val="20"/>
                <w:szCs w:val="20"/>
                <w:lang w:val="is-IS"/>
              </w:rPr>
              <w:t>CD112</w:t>
            </w:r>
          </w:p>
        </w:tc>
      </w:tr>
      <w:tr w:rsidR="005A6C72" w:rsidRPr="0070621F" w14:paraId="2701E8E9" w14:textId="77777777" w:rsidTr="00B171D4">
        <w:trPr>
          <w:trHeight w:val="775"/>
        </w:trPr>
        <w:tc>
          <w:tcPr>
            <w:tcW w:w="596" w:type="dxa"/>
            <w:vMerge w:val="restart"/>
            <w:tcBorders>
              <w:top w:val="single" w:sz="4" w:space="0" w:color="000000"/>
              <w:left w:val="single" w:sz="4" w:space="0" w:color="000000"/>
              <w:right w:val="single" w:sz="4" w:space="0" w:color="000000"/>
            </w:tcBorders>
            <w:shd w:val="clear" w:color="auto" w:fill="D9D9D9"/>
            <w:textDirection w:val="btLr"/>
          </w:tcPr>
          <w:p w14:paraId="4BCD7C68" w14:textId="77777777" w:rsidR="005A6C72" w:rsidRPr="0070621F" w:rsidRDefault="005A6C72" w:rsidP="000C407F">
            <w:pPr>
              <w:pStyle w:val="Body"/>
              <w:ind w:left="113" w:right="113"/>
              <w:jc w:val="center"/>
              <w:rPr>
                <w:rFonts w:ascii="Arial" w:hAnsi="Arial" w:cs="Arial"/>
                <w:sz w:val="20"/>
                <w:szCs w:val="20"/>
                <w:lang w:val="en-US"/>
              </w:rPr>
            </w:pPr>
            <w:proofErr w:type="spellStart"/>
            <w:r w:rsidRPr="0070621F">
              <w:rPr>
                <w:rFonts w:ascii="Arial" w:hAnsi="Arial" w:cs="Arial"/>
                <w:sz w:val="20"/>
                <w:szCs w:val="20"/>
                <w:lang w:val="en-US"/>
              </w:rPr>
              <w:t>Feto</w:t>
            </w:r>
            <w:proofErr w:type="spellEnd"/>
            <w:r w:rsidRPr="0070621F">
              <w:rPr>
                <w:rFonts w:ascii="Arial" w:hAnsi="Arial" w:cs="Arial"/>
                <w:sz w:val="20"/>
                <w:szCs w:val="20"/>
                <w:lang w:val="en-US"/>
              </w:rPr>
              <w:t>-maternal interface</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vAlign w:val="center"/>
          </w:tcPr>
          <w:p w14:paraId="252A7447" w14:textId="77777777" w:rsidR="005A6C72" w:rsidRPr="0070621F" w:rsidRDefault="005A6C72" w:rsidP="000C407F">
            <w:pPr>
              <w:pStyle w:val="Body"/>
              <w:jc w:val="center"/>
              <w:rPr>
                <w:rFonts w:ascii="Arial" w:hAnsi="Arial" w:cs="Arial"/>
                <w:sz w:val="20"/>
                <w:szCs w:val="20"/>
              </w:rPr>
            </w:pPr>
            <w:r w:rsidRPr="0070621F">
              <w:rPr>
                <w:rFonts w:ascii="Arial" w:hAnsi="Arial" w:cs="Arial"/>
                <w:sz w:val="20"/>
                <w:szCs w:val="20"/>
                <w:lang w:val="en-US"/>
              </w:rPr>
              <w:t>Ligand-positive cells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BBA11B" w14:textId="77777777" w:rsidR="005A6C72" w:rsidRPr="00B171D4" w:rsidRDefault="009D45B0" w:rsidP="00B171D4">
            <w:pPr>
              <w:pStyle w:val="Body"/>
              <w:jc w:val="center"/>
              <w:rPr>
                <w:rFonts w:ascii="Arial" w:hAnsi="Arial" w:cs="Arial"/>
                <w:color w:val="000000" w:themeColor="text1"/>
                <w:sz w:val="20"/>
                <w:szCs w:val="20"/>
                <w:lang w:val="en-US"/>
              </w:rPr>
            </w:pPr>
            <w:r>
              <w:rPr>
                <w:rFonts w:ascii="Arial" w:hAnsi="Arial" w:cs="Arial"/>
                <w:color w:val="000000" w:themeColor="text1"/>
                <w:sz w:val="20"/>
                <w:szCs w:val="20"/>
                <w:lang w:val="en-US"/>
              </w:rPr>
              <w:t>TB, M</w:t>
            </w:r>
            <w:r w:rsidR="00B171D4">
              <w:rPr>
                <w:rFonts w:ascii="Arial" w:hAnsi="Arial" w:cs="Arial"/>
                <w:color w:val="000000" w:themeColor="text1"/>
                <w:sz w:val="20"/>
                <w:szCs w:val="20"/>
                <w:lang w:val="en-US"/>
              </w:rPr>
              <w:t>Φ</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20766F" w14:textId="77777777" w:rsidR="005A6C72" w:rsidRPr="0070621F" w:rsidRDefault="005A6C72" w:rsidP="000C407F">
            <w:pPr>
              <w:pStyle w:val="Body"/>
              <w:jc w:val="center"/>
              <w:rPr>
                <w:rFonts w:ascii="Arial" w:hAnsi="Arial" w:cs="Arial"/>
                <w:color w:val="000000" w:themeColor="text1"/>
                <w:sz w:val="20"/>
                <w:szCs w:val="20"/>
                <w:lang w:val="en-US"/>
              </w:rPr>
            </w:pPr>
            <w:r w:rsidRPr="0070621F">
              <w:rPr>
                <w:rFonts w:ascii="Arial" w:hAnsi="Arial" w:cs="Arial"/>
                <w:color w:val="000000" w:themeColor="text1"/>
                <w:sz w:val="20"/>
                <w:szCs w:val="20"/>
                <w:lang w:val="en-US"/>
              </w:rPr>
              <w:t>DC</w:t>
            </w:r>
            <w:r w:rsidR="009D45B0">
              <w:rPr>
                <w:rFonts w:ascii="Arial" w:hAnsi="Arial" w:cs="Arial"/>
                <w:color w:val="000000" w:themeColor="text1"/>
                <w:sz w:val="20"/>
                <w:szCs w:val="20"/>
                <w:lang w:val="en-US"/>
              </w:rPr>
              <w:t xml:space="preserve">, </w:t>
            </w:r>
            <w:r w:rsidRPr="0070621F">
              <w:rPr>
                <w:rFonts w:ascii="Arial" w:hAnsi="Arial" w:cs="Arial"/>
                <w:color w:val="000000" w:themeColor="text1"/>
                <w:sz w:val="20"/>
                <w:szCs w:val="20"/>
                <w:lang w:val="en-US"/>
              </w:rPr>
              <w:t>GC</w:t>
            </w:r>
          </w:p>
          <w:p w14:paraId="556C29D5" w14:textId="77777777" w:rsidR="005A6C72" w:rsidRPr="0070621F" w:rsidRDefault="005A6C72" w:rsidP="000C407F">
            <w:pPr>
              <w:pStyle w:val="Body"/>
              <w:jc w:val="center"/>
              <w:rPr>
                <w:rFonts w:ascii="Arial" w:hAnsi="Arial" w:cs="Arial"/>
                <w:color w:val="000000" w:themeColor="text1"/>
                <w:sz w:val="20"/>
                <w:szCs w:val="20"/>
                <w:lang w:val="en-US"/>
              </w:rPr>
            </w:pPr>
            <w:r w:rsidRPr="0070621F">
              <w:rPr>
                <w:rFonts w:ascii="Arial" w:hAnsi="Arial" w:cs="Arial"/>
                <w:color w:val="000000" w:themeColor="text1"/>
                <w:sz w:val="20"/>
                <w:szCs w:val="20"/>
                <w:lang w:val="en-US"/>
              </w:rPr>
              <w:t>M</w:t>
            </w:r>
            <w:r w:rsidR="00B171D4">
              <w:rPr>
                <w:rFonts w:ascii="Arial" w:hAnsi="Arial" w:cs="Arial"/>
                <w:color w:val="000000" w:themeColor="text1"/>
                <w:sz w:val="20"/>
                <w:szCs w:val="20"/>
                <w:lang w:val="en-US"/>
              </w:rPr>
              <w:t>Φ</w:t>
            </w:r>
            <w:r w:rsidRPr="0070621F">
              <w:rPr>
                <w:rFonts w:ascii="Arial" w:hAnsi="Arial" w:cs="Arial"/>
                <w:color w:val="000000" w:themeColor="text1"/>
                <w:sz w:val="20"/>
                <w:szCs w:val="20"/>
                <w:lang w:val="en-US"/>
              </w:rPr>
              <w:t>,</w:t>
            </w:r>
            <w:r w:rsidR="00B171D4">
              <w:rPr>
                <w:rFonts w:ascii="Arial" w:hAnsi="Arial" w:cs="Arial"/>
                <w:color w:val="000000" w:themeColor="text1"/>
                <w:sz w:val="20"/>
                <w:szCs w:val="20"/>
                <w:lang w:val="en-US"/>
              </w:rPr>
              <w:t xml:space="preserve"> </w:t>
            </w:r>
            <w:r w:rsidRPr="0070621F">
              <w:rPr>
                <w:rFonts w:ascii="Arial" w:hAnsi="Arial" w:cs="Arial"/>
                <w:color w:val="000000" w:themeColor="text1"/>
                <w:sz w:val="20"/>
                <w:szCs w:val="20"/>
                <w:lang w:val="en-US"/>
              </w:rPr>
              <w:t>NK,</w:t>
            </w:r>
          </w:p>
          <w:p w14:paraId="318DC259" w14:textId="77777777" w:rsidR="005A6C72" w:rsidRPr="00B171D4" w:rsidRDefault="005A6C72" w:rsidP="00B171D4">
            <w:pPr>
              <w:pStyle w:val="Body"/>
              <w:jc w:val="center"/>
              <w:rPr>
                <w:rFonts w:ascii="Arial" w:hAnsi="Arial" w:cs="Arial"/>
                <w:color w:val="000000" w:themeColor="text1"/>
                <w:sz w:val="20"/>
                <w:szCs w:val="20"/>
                <w:lang w:val="en-GB"/>
              </w:rPr>
            </w:pPr>
            <w:r w:rsidRPr="0070621F">
              <w:rPr>
                <w:rFonts w:ascii="Arial" w:hAnsi="Arial" w:cs="Arial"/>
                <w:color w:val="000000" w:themeColor="text1"/>
                <w:sz w:val="20"/>
                <w:szCs w:val="20"/>
                <w:lang w:val="en-US"/>
              </w:rPr>
              <w:t>HB,</w:t>
            </w:r>
            <w:r w:rsidR="00B171D4">
              <w:rPr>
                <w:rFonts w:ascii="Arial" w:hAnsi="Arial" w:cs="Arial"/>
                <w:color w:val="000000" w:themeColor="text1"/>
                <w:sz w:val="20"/>
                <w:szCs w:val="20"/>
                <w:lang w:val="en-US"/>
              </w:rPr>
              <w:t xml:space="preserve"> </w:t>
            </w:r>
            <w:r w:rsidRPr="00B171D4">
              <w:rPr>
                <w:rFonts w:ascii="Arial" w:hAnsi="Arial" w:cs="Arial"/>
                <w:color w:val="000000" w:themeColor="text1"/>
                <w:sz w:val="20"/>
                <w:szCs w:val="20"/>
                <w:lang w:val="en-GB"/>
              </w:rPr>
              <w:t>ENC</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66599D7" w14:textId="77777777" w:rsidR="005A6C72" w:rsidRPr="0070621F" w:rsidRDefault="005A6C72" w:rsidP="000C407F">
            <w:pPr>
              <w:pStyle w:val="Body"/>
              <w:jc w:val="center"/>
              <w:rPr>
                <w:rFonts w:ascii="Arial" w:hAnsi="Arial" w:cs="Arial"/>
                <w:color w:val="000000" w:themeColor="text1"/>
                <w:sz w:val="20"/>
                <w:szCs w:val="20"/>
                <w:u w:color="FF0000"/>
                <w:lang w:val="en-US"/>
              </w:rPr>
            </w:pPr>
            <w:r w:rsidRPr="0070621F">
              <w:rPr>
                <w:rFonts w:ascii="Arial" w:hAnsi="Arial" w:cs="Arial"/>
                <w:color w:val="000000" w:themeColor="text1"/>
                <w:sz w:val="20"/>
                <w:szCs w:val="20"/>
                <w:u w:color="FF0000"/>
                <w:lang w:val="en-US"/>
              </w:rPr>
              <w:t>MO</w:t>
            </w:r>
          </w:p>
          <w:p w14:paraId="22CB87DA" w14:textId="77777777" w:rsidR="005A6C72" w:rsidRPr="0070621F" w:rsidRDefault="005A6C72" w:rsidP="000C407F">
            <w:pPr>
              <w:pStyle w:val="Body"/>
              <w:jc w:val="center"/>
              <w:rPr>
                <w:rFonts w:ascii="Arial" w:hAnsi="Arial" w:cs="Arial"/>
                <w:color w:val="000000" w:themeColor="text1"/>
                <w:sz w:val="20"/>
                <w:szCs w:val="20"/>
                <w:u w:color="FF0000"/>
                <w:lang w:val="en-US"/>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277941" w14:textId="77777777" w:rsidR="005A6C72" w:rsidRPr="0070621F" w:rsidRDefault="005A6C72" w:rsidP="009D45B0">
            <w:pPr>
              <w:pStyle w:val="Body"/>
              <w:jc w:val="center"/>
              <w:rPr>
                <w:rFonts w:ascii="Arial" w:hAnsi="Arial" w:cs="Arial"/>
                <w:color w:val="000000" w:themeColor="text1"/>
                <w:sz w:val="20"/>
                <w:szCs w:val="20"/>
              </w:rPr>
            </w:pPr>
            <w:r w:rsidRPr="0070621F">
              <w:rPr>
                <w:rFonts w:ascii="Arial" w:hAnsi="Arial" w:cs="Arial"/>
                <w:color w:val="000000" w:themeColor="text1"/>
                <w:sz w:val="20"/>
                <w:szCs w:val="20"/>
                <w:u w:color="FF0000"/>
                <w:lang w:val="en-US"/>
              </w:rPr>
              <w:t>M</w:t>
            </w:r>
            <w:r w:rsidR="00B171D4">
              <w:rPr>
                <w:rFonts w:ascii="Arial" w:hAnsi="Arial" w:cs="Arial"/>
                <w:color w:val="000000" w:themeColor="text1"/>
                <w:sz w:val="20"/>
                <w:szCs w:val="20"/>
                <w:lang w:val="en-US"/>
              </w:rPr>
              <w:t>Φ</w:t>
            </w:r>
            <w:r w:rsidRPr="0070621F">
              <w:rPr>
                <w:rFonts w:ascii="Arial" w:hAnsi="Arial" w:cs="Arial"/>
                <w:color w:val="000000" w:themeColor="text1"/>
                <w:sz w:val="20"/>
                <w:szCs w:val="20"/>
                <w:u w:color="FF0000"/>
                <w:lang w:val="en-US"/>
              </w:rPr>
              <w:t xml:space="preserve">, </w:t>
            </w:r>
            <w:r w:rsidR="009D45B0">
              <w:rPr>
                <w:rFonts w:ascii="Arial" w:hAnsi="Arial" w:cs="Arial"/>
                <w:color w:val="000000" w:themeColor="text1"/>
                <w:sz w:val="20"/>
                <w:szCs w:val="20"/>
                <w:u w:color="FF0000"/>
                <w:lang w:val="en-US"/>
              </w:rPr>
              <w:t>D</w:t>
            </w:r>
            <w:r w:rsidRPr="0070621F">
              <w:rPr>
                <w:rFonts w:ascii="Arial" w:hAnsi="Arial" w:cs="Arial"/>
                <w:color w:val="000000" w:themeColor="text1"/>
                <w:sz w:val="20"/>
                <w:szCs w:val="20"/>
                <w:u w:color="FF0000"/>
                <w:lang w:val="en-US"/>
              </w:rPr>
              <w:t xml:space="preserve">C </w:t>
            </w:r>
            <w:r w:rsidRPr="0070621F">
              <w:rPr>
                <w:rFonts w:ascii="Arial" w:hAnsi="Arial" w:cs="Arial"/>
                <w:color w:val="000000" w:themeColor="text1"/>
                <w:sz w:val="20"/>
                <w:szCs w:val="20"/>
                <w:u w:color="FF0000"/>
                <w:lang w:val="en-US"/>
              </w:rPr>
              <w:br/>
              <w:t>MC, HB</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63A243" w14:textId="77777777" w:rsidR="005A6C72" w:rsidRPr="0070621F" w:rsidRDefault="005A6C72" w:rsidP="00B171D4">
            <w:pPr>
              <w:pStyle w:val="Body"/>
              <w:jc w:val="center"/>
              <w:rPr>
                <w:rFonts w:ascii="Arial" w:hAnsi="Arial" w:cs="Arial"/>
                <w:color w:val="000000" w:themeColor="text1"/>
                <w:sz w:val="20"/>
                <w:szCs w:val="20"/>
              </w:rPr>
            </w:pPr>
            <w:r w:rsidRPr="0070621F">
              <w:rPr>
                <w:rFonts w:ascii="Arial" w:hAnsi="Arial" w:cs="Arial"/>
                <w:color w:val="000000" w:themeColor="text1"/>
                <w:sz w:val="20"/>
                <w:szCs w:val="20"/>
                <w:lang w:val="en-US"/>
              </w:rPr>
              <w:t>M</w:t>
            </w:r>
            <w:r w:rsidR="00B171D4">
              <w:rPr>
                <w:rFonts w:ascii="Arial" w:hAnsi="Arial" w:cs="Arial"/>
                <w:color w:val="000000" w:themeColor="text1"/>
                <w:sz w:val="20"/>
                <w:szCs w:val="20"/>
                <w:lang w:val="en-US"/>
              </w:rPr>
              <w:t>Φ</w:t>
            </w:r>
            <w:r w:rsidRPr="0070621F">
              <w:rPr>
                <w:rFonts w:ascii="Arial" w:hAnsi="Arial" w:cs="Arial"/>
                <w:color w:val="000000" w:themeColor="text1"/>
                <w:sz w:val="20"/>
                <w:szCs w:val="20"/>
                <w:lang w:val="en-US"/>
              </w:rPr>
              <w:t>,</w:t>
            </w:r>
            <w:r w:rsidR="00B171D4">
              <w:rPr>
                <w:rFonts w:ascii="Arial" w:hAnsi="Arial" w:cs="Arial"/>
                <w:color w:val="000000" w:themeColor="text1"/>
                <w:sz w:val="20"/>
                <w:szCs w:val="20"/>
                <w:lang w:val="en-US"/>
              </w:rPr>
              <w:t xml:space="preserve"> </w:t>
            </w:r>
            <w:r w:rsidRPr="0070621F">
              <w:rPr>
                <w:rFonts w:ascii="Arial" w:hAnsi="Arial" w:cs="Arial"/>
                <w:color w:val="000000" w:themeColor="text1"/>
                <w:sz w:val="20"/>
                <w:szCs w:val="20"/>
                <w:lang w:val="en-US"/>
              </w:rPr>
              <w:t xml:space="preserve">DC, </w:t>
            </w:r>
            <w:r w:rsidRPr="0070621F">
              <w:rPr>
                <w:rFonts w:ascii="Arial" w:hAnsi="Arial" w:cs="Arial"/>
                <w:color w:val="000000" w:themeColor="text1"/>
                <w:sz w:val="20"/>
                <w:szCs w:val="20"/>
                <w:lang w:val="en-US"/>
              </w:rPr>
              <w:br/>
              <w:t>MC</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7548A54" w14:textId="77777777" w:rsidR="005A6C72" w:rsidRPr="0070621F" w:rsidRDefault="005A6C72" w:rsidP="000C407F">
            <w:pPr>
              <w:pStyle w:val="Body"/>
              <w:jc w:val="center"/>
              <w:rPr>
                <w:rFonts w:ascii="Arial" w:hAnsi="Arial" w:cs="Arial"/>
                <w:color w:val="000000" w:themeColor="text1"/>
                <w:sz w:val="20"/>
                <w:szCs w:val="20"/>
              </w:rPr>
            </w:pPr>
            <w:r w:rsidRPr="0070621F">
              <w:rPr>
                <w:rFonts w:ascii="Arial" w:hAnsi="Arial" w:cs="Arial"/>
                <w:color w:val="000000" w:themeColor="text1"/>
                <w:sz w:val="20"/>
                <w:szCs w:val="20"/>
                <w:lang w:val="en-US"/>
              </w:rPr>
              <w:t>HB</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4B95E0" w14:textId="77777777" w:rsidR="005A6C72" w:rsidRPr="0070621F" w:rsidRDefault="005A6C72" w:rsidP="000C407F">
            <w:pPr>
              <w:pStyle w:val="Body"/>
              <w:jc w:val="center"/>
              <w:rPr>
                <w:rFonts w:ascii="Arial" w:hAnsi="Arial" w:cs="Arial"/>
                <w:color w:val="000000" w:themeColor="text1"/>
                <w:sz w:val="20"/>
                <w:szCs w:val="20"/>
              </w:rPr>
            </w:pPr>
            <w:r w:rsidRPr="0070621F">
              <w:rPr>
                <w:rFonts w:ascii="Arial" w:hAnsi="Arial" w:cs="Arial"/>
                <w:color w:val="000000" w:themeColor="text1"/>
                <w:sz w:val="20"/>
                <w:szCs w:val="20"/>
                <w:lang w:val="en-US"/>
              </w:rPr>
              <w:t>TB</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C198A8" w14:textId="77777777" w:rsidR="005A6C72" w:rsidRPr="0070621F" w:rsidRDefault="009D45B0" w:rsidP="000C407F">
            <w:pPr>
              <w:pStyle w:val="Body"/>
              <w:jc w:val="center"/>
              <w:rPr>
                <w:rFonts w:ascii="Arial" w:hAnsi="Arial" w:cs="Arial"/>
                <w:color w:val="000000" w:themeColor="text1"/>
                <w:sz w:val="20"/>
                <w:szCs w:val="20"/>
                <w:lang w:val="is-IS"/>
              </w:rPr>
            </w:pPr>
            <w:r w:rsidRPr="0070621F">
              <w:rPr>
                <w:rFonts w:ascii="Arial" w:hAnsi="Arial" w:cs="Arial"/>
                <w:color w:val="000000" w:themeColor="text1"/>
                <w:sz w:val="20"/>
                <w:szCs w:val="20"/>
                <w:lang w:val="is-IS"/>
              </w:rPr>
              <w:t>M</w:t>
            </w:r>
            <w:r w:rsidR="00B171D4">
              <w:rPr>
                <w:rFonts w:ascii="Arial" w:hAnsi="Arial" w:cs="Arial"/>
                <w:color w:val="000000" w:themeColor="text1"/>
                <w:sz w:val="20"/>
                <w:szCs w:val="20"/>
                <w:lang w:val="en-US"/>
              </w:rPr>
              <w:t>Φ</w:t>
            </w:r>
            <w:r w:rsidRPr="0070621F">
              <w:rPr>
                <w:rFonts w:ascii="Arial" w:hAnsi="Arial" w:cs="Arial"/>
                <w:color w:val="000000" w:themeColor="text1"/>
                <w:sz w:val="20"/>
                <w:szCs w:val="20"/>
                <w:lang w:val="is-IS"/>
              </w:rPr>
              <w:t>,</w:t>
            </w:r>
            <w:r w:rsidR="00B171D4">
              <w:rPr>
                <w:rFonts w:ascii="Arial" w:hAnsi="Arial" w:cs="Arial"/>
                <w:color w:val="000000" w:themeColor="text1"/>
                <w:sz w:val="20"/>
                <w:szCs w:val="20"/>
                <w:lang w:val="is-IS"/>
              </w:rPr>
              <w:t xml:space="preserve"> SC, ENC, E</w:t>
            </w:r>
            <w:r w:rsidR="005A6C72" w:rsidRPr="0070621F">
              <w:rPr>
                <w:rFonts w:ascii="Arial" w:hAnsi="Arial" w:cs="Arial"/>
                <w:color w:val="000000" w:themeColor="text1"/>
                <w:sz w:val="20"/>
                <w:szCs w:val="20"/>
                <w:lang w:val="is-IS"/>
              </w:rPr>
              <w:t xml:space="preserve">PC </w:t>
            </w:r>
          </w:p>
          <w:p w14:paraId="1D0A1630" w14:textId="77777777" w:rsidR="005A6C72" w:rsidRPr="0070621F" w:rsidRDefault="005A6C72" w:rsidP="00B171D4">
            <w:pPr>
              <w:pStyle w:val="Body"/>
              <w:jc w:val="center"/>
              <w:rPr>
                <w:rFonts w:ascii="Arial" w:hAnsi="Arial" w:cs="Arial"/>
                <w:color w:val="FF0000"/>
                <w:sz w:val="20"/>
                <w:szCs w:val="20"/>
                <w:lang w:val="is-IS"/>
              </w:rPr>
            </w:pPr>
            <w:r w:rsidRPr="0070621F">
              <w:rPr>
                <w:rFonts w:ascii="Arial" w:hAnsi="Arial" w:cs="Arial"/>
                <w:color w:val="000000" w:themeColor="text1"/>
                <w:sz w:val="20"/>
                <w:szCs w:val="20"/>
                <w:lang w:val="is-IS"/>
              </w:rPr>
              <w:t>HB,</w:t>
            </w:r>
            <w:r w:rsidR="00B171D4">
              <w:rPr>
                <w:rFonts w:ascii="Arial" w:hAnsi="Arial" w:cs="Arial"/>
                <w:color w:val="000000" w:themeColor="text1"/>
                <w:sz w:val="20"/>
                <w:szCs w:val="20"/>
                <w:lang w:val="is-IS"/>
              </w:rPr>
              <w:t xml:space="preserve"> </w:t>
            </w:r>
            <w:r w:rsidRPr="0070621F">
              <w:rPr>
                <w:rFonts w:ascii="Arial" w:hAnsi="Arial" w:cs="Arial"/>
                <w:color w:val="000000" w:themeColor="text1"/>
                <w:sz w:val="20"/>
                <w:szCs w:val="20"/>
                <w:lang w:val="is-IS"/>
              </w:rPr>
              <w:t>TB</w:t>
            </w:r>
          </w:p>
        </w:tc>
      </w:tr>
      <w:tr w:rsidR="005A6C72" w:rsidRPr="0070621F" w14:paraId="1702F6F8" w14:textId="77777777" w:rsidTr="00AA2A9C">
        <w:trPr>
          <w:trHeight w:val="598"/>
        </w:trPr>
        <w:tc>
          <w:tcPr>
            <w:tcW w:w="596" w:type="dxa"/>
            <w:vMerge/>
            <w:tcBorders>
              <w:left w:val="single" w:sz="4" w:space="0" w:color="000000"/>
              <w:bottom w:val="single" w:sz="4" w:space="0" w:color="000000"/>
              <w:right w:val="single" w:sz="4" w:space="0" w:color="000000"/>
            </w:tcBorders>
            <w:shd w:val="clear" w:color="auto" w:fill="D9D9D9"/>
          </w:tcPr>
          <w:p w14:paraId="0F50F256" w14:textId="77777777" w:rsidR="005A6C72" w:rsidRPr="0070621F" w:rsidRDefault="005A6C72" w:rsidP="000C407F">
            <w:pPr>
              <w:pStyle w:val="Body"/>
              <w:jc w:val="center"/>
              <w:rPr>
                <w:rFonts w:ascii="Arial" w:hAnsi="Arial" w:cs="Arial"/>
                <w:sz w:val="20"/>
                <w:szCs w:val="20"/>
                <w:lang w:val="en-US"/>
              </w:rPr>
            </w:pPr>
          </w:p>
        </w:tc>
        <w:tc>
          <w:tcPr>
            <w:tcW w:w="1276" w:type="dxa"/>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vAlign w:val="center"/>
          </w:tcPr>
          <w:p w14:paraId="2F6D8FDB" w14:textId="77777777" w:rsidR="005A6C72" w:rsidRPr="0070621F" w:rsidRDefault="009D45B0" w:rsidP="009D45B0">
            <w:pPr>
              <w:pStyle w:val="Body"/>
              <w:jc w:val="center"/>
              <w:rPr>
                <w:rFonts w:ascii="Arial" w:hAnsi="Arial" w:cs="Arial"/>
                <w:sz w:val="20"/>
                <w:szCs w:val="20"/>
              </w:rPr>
            </w:pPr>
            <w:r>
              <w:rPr>
                <w:rFonts w:ascii="Arial" w:hAnsi="Arial" w:cs="Arial"/>
                <w:sz w:val="20"/>
                <w:szCs w:val="20"/>
                <w:lang w:val="en-US"/>
              </w:rPr>
              <w:t>References in decidua</w:t>
            </w:r>
            <w:r w:rsidR="005A6C72" w:rsidRPr="0070621F">
              <w:rPr>
                <w:rFonts w:ascii="Arial" w:hAnsi="Arial" w:cs="Arial"/>
                <w:sz w:val="20"/>
                <w:szCs w:val="20"/>
                <w:lang w:val="en-US"/>
              </w:rPr>
              <w:t xml:space="preserve"> </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9348A65" w14:textId="6EBB8653" w:rsidR="005A6C72" w:rsidRPr="00AA2A9C" w:rsidRDefault="005421A9" w:rsidP="00AA2A9C">
            <w:pPr>
              <w:pStyle w:val="Body"/>
              <w:jc w:val="center"/>
              <w:rPr>
                <w:rFonts w:ascii="Arial" w:hAnsi="Arial" w:cs="Arial"/>
                <w:sz w:val="20"/>
                <w:szCs w:val="20"/>
              </w:rPr>
            </w:pPr>
            <w:r w:rsidRPr="00AA2A9C">
              <w:rPr>
                <w:rFonts w:ascii="Arial" w:hAnsi="Arial" w:cs="Arial"/>
                <w:color w:val="000000" w:themeColor="text1"/>
                <w:sz w:val="20"/>
                <w:szCs w:val="20"/>
                <w:u w:color="FF0000"/>
                <w:lang w:val="en-US"/>
              </w:rPr>
              <w:fldChar w:fldCharType="begin" w:fldLock="1"/>
            </w:r>
            <w:r w:rsidR="008B657F">
              <w:rPr>
                <w:rFonts w:ascii="Arial" w:hAnsi="Arial" w:cs="Arial"/>
                <w:color w:val="000000" w:themeColor="text1"/>
                <w:sz w:val="20"/>
                <w:szCs w:val="20"/>
                <w:u w:color="FF0000"/>
                <w:lang w:val="en-US"/>
              </w:rPr>
              <w:instrText>ADDIN CSL_CITATION {"citationItems":[{"id":"ITEM-1","itemData":{"DOI":"10.1097/PGP.0000000000000305","ISBN":"0000000000000","ISSN":"15387151","PMID":"27362903","abstract":"One of the major immune checkpoints responsible for immune evasion in cancer cells is the interaction between programmed cell death-1 (PD-1) and its ligand (PD-L1). As human trophoblastic cells display many of the features of malignant cells such as the ability to invade normal tissue including blood vessels and are apparently not eradicated by the host immune system, we undertook the present study to determine whether PD-L1 was upregulated in different types of trophoblastic cells during normal pregnancy and in gestational trophoblastic diseases. Immunohistochemistry using an anti-PD-L1-specific antibody demonstrated that in early and term normal placentas, PD-L1 was highly expressed in syncytiotrophoblast and to a much lower extent in intermediate trophoblastic cells located in the chorion laeve and implantation site. PDL1 immunoreactivity was undetectable in cytotrophoblastic cells. This staining pattern in normal placenta was recapitulated in various types of gestational trophoblastic disease. PD-L1 was highly expressed by syncytiotrophoblast in complete moles and choriocarcinomas. The intermediate trophoblastic neoplasms, placental site trophoblastic tumors, and epithelioid trophoblastic tumors showed variable PD-L1 immunoreactivity but at a lower intensity than in the neoplastic syncytiotrophoblast in choriocarcinoma. In addition, we observed PD-1-positive lymphocytes located within the implantation site and in trophoblastic tumors. In summary, this study describes a novel mechanism for trophoblastic cells to create a tolerogenic feto-maternal interface by upregulating PD-L1 in syncytiotrophoblast and in intermediate trophoblast. Trophoblastic tumors may also use PD-L1 expression to evade the host immune response thereby promoting their survival.","author":[{"dropping-particle":"","family":"Veras","given":"Emanuela","non-dropping-particle":"","parse-names":false,"suffix":""},{"dropping-particle":"","family":"Kurman","given":"Robert J.","non-dropping-particle":"","parse-names":false,"suffix":""},{"dropping-particle":"","family":"Wang","given":"Tian Li","non-dropping-particle":"","parse-names":false,"suffix":""},{"dropping-particle":"","family":"Shih","given":"Ie Ming","non-dropping-particle":"","parse-names":false,"suffix":""}],"container-title":"International Journal of Gynecological Pathology","id":"ITEM-1","issue":"2","issued":{"date-parts":[["2017"]]},"page":"146-153","title":"PD-L1 expression in human placentas and gestational trophoblastic diseases","type":"article-journal","volume":"36"},"uris":["http://www.mendeley.com/documents/?uuid=3d6bc26d-c3c9-44f8-adae-d0186d4edb64"]}],"mendeley":{"formattedCitation":"(10)","plainTextFormattedCitation":"(10)","previouslyFormattedCitation":"(10)"},"properties":{"noteIndex":0},"schema":"https://github.com/citation-style-language/schema/raw/master/csl-citation.json"}</w:instrText>
            </w:r>
            <w:r w:rsidRPr="00AA2A9C">
              <w:rPr>
                <w:rFonts w:ascii="Arial" w:hAnsi="Arial" w:cs="Arial"/>
                <w:color w:val="000000" w:themeColor="text1"/>
                <w:sz w:val="20"/>
                <w:szCs w:val="20"/>
                <w:u w:color="FF0000"/>
                <w:lang w:val="en-US"/>
              </w:rPr>
              <w:fldChar w:fldCharType="separate"/>
            </w:r>
            <w:r w:rsidR="003E2B8F" w:rsidRPr="003E2B8F">
              <w:rPr>
                <w:rFonts w:ascii="Arial" w:hAnsi="Arial" w:cs="Arial"/>
                <w:noProof/>
                <w:color w:val="000000" w:themeColor="text1"/>
                <w:sz w:val="20"/>
                <w:szCs w:val="20"/>
                <w:u w:color="FF0000"/>
                <w:lang w:val="en-US"/>
              </w:rPr>
              <w:t>(10)</w:t>
            </w:r>
            <w:r w:rsidRPr="00AA2A9C">
              <w:rPr>
                <w:rFonts w:ascii="Arial" w:hAnsi="Arial" w:cs="Arial"/>
                <w:color w:val="000000" w:themeColor="text1"/>
                <w:sz w:val="20"/>
                <w:szCs w:val="20"/>
                <w:u w:color="FF0000"/>
                <w:lang w:val="en-US"/>
              </w:rPr>
              <w:fldChar w:fldCharType="end"/>
            </w:r>
            <w:r w:rsidR="005A6C72" w:rsidRPr="00AA2A9C">
              <w:rPr>
                <w:rFonts w:ascii="Arial" w:hAnsi="Arial" w:cs="Arial"/>
                <w:color w:val="000000" w:themeColor="text1"/>
                <w:sz w:val="20"/>
                <w:szCs w:val="20"/>
                <w:u w:color="FF0000"/>
                <w:lang w:val="en-US"/>
              </w:rPr>
              <w:br/>
            </w:r>
            <w:r w:rsidRPr="00AA2A9C">
              <w:rPr>
                <w:rFonts w:ascii="Arial" w:hAnsi="Arial" w:cs="Arial"/>
                <w:color w:val="000000" w:themeColor="text1"/>
                <w:sz w:val="20"/>
                <w:szCs w:val="20"/>
                <w:lang w:val="en-US"/>
              </w:rPr>
              <w:fldChar w:fldCharType="begin" w:fldLock="1"/>
            </w:r>
            <w:r w:rsidR="008B657F">
              <w:rPr>
                <w:rFonts w:ascii="Arial" w:hAnsi="Arial" w:cs="Arial"/>
                <w:color w:val="000000" w:themeColor="text1"/>
                <w:sz w:val="20"/>
                <w:szCs w:val="20"/>
                <w:lang w:val="en-US"/>
              </w:rPr>
              <w:instrText>ADDIN CSL_CITATION {"citationItems":[{"id":"ITEM-1","itemData":{"DOI":"10.1189/jlb.1a0316-135r","ISSN":"0741-5400","PMID":"27810945","abstract":"Fetal antigen available during pregnancy induces the proliferation of maternal T cells. It is unknown, however, whether these antigen-activated T cells differentiate into long-lived memory T cells that are capable of mediating rapid-recall responses to tissue antigens. To test the hypothesis that pregnancy induces an alterna-tive fate in fetal-specific maternal T cells, we used a murine model to track longitudinally fetal-specific T cells in pregnant and postpartum animals and test the response of these cells when challenged with the same antigen during sequential pregnancy or skin transplan-tation. Fetal-specific CD8 + T cells were robustly primed during pregnancy but failed to acquire robust effector functions. These primed cells persisted long term in postpartum animals, frequently maintained a pro-grammed death 1 (PD-1) + phenotype, and failed to expand or produce cytokines robustly in response to second pregnancy or skin transplantation. However, whereas there was no impact on second pregnancy as a result of the persistence of fetal-primed memory CD8 + T cells in the mother, skin grafts bearing the same antigen were rejected more rapidly. Altogether, our data suggest that fetal antigen exposure during preg-nancy induces the differentiation of long-lived maternal CD8 + T cells with context-dependent, selective effector dysfunction. This programmed effector dysfunction provides temporal and systemic restraint of maternal anti-fetal alloreactivity to promote reproductive fitness efficiently, while preserving potentially protective effector T cell responses.","author":[{"dropping-particle":"","family":"Barton","given":"Brendan M.","non-dropping-particle":"","parse-names":false,"suffix":""},{"dropping-particle":"","family":"Xu","given":"Rong","non-dropping-particle":"","parse-names":false,"suffix":""},{"dropping-particle":"","family":"Wherry","given":"E. John","non-dropping-particle":"","parse-names":false,"suffix":""},{"dropping-particle":"","family":"Porrett","given":"Paige M.","non-dropping-particle":"","parse-names":false,"suffix":""}],"container-title":"Journal of Leukocyte Biology","id":"ITEM-1","issue":"4","issued":{"date-parts":[["2016"]]},"page":"975-987","title":"Pregnancy promotes tolerance to future offspring by programming selective dysfunction in long-lived maternal T cells","type":"article-journal","volume":"101"},"uris":["http://www.mendeley.com/documents/?uuid=3dc3575f-c4fb-4b11-8a4b-4d380816840a"]}],"mendeley":{"formattedCitation":"(11)","plainTextFormattedCitation":"(11)","previouslyFormattedCitation":"(11)"},"properties":{"noteIndex":0},"schema":"https://github.com/citation-style-language/schema/raw/master/csl-citation.json"}</w:instrText>
            </w:r>
            <w:r w:rsidRPr="00AA2A9C">
              <w:rPr>
                <w:rFonts w:ascii="Arial" w:hAnsi="Arial" w:cs="Arial"/>
                <w:color w:val="000000" w:themeColor="text1"/>
                <w:sz w:val="20"/>
                <w:szCs w:val="20"/>
                <w:lang w:val="en-US"/>
              </w:rPr>
              <w:fldChar w:fldCharType="separate"/>
            </w:r>
            <w:r w:rsidR="003E2B8F" w:rsidRPr="003E2B8F">
              <w:rPr>
                <w:rFonts w:ascii="Arial" w:hAnsi="Arial" w:cs="Arial"/>
                <w:noProof/>
                <w:color w:val="000000" w:themeColor="text1"/>
                <w:sz w:val="20"/>
                <w:szCs w:val="20"/>
                <w:lang w:val="en-US"/>
              </w:rPr>
              <w:t>(11)</w:t>
            </w:r>
            <w:r w:rsidRPr="00AA2A9C">
              <w:rPr>
                <w:rFonts w:ascii="Arial" w:hAnsi="Arial" w:cs="Arial"/>
                <w:color w:val="000000" w:themeColor="text1"/>
                <w:sz w:val="20"/>
                <w:szCs w:val="20"/>
                <w:lang w:val="en-US"/>
              </w:rPr>
              <w:fldChar w:fldCharType="end"/>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AE0343" w14:textId="0D194E17" w:rsidR="005A6C72" w:rsidRPr="00AA2A9C" w:rsidRDefault="005421A9" w:rsidP="000C407F">
            <w:pPr>
              <w:pStyle w:val="Body"/>
              <w:jc w:val="center"/>
              <w:rPr>
                <w:rFonts w:ascii="Arial" w:hAnsi="Arial" w:cs="Arial"/>
                <w:sz w:val="20"/>
                <w:szCs w:val="20"/>
              </w:rPr>
            </w:pPr>
            <w:r w:rsidRPr="00AA2A9C">
              <w:rPr>
                <w:rFonts w:ascii="Arial" w:hAnsi="Arial" w:cs="Arial"/>
                <w:sz w:val="20"/>
                <w:szCs w:val="20"/>
                <w:lang w:val="en-US"/>
              </w:rPr>
              <w:fldChar w:fldCharType="begin" w:fldLock="1"/>
            </w:r>
            <w:r w:rsidR="008B657F">
              <w:rPr>
                <w:rFonts w:ascii="Arial" w:hAnsi="Arial" w:cs="Arial"/>
                <w:sz w:val="20"/>
                <w:szCs w:val="20"/>
                <w:lang w:val="en-US"/>
              </w:rPr>
              <w:instrText>ADDIN CSL_CITATION {"citationItems":[{"id":"ITEM-1","itemData":{"DOI":"10.1038/cddis.2015.112","ISBN":"2041-4889 (Electronic)","ISSN":"20414889","PMID":"25950468","abstract":"CD8(+) T cells are critical in the balance between fetal tolerance and antiviral immunity. T-cell immunoglobulin mucin-3 (Tim-3) and programmed cell death-1 (PD-1) are important negative immune regulatory molecules involved in viral persistence and tumor metastasis. Here, we demonstrate that Tim-3(+)PD-1(+)CD8(+) T cells from decidua greatly outnumbered those from peripheral blood during human early pregnancy. Co-culture of trophoblasts with CD8(+) T cells upregulated PD-1(+) and/or Tim-3(+) immune cells. Furthermore, the population of CD8(+) T cells co-expressing PD-1 and Tim-3 was enriched within the intermediate memory subset in decidua. This population exhibited high proliferative activity and Th2-type cytokine producing capacity. Blockade of Tim-3 and PD-1 resulted in decreased in vitro proliferation and Th2-type cytokine production while increased trophoblast killing and IFN-γ producing capacities of CD8(+) T cells. Pregnant CBA/J females challenged with Tim-3 and/or PD-1 blocking antibodies were more susceptible to fetal loss, which was associated with CD8(+) T-cell dysfunction. Importantly, the number and function of Tim-3(+)PD-1(+)CD8(+) T cells in decidua were significantly impaired in miscarriage. These findings underline the important roles of Tim-3 and PD-1 pathways in regulating decidual CD8(+) T-cell function and maintaining normal pregnancy.","author":[{"dropping-particle":"","family":"Wang","given":"S. C.","non-dropping-particle":"","parse-names":false,"suffix":""},{"dropping-particle":"","family":"Li","given":"Y. H.","non-dropping-particle":"","parse-names":false,"suffix":""},{"dropping-particle":"","family":"Piao","given":"H. L.","non-dropping-particle":"","parse-names":false,"suffix":""},{"dropping-particle":"","family":"Hong","given":"X. W.","non-dropping-particle":"","parse-names":false,"suffix":""},{"dropping-particle":"","family":"Zhang","given":"D.","non-dropping-particle":"","parse-names":false,"suffix":""},{"dropping-particle":"","family":"Xu","given":"Y. Y.","non-dropping-particle":"","parse-names":false,"suffix":""},{"dropping-particle":"","family":"Tao","given":"Y.","non-dropping-particle":"","parse-names":false,"suffix":""},{"dropping-particle":"","family":"Wang","given":"Y.","non-dropping-particle":"","parse-names":false,"suffix":""},{"dropping-particle":"","family":"Yuan","given":"M. M.","non-dropping-particle":"","parse-names":false,"suffix":""},{"dropping-particle":"","family":"Li","given":"D. J.","non-dropping-particle":"","parse-names":false,"suffix":""},{"dropping-particle":"","family":"Du","given":"M. R.","non-dropping-particle":"","parse-names":false,"suffix":""}],"container-title":"Cell Death and Disease","id":"ITEM-1","issue":"5","issued":{"date-parts":[["2015"]]},"page":"1-10","title":"PD-1 and Tim-3 pathways are associated with regulatory CD8+ T-cell function in decidua and maintenance of normal pregnancy","type":"article-journal","volume":"6"},"uris":["http://www.mendeley.com/documents/?uuid=5c318b04-594b-4321-8826-9480dfe9437b"]}],"mendeley":{"formattedCitation":"(3)","plainTextFormattedCitation":"(3)","previouslyFormattedCitation":"(3)"},"properties":{"noteIndex":0},"schema":"https://github.com/citation-style-language/schema/raw/master/csl-citation.json"}</w:instrText>
            </w:r>
            <w:r w:rsidRPr="00AA2A9C">
              <w:rPr>
                <w:rFonts w:ascii="Arial" w:hAnsi="Arial" w:cs="Arial"/>
                <w:sz w:val="20"/>
                <w:szCs w:val="20"/>
                <w:lang w:val="en-US"/>
              </w:rPr>
              <w:fldChar w:fldCharType="separate"/>
            </w:r>
            <w:r w:rsidR="003E2B8F" w:rsidRPr="003E2B8F">
              <w:rPr>
                <w:rFonts w:ascii="Arial" w:hAnsi="Arial" w:cs="Arial"/>
                <w:noProof/>
                <w:sz w:val="20"/>
                <w:szCs w:val="20"/>
                <w:lang w:val="en-US"/>
              </w:rPr>
              <w:t>(3)</w:t>
            </w:r>
            <w:r w:rsidRPr="00AA2A9C">
              <w:rPr>
                <w:rFonts w:ascii="Arial" w:hAnsi="Arial" w:cs="Arial"/>
                <w:sz w:val="20"/>
                <w:szCs w:val="20"/>
                <w:lang w:val="en-US"/>
              </w:rPr>
              <w:fldChar w:fldCharType="end"/>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1BFC828" w14:textId="4EC572FC" w:rsidR="005A6C72" w:rsidRPr="00AA2A9C" w:rsidRDefault="005421A9" w:rsidP="000C407F">
            <w:pPr>
              <w:pStyle w:val="Body"/>
              <w:jc w:val="center"/>
              <w:rPr>
                <w:rFonts w:ascii="Arial" w:hAnsi="Arial" w:cs="Arial"/>
                <w:sz w:val="20"/>
                <w:szCs w:val="20"/>
              </w:rPr>
            </w:pPr>
            <w:r w:rsidRPr="00AA2A9C">
              <w:rPr>
                <w:rFonts w:ascii="Arial" w:hAnsi="Arial" w:cs="Arial"/>
                <w:sz w:val="20"/>
                <w:szCs w:val="20"/>
                <w:lang w:val="en-US"/>
              </w:rPr>
              <w:fldChar w:fldCharType="begin" w:fldLock="1"/>
            </w:r>
            <w:r w:rsidR="008B657F">
              <w:rPr>
                <w:rFonts w:ascii="Arial" w:hAnsi="Arial" w:cs="Arial"/>
                <w:sz w:val="20"/>
                <w:szCs w:val="20"/>
                <w:lang w:val="en-US"/>
              </w:rPr>
              <w:instrText>ADDIN CSL_CITATION {"citationItems":[{"id":"ITEM-1","itemData":{"DOI":"10.1038/s41419-019-1642-x","ISSN":"20414889","abstract":"Maternal decidual CD8+ T (dCD8+ T) cells must integrate the antithetical demands of maternal–fetal tolerance and anti-viral immunity to establish a successful pregnancy. T-cell immunoglobulin mucin-3 (Tim-3) and cytotoxic T-lymphocyte-associated protein 4 (CTLA-4) are two important co-inhibitory molecules that regulating CD8+ T cells responses during infection and tumor. In the present study, we examined the co-expression of Tim-3 and CTLA-4 on CD8+ T cells during pregnancy and found the higher frequency of Tim-3+CTLA-4+dCD8+ T cells in response to trophoblasts. This Tim-3+CTLA-4+dCD8+ T cells subset showed an active status and produced more anti-inflammatory cytokines. Furthermore, the decreased number and altered function of Tim-3+CTLA-4+dCD8+ T cells correlated to miscarriage. Combined blocking Tim-3 and CTLA-4 pathways were highly effective in inhibiting the production of anti-inflammatory cytokines and were detrimental to the maintenance of pregnancy. Together, these findings supported that Tim-3 and CTLA-4 pathways might play positive roles in the establishment and/or maintenance of maternal–fetal tolerance so to promote the maintenance of normal pregnancy. So the reproductive safety must be considered, especially when anti-Tim-3/CTLA-4 antibody (and other immune checkpoint inhibitors) are used in pregnancy.","author":[{"dropping-particle":"","family":"Wang","given":"Songcun","non-dropping-particle":"","parse-names":false,"suffix":""},{"dropping-particle":"","family":"Sun","given":"Fengrun","non-dropping-particle":"","parse-names":false,"suffix":""},{"dropping-particle":"","family":"Li","given":"Mengdie","non-dropping-particle":"","parse-names":false,"suffix":""},{"dropping-particle":"","family":"Qian","given":"Jinfeng","non-dropping-particle":"","parse-names":false,"suffix":""},{"dropping-particle":"","family":"Chen","given":"Chunqin","non-dropping-particle":"","parse-names":false,"suffix":""},{"dropping-particle":"","family":"Wang","given":"Mingyan","non-dropping-particle":"","parse-names":false,"suffix":""},{"dropping-particle":"","family":"Zang","given":"Xingxing","non-dropping-particle":"","parse-names":false,"suffix":""},{"dropping-particle":"","family":"Li","given":"Dajin","non-dropping-particle":"","parse-names":false,"suffix":""},{"dropping-particle":"","family":"Yu","given":"Min","non-dropping-particle":"","parse-names":false,"suffix":""},{"dropping-particle":"","family":"Du","given":"Meirong","non-dropping-particle":"","parse-names":false,"suffix":""}],"container-title":"Cell Death and Disease","id":"ITEM-1","issue":"6","issued":{"date-parts":[["2019"]]},"publisher":"Springer US","title":"The appropriate frequency and function of decidual Tim-3+CTLA-4+CD8+ T cells are important in maintaining normal pregnancy","type":"article-journal","volume":"10"},"uris":["http://www.mendeley.com/documents/?uuid=40a6944f-be3b-43e5-a801-43f903de0599"]}],"mendeley":{"formattedCitation":"(12)","plainTextFormattedCitation":"(12)","previouslyFormattedCitation":"(12)"},"properties":{"noteIndex":0},"schema":"https://github.com/citation-style-language/schema/raw/master/csl-citation.json"}</w:instrText>
            </w:r>
            <w:r w:rsidRPr="00AA2A9C">
              <w:rPr>
                <w:rFonts w:ascii="Arial" w:hAnsi="Arial" w:cs="Arial"/>
                <w:sz w:val="20"/>
                <w:szCs w:val="20"/>
                <w:lang w:val="en-US"/>
              </w:rPr>
              <w:fldChar w:fldCharType="separate"/>
            </w:r>
            <w:r w:rsidR="003E2B8F" w:rsidRPr="003E2B8F">
              <w:rPr>
                <w:rFonts w:ascii="Arial" w:hAnsi="Arial" w:cs="Arial"/>
                <w:noProof/>
                <w:sz w:val="20"/>
                <w:szCs w:val="20"/>
                <w:lang w:val="en-US"/>
              </w:rPr>
              <w:t>(12)</w:t>
            </w:r>
            <w:r w:rsidRPr="00AA2A9C">
              <w:rPr>
                <w:rFonts w:ascii="Arial" w:hAnsi="Arial" w:cs="Arial"/>
                <w:sz w:val="20"/>
                <w:szCs w:val="20"/>
                <w:lang w:val="en-US"/>
              </w:rPr>
              <w:fldChar w:fldCharType="end"/>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56E5D74" w14:textId="2CCA2497" w:rsidR="005A6C72" w:rsidRPr="00AA2A9C" w:rsidRDefault="00EF5B08" w:rsidP="000C407F">
            <w:pPr>
              <w:pStyle w:val="Body"/>
              <w:jc w:val="center"/>
              <w:rPr>
                <w:rFonts w:ascii="Arial" w:hAnsi="Arial" w:cs="Arial"/>
                <w:sz w:val="20"/>
                <w:szCs w:val="20"/>
              </w:rPr>
            </w:pPr>
            <w:r w:rsidRPr="00AA2A9C">
              <w:rPr>
                <w:rFonts w:ascii="Arial" w:hAnsi="Arial" w:cs="Arial"/>
                <w:color w:val="000000" w:themeColor="text1"/>
                <w:sz w:val="20"/>
                <w:szCs w:val="20"/>
                <w:u w:color="FF0000"/>
                <w:lang w:val="en-US"/>
              </w:rPr>
              <w:fldChar w:fldCharType="begin" w:fldLock="1"/>
            </w:r>
            <w:r w:rsidR="008B657F">
              <w:rPr>
                <w:rFonts w:ascii="Arial" w:hAnsi="Arial" w:cs="Arial"/>
                <w:color w:val="000000" w:themeColor="text1"/>
                <w:sz w:val="20"/>
                <w:szCs w:val="20"/>
                <w:u w:color="FF0000"/>
                <w:lang w:val="en-US"/>
              </w:rPr>
              <w:instrText>ADDIN CSL_CITATION {"citationItems":[{"id":"ITEM-1","itemData":{"DOI":"10.1002/EJI.201948382","ISSN":"1521-4141","PMID":"31953958","abstract":"Regulatory T (Treg) cells are a specialized subpopulation of T cells that plays critical roles in the maintenance of immune homeostasis. Although efforts have been done, their role in human pregnancy is not fully understood. Numerous studies reported the presence of Treg cells throughout gestation by promoting maternal–fetal tolerance and fetal development. Furthermore, Treg population is heterogeneous as it is expressing different immune checkpoint molecules favoring immune suppressive function. Therefore, better understanding of the heterogeneity and function of Treg cells during pregnancy is critical for an effective immune intervention. Latest evidence has shown that several immune checkpoint molecules are closely associated with pregnancy outcome via multiple inhibitory mechanisms. Majority of these studies demonstrated the modulatory effects of immune checkpoint molecules on effector T-cell immunity, but their effects on Treg activation and function are still an enigma. In this review, we emphasize the potential influence of multiple immune checkpoint molecules, including CTLA-4, PD-1, Tim-3, LAG-3, and TIGIT, either in membrane or soluble form, on the function of decidual and peripheral Treg cells during pregnancy. Additionally, we discuss the promising future of targeting Treg cells via immune checkpoint molecules for pregnancy maintenance and prevention of complicated pregnancies.","author":[{"dropping-particle":"","family":"YH","given":"Zhang","non-dropping-particle":"","parse-names":false,"suffix":""},{"dropping-particle":"","family":"HX","given":"Sun","non-dropping-particle":"","parse-names":false,"suffix":""}],"container-title":"European journal of immunology","id":"ITEM-1","issue":"2","issued":{"date-parts":[["2020","2","1"]]},"page":"160-169","publisher":"Eur J Immunol","title":"Immune checkpoint molecules in pregnancy: Focus on regulatory T cells","type":"article-journal","volume":"50"},"uris":["http://www.mendeley.com/documents/?uuid=696a3784-7aaf-3f2d-9fab-3bfc1cd90629"]}],"mendeley":{"formattedCitation":"(13)","plainTextFormattedCitation":"(13)","previouslyFormattedCitation":"(13)"},"properties":{"noteIndex":0},"schema":"https://github.com/citation-style-language/schema/raw/master/csl-citation.json"}</w:instrText>
            </w:r>
            <w:r w:rsidRPr="00AA2A9C">
              <w:rPr>
                <w:rFonts w:ascii="Arial" w:hAnsi="Arial" w:cs="Arial"/>
                <w:color w:val="000000" w:themeColor="text1"/>
                <w:sz w:val="20"/>
                <w:szCs w:val="20"/>
                <w:u w:color="FF0000"/>
                <w:lang w:val="en-US"/>
              </w:rPr>
              <w:fldChar w:fldCharType="separate"/>
            </w:r>
            <w:r w:rsidR="003E2B8F" w:rsidRPr="003E2B8F">
              <w:rPr>
                <w:rFonts w:ascii="Arial" w:hAnsi="Arial" w:cs="Arial"/>
                <w:noProof/>
                <w:color w:val="000000" w:themeColor="text1"/>
                <w:sz w:val="20"/>
                <w:szCs w:val="20"/>
                <w:u w:color="FF0000"/>
                <w:lang w:val="en-US"/>
              </w:rPr>
              <w:t>(13)</w:t>
            </w:r>
            <w:r w:rsidRPr="00AA2A9C">
              <w:rPr>
                <w:rFonts w:ascii="Arial" w:hAnsi="Arial" w:cs="Arial"/>
                <w:color w:val="000000" w:themeColor="text1"/>
                <w:sz w:val="20"/>
                <w:szCs w:val="20"/>
                <w:u w:color="FF0000"/>
                <w:lang w:val="en-US"/>
              </w:rPr>
              <w:fldChar w:fldCharType="end"/>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040A74" w14:textId="77777777" w:rsidR="005A6C72" w:rsidRPr="00AA2A9C" w:rsidRDefault="005A6C72" w:rsidP="000C407F">
            <w:pPr>
              <w:jc w:val="center"/>
              <w:rPr>
                <w:rFonts w:ascii="Arial" w:hAnsi="Arial" w:cs="Arial"/>
                <w:sz w:val="20"/>
                <w:szCs w:val="20"/>
              </w:rPr>
            </w:pPr>
            <w:r w:rsidRPr="00AA2A9C">
              <w:rPr>
                <w:rFonts w:ascii="Arial" w:hAnsi="Arial" w:cs="Arial"/>
                <w:sz w:val="20"/>
                <w:szCs w:val="20"/>
              </w:rPr>
              <w:t>N/D</w:t>
            </w:r>
          </w:p>
        </w:tc>
        <w:tc>
          <w:tcPr>
            <w:tcW w:w="212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11B96A" w14:textId="77777777" w:rsidR="005A6C72" w:rsidRPr="00AA2A9C" w:rsidRDefault="005A6C72" w:rsidP="000C407F">
            <w:pPr>
              <w:jc w:val="center"/>
              <w:rPr>
                <w:rFonts w:ascii="Arial" w:hAnsi="Arial" w:cs="Arial"/>
                <w:sz w:val="20"/>
                <w:szCs w:val="20"/>
              </w:rPr>
            </w:pPr>
            <w:r w:rsidRPr="00AA2A9C">
              <w:rPr>
                <w:rFonts w:ascii="Arial" w:hAnsi="Arial" w:cs="Arial"/>
                <w:sz w:val="20"/>
                <w:szCs w:val="20"/>
              </w:rPr>
              <w:t>N/D</w:t>
            </w:r>
          </w:p>
        </w:tc>
      </w:tr>
    </w:tbl>
    <w:p w14:paraId="67C94B4D" w14:textId="7746F901" w:rsidR="005A6C72" w:rsidRPr="0070621F" w:rsidRDefault="0070621F" w:rsidP="00AA2A9C">
      <w:pPr>
        <w:pStyle w:val="Body"/>
        <w:spacing w:line="276" w:lineRule="auto"/>
        <w:jc w:val="both"/>
        <w:rPr>
          <w:rFonts w:ascii="Arial" w:eastAsia="Arial" w:hAnsi="Arial" w:cs="Arial"/>
          <w:sz w:val="22"/>
          <w:szCs w:val="22"/>
          <w:lang w:val="en-US"/>
        </w:rPr>
      </w:pPr>
      <w:r w:rsidRPr="0070621F">
        <w:rPr>
          <w:rFonts w:ascii="Arial" w:hAnsi="Arial" w:cs="Arial"/>
          <w:sz w:val="20"/>
          <w:szCs w:val="20"/>
          <w:lang w:val="en-US"/>
        </w:rPr>
        <w:t>TB: Trophoblasts, M</w:t>
      </w:r>
      <w:r w:rsidR="00B171D4">
        <w:rPr>
          <w:rFonts w:ascii="Arial" w:hAnsi="Arial" w:cs="Arial"/>
          <w:color w:val="000000" w:themeColor="text1"/>
          <w:sz w:val="20"/>
          <w:szCs w:val="20"/>
          <w:lang w:val="en-US"/>
        </w:rPr>
        <w:t>Φ</w:t>
      </w:r>
      <w:r w:rsidRPr="0070621F">
        <w:rPr>
          <w:rFonts w:ascii="Arial" w:hAnsi="Arial" w:cs="Arial"/>
          <w:sz w:val="20"/>
          <w:szCs w:val="20"/>
          <w:lang w:val="en-US"/>
        </w:rPr>
        <w:t xml:space="preserve">: Macrophages, SC: Stromal cells, DC: dendritic cells, GC: granulocytes, NK: NK cells, HB: </w:t>
      </w:r>
      <w:proofErr w:type="spellStart"/>
      <w:r w:rsidRPr="0070621F">
        <w:rPr>
          <w:rFonts w:ascii="Arial" w:hAnsi="Arial" w:cs="Arial"/>
          <w:sz w:val="20"/>
          <w:szCs w:val="20"/>
          <w:lang w:val="en-US"/>
        </w:rPr>
        <w:t>Hofbauer</w:t>
      </w:r>
      <w:proofErr w:type="spellEnd"/>
      <w:r w:rsidRPr="0070621F">
        <w:rPr>
          <w:rFonts w:ascii="Arial" w:hAnsi="Arial" w:cs="Arial"/>
          <w:sz w:val="20"/>
          <w:szCs w:val="20"/>
          <w:lang w:val="en-US"/>
        </w:rPr>
        <w:t xml:space="preserve"> cells, ENC: endothelial cells. Monocytes: MC, EPC: epithelial cells, N/D: not determined.</w:t>
      </w:r>
      <w:r w:rsidR="00AA2A9C">
        <w:rPr>
          <w:rFonts w:ascii="Arial" w:hAnsi="Arial" w:cs="Arial"/>
          <w:sz w:val="20"/>
          <w:szCs w:val="20"/>
          <w:lang w:val="en-US"/>
        </w:rPr>
        <w:t xml:space="preserve"> </w:t>
      </w:r>
      <w:r w:rsidR="00AA2A9C" w:rsidRPr="00B171D4">
        <w:rPr>
          <w:rFonts w:ascii="Arial" w:hAnsi="Arial" w:cs="Arial"/>
          <w:sz w:val="20"/>
          <w:szCs w:val="20"/>
          <w:lang w:val="en-US"/>
        </w:rPr>
        <w:t>Expression of ligand positive cells is based on online published single cell sequencing dataset</w:t>
      </w:r>
      <w:r w:rsidR="00B04DB8">
        <w:rPr>
          <w:rFonts w:ascii="Arial" w:hAnsi="Arial" w:cs="Arial"/>
          <w:sz w:val="20"/>
          <w:szCs w:val="20"/>
          <w:lang w:val="en-US"/>
        </w:rPr>
        <w:t xml:space="preserve"> </w:t>
      </w:r>
      <w:r w:rsidR="00B04DB8">
        <w:rPr>
          <w:rFonts w:ascii="Arial" w:hAnsi="Arial" w:cs="Arial"/>
          <w:sz w:val="20"/>
          <w:szCs w:val="20"/>
          <w:lang w:val="en-US"/>
        </w:rPr>
        <w:fldChar w:fldCharType="begin" w:fldLock="1"/>
      </w:r>
      <w:r w:rsidR="008B657F">
        <w:rPr>
          <w:rFonts w:ascii="Arial" w:hAnsi="Arial" w:cs="Arial"/>
          <w:sz w:val="20"/>
          <w:szCs w:val="20"/>
          <w:lang w:val="en-US"/>
        </w:rPr>
        <w:instrText>ADDIN CSL_CITATION {"citationItems":[{"id":"ITEM-1","itemData":{"DOI":"10.1038/s41586-018-0698-6","author":[{"dropping-particle":"","family":"Vento-tormo","given":"Roser","non-dropping-particle":"","parse-names":false,"suffix":""},{"dropping-particle":"","family":"Efremova","given":"Mirjana","non-dropping-particle":"","parse-names":false,"suffix":""},{"dropping-particle":"","family":"Botting","given":"Rachel A","non-dropping-particle":"","parse-names":false,"suffix":""},{"dropping-particle":"","family":"Turco","given":"Margherita Y","non-dropping-particle":"","parse-names":false,"suffix":""},{"dropping-particle":"","family":"Vento-tormo","given":"Miquel","non-dropping-particle":"","parse-names":false,"suffix":""},{"dropping-particle":"","family":"Meyer","given":"Kerstin B","non-dropping-particle":"","parse-names":false,"suffix":""},{"dropping-particle":"","family":"Park","given":"Jong-eun","non-dropping-particle":"","parse-names":false,"suffix":""},{"dropping-particle":"","family":"Stephenson","given":"Emily","non-dropping-particle":"","parse-names":false,"suffix":""},{"dropping-particle":"","family":"Polański","given":"Krzysztof","non-dropping-particle":"","parse-names":false,"suffix":""},{"dropping-particle":"","family":"Goncalves","given":"Angela","non-dropping-particle":"","parse-names":false,"suffix":""},{"dropping-particle":"","family":"Gardner","given":"Lucy","non-dropping-particle":"","parse-names":false,"suffix":""},{"dropping-particle":"","family":"Holmqvist","given":"Staffan","non-dropping-particle":"","parse-names":false,"suffix":""},{"dropping-particle":"","family":"Henriksson","given":"Johan","non-dropping-particle":"","parse-names":false,"suffix":""},{"dropping-particle":"","family":"Zou","given":"Angela","non-dropping-particle":"","parse-names":false,"suffix":""},{"dropping-particle":"","family":"Sharkey","given":"Andrew M","non-dropping-particle":"","parse-names":false,"suffix":""},{"dropping-particle":"","family":"Millar","given":"Ben","non-dropping-particle":"","parse-names":false,"suffix":""},{"dropping-particle":"","family":"Innes","given":"Barbara","non-dropping-particle":"","parse-names":false,"suffix":""},{"dropping-particle":"","family":"Wood","given":"Laura","non-dropping-particle":"","parse-names":false,"suffix":""},{"dropping-particle":"","family":"Ivarsson","given":"Martin A","non-dropping-particle":"","parse-names":false,"suffix":""},{"dropping-particle":"","family":"Lisgo","given":"Steve","non-dropping-particle":"","parse-names":false,"suffix":""},{"dropping-particle":"","family":"Filby","given":"Andrew","non-dropping-particle":"","parse-names":false,"suffix":""},{"dropping-particle":"","family":"Rowitch","given":"David H","non-dropping-particle":"","parse-names":false,"suffix":""},{"dropping-particle":"","family":"Wilbrey-clark","given":"Anna","non-dropping-particle":"","parse-names":false,"suffix":""},{"dropping-particle":"","family":"Rebecca","given":"P","non-dropping-particle":"","parse-names":false,"suffix":""}],"id":"ITEM-1","issued":{"date-parts":[["2018"]]},"title":"Single-cell reconstruction of the early maternal – fetal interface in humans","type":"article-journal"},"uris":["http://www.mendeley.com/documents/?uuid=eea0e2aa-7db8-4380-83a7-15c3d3d8b970"]}],"mendeley":{"formattedCitation":"(14)","plainTextFormattedCitation":"(14)","previouslyFormattedCitation":"(14)"},"properties":{"noteIndex":0},"schema":"https://github.com/citation-style-language/schema/raw/master/csl-citation.json"}</w:instrText>
      </w:r>
      <w:r w:rsidR="00B04DB8">
        <w:rPr>
          <w:rFonts w:ascii="Arial" w:hAnsi="Arial" w:cs="Arial"/>
          <w:sz w:val="20"/>
          <w:szCs w:val="20"/>
          <w:lang w:val="en-US"/>
        </w:rPr>
        <w:fldChar w:fldCharType="separate"/>
      </w:r>
      <w:r w:rsidR="003E2B8F" w:rsidRPr="003E2B8F">
        <w:rPr>
          <w:rFonts w:ascii="Arial" w:hAnsi="Arial" w:cs="Arial"/>
          <w:noProof/>
          <w:sz w:val="20"/>
          <w:szCs w:val="20"/>
          <w:lang w:val="en-US"/>
        </w:rPr>
        <w:t>(14)</w:t>
      </w:r>
      <w:r w:rsidR="00B04DB8">
        <w:rPr>
          <w:rFonts w:ascii="Arial" w:hAnsi="Arial" w:cs="Arial"/>
          <w:sz w:val="20"/>
          <w:szCs w:val="20"/>
          <w:lang w:val="en-US"/>
        </w:rPr>
        <w:fldChar w:fldCharType="end"/>
      </w:r>
      <w:r w:rsidR="00AA2A9C" w:rsidRPr="00B171D4">
        <w:rPr>
          <w:rFonts w:ascii="Arial" w:hAnsi="Arial" w:cs="Arial"/>
          <w:sz w:val="20"/>
          <w:szCs w:val="20"/>
          <w:lang w:val="en-US"/>
        </w:rPr>
        <w:t>.</w:t>
      </w:r>
    </w:p>
    <w:p w14:paraId="305AC68E" w14:textId="13BD7BA0" w:rsidR="00AA2A9C" w:rsidRDefault="00AA2A9C">
      <w:pPr>
        <w:rPr>
          <w:rFonts w:ascii="Arial" w:hAnsi="Arial" w:cs="Arial"/>
          <w:lang w:val="uz-Cyrl-UZ"/>
        </w:rPr>
      </w:pPr>
      <w:r>
        <w:rPr>
          <w:rFonts w:ascii="Arial" w:hAnsi="Arial" w:cs="Arial"/>
          <w:lang w:val="uz-Cyrl-UZ"/>
        </w:rPr>
        <w:br w:type="page"/>
      </w:r>
    </w:p>
    <w:p w14:paraId="1500ABDB" w14:textId="77777777" w:rsidR="00AA2A9C" w:rsidRDefault="00AA2A9C" w:rsidP="00AA2A9C">
      <w:pPr>
        <w:pStyle w:val="Body"/>
        <w:spacing w:line="360" w:lineRule="auto"/>
        <w:jc w:val="both"/>
        <w:rPr>
          <w:rFonts w:ascii="Arial" w:hAnsi="Arial" w:cs="Arial"/>
          <w:b/>
          <w:bCs/>
          <w:sz w:val="22"/>
          <w:szCs w:val="22"/>
          <w:lang w:val="is-IS"/>
        </w:rPr>
      </w:pPr>
      <w:r w:rsidRPr="00C52FBF">
        <w:rPr>
          <w:rFonts w:ascii="Arial" w:hAnsi="Arial" w:cs="Arial"/>
          <w:b/>
          <w:bCs/>
          <w:noProof/>
          <w:sz w:val="22"/>
          <w:szCs w:val="22"/>
          <w:lang w:val="en-GB"/>
        </w:rPr>
        <w:lastRenderedPageBreak/>
        <w:drawing>
          <wp:inline distT="0" distB="0" distL="0" distR="0" wp14:anchorId="1193862D" wp14:editId="6AA30E3D">
            <wp:extent cx="4362450" cy="3062177"/>
            <wp:effectExtent l="0" t="0" r="0" b="508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6"/>
                    <a:stretch>
                      <a:fillRect/>
                    </a:stretch>
                  </pic:blipFill>
                  <pic:spPr>
                    <a:xfrm>
                      <a:off x="0" y="0"/>
                      <a:ext cx="4362811" cy="3062430"/>
                    </a:xfrm>
                    <a:prstGeom prst="rect">
                      <a:avLst/>
                    </a:prstGeom>
                  </pic:spPr>
                </pic:pic>
              </a:graphicData>
            </a:graphic>
          </wp:inline>
        </w:drawing>
      </w:r>
    </w:p>
    <w:p w14:paraId="55CDBBDC" w14:textId="77777777" w:rsidR="00AA2A9C" w:rsidRDefault="00AA2A9C" w:rsidP="00AA2A9C">
      <w:pPr>
        <w:pStyle w:val="Body"/>
        <w:spacing w:line="276" w:lineRule="auto"/>
        <w:jc w:val="both"/>
        <w:rPr>
          <w:rFonts w:ascii="Arial" w:hAnsi="Arial" w:cs="Arial"/>
          <w:bCs/>
          <w:sz w:val="20"/>
          <w:szCs w:val="22"/>
          <w:lang w:val="is-IS"/>
        </w:rPr>
      </w:pPr>
      <w:r w:rsidRPr="002B79C2">
        <w:rPr>
          <w:rFonts w:ascii="Arial" w:hAnsi="Arial" w:cs="Arial"/>
          <w:b/>
          <w:bCs/>
          <w:sz w:val="20"/>
          <w:szCs w:val="22"/>
          <w:lang w:val="is-IS"/>
        </w:rPr>
        <w:t xml:space="preserve">Suppl. Figure 1. CD8+ T cell differentiation. </w:t>
      </w:r>
      <w:r w:rsidRPr="002B79C2">
        <w:rPr>
          <w:rFonts w:ascii="Arial" w:hAnsi="Arial" w:cs="Arial"/>
          <w:bCs/>
          <w:sz w:val="20"/>
          <w:szCs w:val="22"/>
          <w:lang w:val="is-IS"/>
        </w:rPr>
        <w:t>Graphical representation of differenciation trajectories according to the „linear model“ as well as markers used to identify each CD8</w:t>
      </w:r>
      <w:r>
        <w:rPr>
          <w:rFonts w:ascii="Arial" w:hAnsi="Arial" w:cs="Arial"/>
          <w:bCs/>
          <w:sz w:val="20"/>
          <w:szCs w:val="22"/>
          <w:lang w:val="is-IS"/>
        </w:rPr>
        <w:t>+</w:t>
      </w:r>
      <w:r w:rsidRPr="002B79C2">
        <w:rPr>
          <w:rFonts w:ascii="Arial" w:hAnsi="Arial" w:cs="Arial"/>
          <w:bCs/>
          <w:sz w:val="20"/>
          <w:szCs w:val="22"/>
          <w:lang w:val="is-IS"/>
        </w:rPr>
        <w:t xml:space="preserve"> T cell subset as named in Suppl. Table 1. The arrows denote the differenciation process and not a gating strategy.</w:t>
      </w:r>
    </w:p>
    <w:p w14:paraId="50ACD5D1" w14:textId="77777777" w:rsidR="00AA2A9C" w:rsidRPr="002B79C2" w:rsidRDefault="00AA2A9C" w:rsidP="00AA2A9C">
      <w:pPr>
        <w:pStyle w:val="Body"/>
        <w:spacing w:line="276" w:lineRule="auto"/>
        <w:jc w:val="both"/>
        <w:rPr>
          <w:rFonts w:ascii="Arial" w:hAnsi="Arial" w:cs="Arial"/>
          <w:bCs/>
          <w:sz w:val="20"/>
          <w:szCs w:val="22"/>
          <w:lang w:val="is-IS"/>
        </w:rPr>
      </w:pPr>
    </w:p>
    <w:p w14:paraId="1465888B" w14:textId="231D9991" w:rsidR="00B35F4D" w:rsidRDefault="00B35F4D" w:rsidP="00B171D4">
      <w:pPr>
        <w:rPr>
          <w:rFonts w:ascii="Arial" w:hAnsi="Arial" w:cs="Arial"/>
          <w:lang w:val="is-IS"/>
        </w:rPr>
      </w:pPr>
      <w:r w:rsidRPr="00B35F4D">
        <w:rPr>
          <w:rFonts w:ascii="Arial" w:hAnsi="Arial" w:cs="Arial"/>
          <w:noProof/>
          <w:lang w:eastAsia="en-GB"/>
        </w:rPr>
        <w:lastRenderedPageBreak/>
        <w:drawing>
          <wp:inline distT="0" distB="0" distL="0" distR="0" wp14:anchorId="1FFF4319" wp14:editId="2DF31D96">
            <wp:extent cx="6056415" cy="5528048"/>
            <wp:effectExtent l="0" t="0" r="1905"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rotWithShape="1">
                    <a:blip r:embed="rId7"/>
                    <a:srcRect l="2886" b="16425"/>
                    <a:stretch/>
                  </pic:blipFill>
                  <pic:spPr bwMode="auto">
                    <a:xfrm>
                      <a:off x="0" y="0"/>
                      <a:ext cx="6067874" cy="5538507"/>
                    </a:xfrm>
                    <a:prstGeom prst="rect">
                      <a:avLst/>
                    </a:prstGeom>
                    <a:ln>
                      <a:noFill/>
                    </a:ln>
                    <a:extLst>
                      <a:ext uri="{53640926-AAD7-44D8-BBD7-CCE9431645EC}">
                        <a14:shadowObscured xmlns:a14="http://schemas.microsoft.com/office/drawing/2010/main"/>
                      </a:ext>
                    </a:extLst>
                  </pic:spPr>
                </pic:pic>
              </a:graphicData>
            </a:graphic>
          </wp:inline>
        </w:drawing>
      </w:r>
    </w:p>
    <w:p w14:paraId="0A440ECD" w14:textId="2BE76E17" w:rsidR="00B35F4D" w:rsidRDefault="00B35F4D" w:rsidP="00B35F4D">
      <w:pPr>
        <w:rPr>
          <w:rFonts w:ascii="Arial" w:hAnsi="Arial" w:cs="Arial"/>
          <w:sz w:val="20"/>
          <w:lang w:val="is-IS"/>
        </w:rPr>
      </w:pPr>
      <w:r w:rsidRPr="00AA2A9C">
        <w:rPr>
          <w:rFonts w:ascii="Arial" w:hAnsi="Arial" w:cs="Arial"/>
          <w:b/>
          <w:bCs/>
          <w:sz w:val="20"/>
          <w:lang w:val="is-IS"/>
        </w:rPr>
        <w:t xml:space="preserve">Suppl. figure </w:t>
      </w:r>
      <w:r w:rsidR="00AA00E3" w:rsidRPr="00AA2A9C">
        <w:rPr>
          <w:rFonts w:ascii="Arial" w:hAnsi="Arial" w:cs="Arial"/>
          <w:b/>
          <w:bCs/>
          <w:sz w:val="20"/>
          <w:lang w:val="is-IS"/>
        </w:rPr>
        <w:t>2</w:t>
      </w:r>
      <w:r w:rsidRPr="00AA2A9C">
        <w:rPr>
          <w:rFonts w:ascii="Arial" w:hAnsi="Arial" w:cs="Arial"/>
          <w:b/>
          <w:bCs/>
          <w:sz w:val="20"/>
          <w:lang w:val="is-IS"/>
        </w:rPr>
        <w:t>.</w:t>
      </w:r>
      <w:r w:rsidRPr="00AA2A9C">
        <w:rPr>
          <w:rFonts w:ascii="Arial" w:hAnsi="Arial" w:cs="Arial"/>
          <w:sz w:val="20"/>
          <w:lang w:val="is-IS"/>
        </w:rPr>
        <w:t xml:space="preserve"> Heatmaps of selected markers from single cell gene expression analysis </w:t>
      </w:r>
      <w:r w:rsidR="009B3496" w:rsidRPr="00AA2A9C">
        <w:rPr>
          <w:rFonts w:ascii="Arial" w:hAnsi="Arial" w:cs="Arial"/>
          <w:sz w:val="20"/>
          <w:lang w:val="is-IS"/>
        </w:rPr>
        <w:fldChar w:fldCharType="begin" w:fldLock="1"/>
      </w:r>
      <w:r w:rsidR="008B657F">
        <w:rPr>
          <w:rFonts w:ascii="Arial" w:hAnsi="Arial" w:cs="Arial"/>
          <w:sz w:val="20"/>
          <w:lang w:val="is-IS"/>
        </w:rPr>
        <w:instrText>ADDIN CSL_CITATION {"citationItems":[{"id":"ITEM-1","itemData":{"DOI":"10.3389/fimmu.2021.689019","ISSN":"16643224","PMID":"34168655","abstract":"Recurrent pregnancy loss (RPL) is a common fertility problem that affects 1%-2% of couples all over the world. Despite exciting discoveries regarding the important roles of the decidual natural killer cell (dNK) and regulatory T cell in pregnancy, the immune heterogeneity in patients with unexplained recurrent pregnancy loss (URPL) remains elusive. Here, we profiled the transcriptomes of 13,953 CD45+ cells from three normal and three URPL deciduas. Based on our data, the cellular composition revealed three major populations of immune cells including dNK cell, T cell, and macrophage, and four minor populations including monocytes, dendritic cell (DC), mast cell, and B cell. Especially, we identified a subpopulation of CSF1+ CD59+ KIRs-expressing dNK cells in normal deciduas, while the proportion of this subpopulation was decreased in URPL deciduas. We also identified a small subpopulation of activated dDCs that were accumulated mainly in URPL deciduas. Furthermore, our data revealed that in decidua at early pregnancy, CD8+ T cells exhibited cytotoxic properties. The decidual macrophages expressed high levels of both M1 and M2 feature genes, which made them unique to the conventional M1/M2 classification. Our single-cell data revealed the immune heterogeneity in decidua and the potentially pathogenic immune variations in URPL.","author":[{"dropping-particle":"","family":"Chen","given":"Pengfei","non-dropping-particle":"","parse-names":false,"suffix":""},{"dropping-particle":"","family":"Zhou","given":"Liying","non-dropping-particle":"","parse-names":false,"suffix":""},{"dropping-particle":"","family":"Chen","given":"Jiying","non-dropping-particle":"","parse-names":false,"suffix":""},{"dropping-particle":"","family":"Lu","given":"Ying","non-dropping-particle":"","parse-names":false,"suffix":""},{"dropping-particle":"","family":"Cao","given":"Chaoxia","non-dropping-particle":"","parse-names":false,"suffix":""},{"dropping-particle":"","family":"Lv","given":"Shuangli","non-dropping-particle":"","parse-names":false,"suffix":""},{"dropping-particle":"","family":"Wei","given":"Zhihong","non-dropping-particle":"","parse-names":false,"suffix":""},{"dropping-particle":"","family":"Wang","given":"Liping","non-dropping-particle":"","parse-names":false,"suffix":""},{"dropping-particle":"","family":"Chen","given":"Jiao","non-dropping-particle":"","parse-names":false,"suffix":""},{"dropping-particle":"","family":"Hu","given":"Xinglin","non-dropping-particle":"","parse-names":false,"suffix":""},{"dropping-particle":"","family":"Wu","given":"Zijing","non-dropping-particle":"","parse-names":false,"suffix":""},{"dropping-particle":"","family":"Zhou","given":"Xiaohua","non-dropping-particle":"","parse-names":false,"suffix":""},{"dropping-particle":"","family":"Su","given":"Danna","non-dropping-particle":"","parse-names":false,"suffix":""},{"dropping-particle":"","family":"Deng","given":"Xuefeng","non-dropping-particle":"","parse-names":false,"suffix":""},{"dropping-particle":"","family":"Zeng","given":"Changchun","non-dropping-particle":"","parse-names":false,"suffix":""},{"dropping-particle":"","family":"Wang","given":"Huiyun","non-dropping-particle":"","parse-names":false,"suffix":""},{"dropping-particle":"","family":"Pu","given":"Zuhui","non-dropping-particle":"","parse-names":false,"suffix":""},{"dropping-particle":"","family":"Diao","given":"Ruiying","non-dropping-particle":"","parse-names":false,"suffix":""},{"dropping-particle":"","family":"Mou","given":"Lisha","non-dropping-particle":"","parse-names":false,"suffix":""}],"container-title":"Frontiers in Immunology","id":"ITEM-1","issue":"June","issued":{"date-parts":[["2021"]]},"page":"1-16","title":"The Immune Atlas of Human Deciduas With Unexplained Recurrent Pregnancy Loss","type":"article-journal","volume":"12"},"uris":["http://www.mendeley.com/documents/?uuid=e3026b15-6bea-4ddc-bf46-d94ce3d049fb"]}],"mendeley":{"formattedCitation":"(15)","plainTextFormattedCitation":"(15)","previouslyFormattedCitation":"(15)"},"properties":{"noteIndex":0},"schema":"https://github.com/citation-style-language/schema/raw/master/csl-citation.json"}</w:instrText>
      </w:r>
      <w:r w:rsidR="009B3496" w:rsidRPr="00AA2A9C">
        <w:rPr>
          <w:rFonts w:ascii="Arial" w:hAnsi="Arial" w:cs="Arial"/>
          <w:sz w:val="20"/>
          <w:lang w:val="is-IS"/>
        </w:rPr>
        <w:fldChar w:fldCharType="separate"/>
      </w:r>
      <w:r w:rsidR="003E2B8F" w:rsidRPr="003E2B8F">
        <w:rPr>
          <w:rFonts w:ascii="Arial" w:hAnsi="Arial" w:cs="Arial"/>
          <w:noProof/>
          <w:sz w:val="20"/>
          <w:lang w:val="is-IS"/>
        </w:rPr>
        <w:t>(15)</w:t>
      </w:r>
      <w:r w:rsidR="009B3496" w:rsidRPr="00AA2A9C">
        <w:rPr>
          <w:rFonts w:ascii="Arial" w:hAnsi="Arial" w:cs="Arial"/>
          <w:sz w:val="20"/>
          <w:lang w:val="is-IS"/>
        </w:rPr>
        <w:fldChar w:fldCharType="end"/>
      </w:r>
      <w:r w:rsidR="00AA2A9C" w:rsidRPr="00AA2A9C">
        <w:rPr>
          <w:rFonts w:ascii="Arial" w:hAnsi="Arial" w:cs="Arial"/>
          <w:sz w:val="20"/>
          <w:lang w:val="is-IS"/>
        </w:rPr>
        <w:t>.</w:t>
      </w:r>
      <w:r w:rsidR="009B3496" w:rsidRPr="00AA2A9C">
        <w:rPr>
          <w:rFonts w:ascii="Arial" w:hAnsi="Arial" w:cs="Arial"/>
          <w:sz w:val="20"/>
          <w:lang w:val="is-IS"/>
        </w:rPr>
        <w:t xml:space="preserve"> </w:t>
      </w:r>
      <w:r w:rsidRPr="00AA2A9C">
        <w:rPr>
          <w:rFonts w:ascii="Arial" w:hAnsi="Arial" w:cs="Arial"/>
          <w:sz w:val="20"/>
          <w:lang w:val="is-IS"/>
        </w:rPr>
        <w:t>Protein names are used for simplification.</w:t>
      </w:r>
    </w:p>
    <w:p w14:paraId="39B191C3" w14:textId="77777777" w:rsidR="00594625" w:rsidRPr="00594625" w:rsidRDefault="00594625" w:rsidP="00B35F4D">
      <w:pPr>
        <w:rPr>
          <w:rFonts w:ascii="Arial" w:hAnsi="Arial" w:cs="Arial"/>
          <w:b/>
          <w:bCs/>
          <w:sz w:val="18"/>
          <w:szCs w:val="21"/>
          <w:lang w:val="is-IS"/>
        </w:rPr>
      </w:pPr>
    </w:p>
    <w:p w14:paraId="1A8A41E7" w14:textId="5C4CDAA3" w:rsidR="00B35F4D" w:rsidRPr="00594625" w:rsidRDefault="00594625" w:rsidP="00B171D4">
      <w:pPr>
        <w:rPr>
          <w:rFonts w:ascii="Arial" w:hAnsi="Arial" w:cs="Arial"/>
          <w:b/>
          <w:bCs/>
          <w:sz w:val="21"/>
          <w:szCs w:val="21"/>
          <w:lang w:val="is-IS"/>
        </w:rPr>
      </w:pPr>
      <w:r w:rsidRPr="00594625">
        <w:rPr>
          <w:rFonts w:ascii="Arial" w:hAnsi="Arial" w:cs="Arial"/>
          <w:b/>
          <w:bCs/>
          <w:sz w:val="21"/>
          <w:szCs w:val="21"/>
          <w:lang w:val="is-IS"/>
        </w:rPr>
        <w:t>Supplementary methodological information</w:t>
      </w:r>
    </w:p>
    <w:p w14:paraId="62E68A1A" w14:textId="405C9D4F" w:rsidR="00594625" w:rsidRDefault="00594625" w:rsidP="00934E05">
      <w:pPr>
        <w:spacing w:after="0" w:line="240" w:lineRule="auto"/>
        <w:jc w:val="both"/>
        <w:rPr>
          <w:rFonts w:ascii="Arial" w:hAnsi="Arial" w:cs="Arial"/>
          <w:sz w:val="20"/>
          <w:szCs w:val="20"/>
          <w:lang w:val="is-IS"/>
        </w:rPr>
      </w:pPr>
      <w:r w:rsidRPr="00594625">
        <w:rPr>
          <w:rFonts w:ascii="Arial" w:hAnsi="Arial" w:cs="Arial"/>
          <w:sz w:val="20"/>
          <w:szCs w:val="20"/>
          <w:lang w:val="is-IS"/>
        </w:rPr>
        <w:t xml:space="preserve">Selected keywords were used for the literature search in Pubmed. Articles were not excluded based on publication date. Articles for constuction of table 1 (characterization of human decidual CD8+ T cells) were limited to flow cytometry data using CD45RA/CD45RO and CCR7 enabling direct comparison. </w:t>
      </w:r>
    </w:p>
    <w:p w14:paraId="3C0BB38B" w14:textId="27F3BF27" w:rsidR="00594625" w:rsidRDefault="00594625" w:rsidP="00934E05">
      <w:pPr>
        <w:spacing w:after="0" w:line="240" w:lineRule="auto"/>
        <w:jc w:val="both"/>
        <w:rPr>
          <w:rFonts w:ascii="Arial" w:hAnsi="Arial" w:cs="Arial"/>
          <w:sz w:val="20"/>
          <w:szCs w:val="20"/>
          <w:lang w:val="is-IS"/>
        </w:rPr>
      </w:pPr>
    </w:p>
    <w:p w14:paraId="5D4164FA" w14:textId="7021878F" w:rsidR="008E6CFD" w:rsidRDefault="008E6CFD" w:rsidP="00934E05">
      <w:pPr>
        <w:spacing w:after="0" w:line="240" w:lineRule="auto"/>
        <w:jc w:val="both"/>
        <w:rPr>
          <w:rFonts w:ascii="Arial" w:hAnsi="Arial" w:cs="Arial"/>
          <w:sz w:val="20"/>
          <w:szCs w:val="20"/>
          <w:lang w:val="is-IS"/>
        </w:rPr>
      </w:pPr>
      <w:r>
        <w:rPr>
          <w:rFonts w:ascii="Arial" w:hAnsi="Arial" w:cs="Arial"/>
          <w:sz w:val="20"/>
          <w:szCs w:val="20"/>
          <w:lang w:val="is-IS"/>
        </w:rPr>
        <w:t xml:space="preserve">Publicly available </w:t>
      </w:r>
      <w:r w:rsidRPr="00594625">
        <w:rPr>
          <w:rFonts w:ascii="Arial" w:hAnsi="Arial" w:cs="Arial"/>
          <w:sz w:val="20"/>
          <w:szCs w:val="20"/>
          <w:lang w:val="is-IS"/>
        </w:rPr>
        <w:t>single-cell RNA</w:t>
      </w:r>
      <w:r>
        <w:rPr>
          <w:rFonts w:ascii="Arial" w:hAnsi="Arial" w:cs="Arial"/>
          <w:sz w:val="20"/>
          <w:szCs w:val="20"/>
          <w:lang w:val="is-IS"/>
        </w:rPr>
        <w:t xml:space="preserve"> s</w:t>
      </w:r>
      <w:r w:rsidRPr="00594625">
        <w:rPr>
          <w:rFonts w:ascii="Arial" w:hAnsi="Arial" w:cs="Arial"/>
          <w:sz w:val="20"/>
          <w:szCs w:val="20"/>
          <w:lang w:val="is-IS"/>
        </w:rPr>
        <w:t>eq</w:t>
      </w:r>
      <w:r>
        <w:rPr>
          <w:rFonts w:ascii="Arial" w:hAnsi="Arial" w:cs="Arial"/>
          <w:sz w:val="20"/>
          <w:szCs w:val="20"/>
          <w:lang w:val="is-IS"/>
        </w:rPr>
        <w:t>uencing</w:t>
      </w:r>
      <w:r w:rsidRPr="00594625">
        <w:rPr>
          <w:rFonts w:ascii="Arial" w:hAnsi="Arial" w:cs="Arial"/>
          <w:sz w:val="20"/>
          <w:szCs w:val="20"/>
          <w:lang w:val="is-IS"/>
        </w:rPr>
        <w:t xml:space="preserve"> data</w:t>
      </w:r>
      <w:r>
        <w:rPr>
          <w:rFonts w:ascii="Arial" w:hAnsi="Arial" w:cs="Arial"/>
          <w:sz w:val="20"/>
          <w:szCs w:val="20"/>
          <w:lang w:val="is-IS"/>
        </w:rPr>
        <w:t>set</w:t>
      </w:r>
      <w:r w:rsidR="0080322E">
        <w:rPr>
          <w:rFonts w:ascii="Arial" w:hAnsi="Arial" w:cs="Arial"/>
          <w:sz w:val="20"/>
          <w:szCs w:val="20"/>
          <w:lang w:val="is-IS"/>
        </w:rPr>
        <w:t xml:space="preserve"> (GEO:GSE164449, </w:t>
      </w:r>
      <w:hyperlink r:id="rId8" w:history="1">
        <w:r w:rsidR="0080322E" w:rsidRPr="0080322E">
          <w:rPr>
            <w:rFonts w:ascii="Arial" w:hAnsi="Arial" w:cs="Arial"/>
            <w:sz w:val="20"/>
            <w:szCs w:val="20"/>
            <w:lang w:val="is-IS"/>
          </w:rPr>
          <w:t>https://www.ncbi.nlm.nih.gov/geo/</w:t>
        </w:r>
      </w:hyperlink>
      <w:r w:rsidR="0080322E" w:rsidRPr="0080322E">
        <w:rPr>
          <w:rFonts w:ascii="Arial" w:hAnsi="Arial" w:cs="Arial"/>
          <w:sz w:val="20"/>
          <w:szCs w:val="20"/>
          <w:lang w:val="is-IS"/>
        </w:rPr>
        <w:t>)</w:t>
      </w:r>
      <w:r>
        <w:rPr>
          <w:rFonts w:ascii="Arial" w:hAnsi="Arial" w:cs="Arial"/>
          <w:sz w:val="20"/>
          <w:szCs w:val="20"/>
          <w:lang w:val="is-IS"/>
        </w:rPr>
        <w:t xml:space="preserve"> from the decidua of three healthy first trimester pregnancy samples (on average 7 weeks of gestation</w:t>
      </w:r>
      <w:r w:rsidRPr="008B657F">
        <w:rPr>
          <w:rFonts w:ascii="Arial" w:hAnsi="Arial" w:cs="Arial"/>
          <w:sz w:val="20"/>
          <w:szCs w:val="20"/>
          <w:lang w:val="is-IS"/>
        </w:rPr>
        <w:t>)</w:t>
      </w:r>
      <w:r w:rsidR="00F13F8C" w:rsidRPr="008B657F">
        <w:rPr>
          <w:rFonts w:ascii="Arial" w:hAnsi="Arial" w:cs="Arial"/>
          <w:sz w:val="20"/>
          <w:szCs w:val="20"/>
          <w:lang w:val="is-IS"/>
        </w:rPr>
        <w:t xml:space="preserve"> </w:t>
      </w:r>
      <w:r w:rsidR="008B657F" w:rsidRPr="008B657F">
        <w:rPr>
          <w:rFonts w:ascii="Arial" w:hAnsi="Arial" w:cs="Arial"/>
          <w:sz w:val="20"/>
          <w:szCs w:val="20"/>
          <w:lang w:val="is-IS"/>
        </w:rPr>
        <w:fldChar w:fldCharType="begin" w:fldLock="1"/>
      </w:r>
      <w:r w:rsidR="008B657F" w:rsidRPr="008B657F">
        <w:rPr>
          <w:rFonts w:ascii="Arial" w:hAnsi="Arial" w:cs="Arial"/>
          <w:sz w:val="20"/>
          <w:szCs w:val="20"/>
          <w:lang w:val="is-IS"/>
        </w:rPr>
        <w:instrText>ADDIN CSL_CITATION {"citationItems":[{"id":"ITEM-1","itemData":{"DOI":"10.3389/fimmu.2021.689019","ISSN":"16643224","PMID":"34168655","abstract":"Recurrent pregnancy loss (RPL) is a common fertility problem that affects 1%-2% of couples all over the world. Despite exciting discoveries regarding the important roles of the decidual natural killer cell (dNK) and regulatory T cell in pregnancy, the immune heterogeneity in patients with unexplained recurrent pregnancy loss (URPL) remains elusive. Here, we profiled the transcriptomes of 13,953 CD45+ cells from three normal and three URPL deciduas. Based on our data, the cellular composition revealed three major populations of immune cells including dNK cell, T cell, and macrophage, and four minor populations including monocytes, dendritic cell (DC), mast cell, and B cell. Especially, we identified a subpopulation of CSF1+ CD59+ KIRs-expressing dNK cells in normal deciduas, while the proportion of this subpopulation was decreased in URPL deciduas. We also identified a small subpopulation of activated dDCs that were accumulated mainly in URPL deciduas. Furthermore, our data revealed that in decidua at early pregnancy, CD8+ T cells exhibited cytotoxic properties. The decidual macrophages expressed high levels of both M1 and M2 feature genes, which made them unique to the conventional M1/M2 classification. Our single-cell data revealed the immune heterogeneity in decidua and the potentially pathogenic immune variations in URPL.","author":[{"dropping-particle":"","family":"Chen","given":"Pengfei","non-dropping-particle":"","parse-names":false,"suffix":""},{"dropping-particle":"","family":"Zhou","given":"Liying","non-dropping-particle":"","parse-names":false,"suffix":""},{"dropping-particle":"","family":"Chen","given":"Jiying","non-dropping-particle":"","parse-names":false,"suffix":""},{"dropping-particle":"","family":"Lu","given":"Ying","non-dropping-particle":"","parse-names":false,"suffix":""},{"dropping-particle":"","family":"Cao","given":"Chaoxia","non-dropping-particle":"","parse-names":false,"suffix":""},{"dropping-particle":"","family":"Lv","given":"Shuangli","non-dropping-particle":"","parse-names":false,"suffix":""},{"dropping-particle":"","family":"Wei","given":"Zhihong","non-dropping-particle":"","parse-names":false,"suffix":""},{"dropping-particle":"","family":"Wang","given":"Liping","non-dropping-particle":"","parse-names":false,"suffix":""},{"dropping-particle":"","family":"Chen","given":"Jiao","non-dropping-particle":"","parse-names":false,"suffix":""},{"dropping-particle":"","family":"Hu","given":"Xinglin","non-dropping-particle":"","parse-names":false,"suffix":""},{"dropping-particle":"","family":"Wu","given":"Zijing","non-dropping-particle":"","parse-names":false,"suffix":""},{"dropping-particle":"","family":"Zhou","given":"Xiaohua","non-dropping-particle":"","parse-names":false,"suffix":""},{"dropping-particle":"","family":"Su","given":"Danna","non-dropping-particle":"","parse-names":false,"suffix":""},{"dropping-particle":"","family":"Deng","given":"Xuefeng","non-dropping-particle":"","parse-names":false,"suffix":""},{"dropping-particle":"","family":"Zeng","given":"Changchun","non-dropping-particle":"","parse-names":false,"suffix":""},{"dropping-particle":"","family":"Wang","given":"Huiyun","non-dropping-particle":"","parse-names":false,"suffix":""},{"dropping-particle":"","family":"Pu","given":"Zuhui","non-dropping-particle":"","parse-names":false,"suffix":""},{"dropping-particle":"","family":"Diao","given":"Ruiying","non-dropping-particle":"","parse-names":false,"suffix":""},{"dropping-particle":"","family":"Mou","given":"Lisha","non-dropping-particle":"","parse-names":false,"suffix":""}],"container-title":"Frontiers in Immunology","id":"ITEM-1","issue":"June","issued":{"date-parts":[["2021"]]},"page":"1-16","title":"The Immune Atlas of Human Deciduas With Unexplained Recurrent Pregnancy Loss","type":"article-journal","volume":"12"},"uris":["http://www.mendeley.com/documents/?uuid=00df1f37-7f36-4f5c-a5e5-5aacc9717f35"]}],"mendeley":{"formattedCitation":"(15)","plainTextFormattedCitation":"(15)","previouslyFormattedCitation":"(15)"},"properties":{"noteIndex":0},"schema":"https://github.com/citation-style-language/schema/raw/master/csl-citation.json"}</w:instrText>
      </w:r>
      <w:r w:rsidR="008B657F" w:rsidRPr="008B657F">
        <w:rPr>
          <w:rFonts w:ascii="Arial" w:hAnsi="Arial" w:cs="Arial"/>
          <w:sz w:val="20"/>
          <w:szCs w:val="20"/>
          <w:lang w:val="is-IS"/>
        </w:rPr>
        <w:fldChar w:fldCharType="separate"/>
      </w:r>
      <w:r w:rsidR="008B657F" w:rsidRPr="008B657F">
        <w:rPr>
          <w:rFonts w:ascii="Arial" w:hAnsi="Arial" w:cs="Arial"/>
          <w:noProof/>
          <w:sz w:val="20"/>
          <w:szCs w:val="20"/>
          <w:lang w:val="is-IS"/>
        </w:rPr>
        <w:t>(15)</w:t>
      </w:r>
      <w:r w:rsidR="008B657F" w:rsidRPr="008B657F">
        <w:rPr>
          <w:rFonts w:ascii="Arial" w:hAnsi="Arial" w:cs="Arial"/>
          <w:sz w:val="20"/>
          <w:szCs w:val="20"/>
          <w:lang w:val="is-IS"/>
        </w:rPr>
        <w:fldChar w:fldCharType="end"/>
      </w:r>
      <w:r>
        <w:rPr>
          <w:rFonts w:ascii="Arial" w:hAnsi="Arial" w:cs="Arial"/>
          <w:sz w:val="20"/>
          <w:szCs w:val="20"/>
          <w:lang w:val="is-IS"/>
        </w:rPr>
        <w:t xml:space="preserve"> was re-a</w:t>
      </w:r>
      <w:r w:rsidRPr="00594625">
        <w:rPr>
          <w:rFonts w:ascii="Arial" w:hAnsi="Arial" w:cs="Arial"/>
          <w:sz w:val="20"/>
          <w:szCs w:val="20"/>
          <w:lang w:val="is-IS"/>
        </w:rPr>
        <w:t>nalys</w:t>
      </w:r>
      <w:r>
        <w:rPr>
          <w:rFonts w:ascii="Arial" w:hAnsi="Arial" w:cs="Arial"/>
          <w:sz w:val="20"/>
          <w:szCs w:val="20"/>
          <w:lang w:val="is-IS"/>
        </w:rPr>
        <w:t>ed</w:t>
      </w:r>
      <w:r w:rsidR="00B81854">
        <w:rPr>
          <w:rFonts w:ascii="Arial" w:hAnsi="Arial" w:cs="Arial"/>
          <w:sz w:val="20"/>
          <w:szCs w:val="20"/>
          <w:lang w:val="is-IS"/>
        </w:rPr>
        <w:t xml:space="preserve"> using </w:t>
      </w:r>
      <w:r w:rsidR="00B81854" w:rsidRPr="00594625">
        <w:rPr>
          <w:rFonts w:ascii="Arial" w:hAnsi="Arial" w:cs="Arial"/>
          <w:sz w:val="20"/>
          <w:szCs w:val="20"/>
          <w:lang w:val="is-IS"/>
        </w:rPr>
        <w:t xml:space="preserve">the R-package Seurat </w:t>
      </w:r>
      <w:r w:rsidR="008B657F">
        <w:rPr>
          <w:rFonts w:ascii="Arial" w:hAnsi="Arial" w:cs="Arial"/>
          <w:sz w:val="20"/>
          <w:szCs w:val="20"/>
          <w:lang w:val="is-IS"/>
        </w:rPr>
        <w:fldChar w:fldCharType="begin" w:fldLock="1"/>
      </w:r>
      <w:r w:rsidR="008B657F">
        <w:rPr>
          <w:rFonts w:ascii="Arial" w:hAnsi="Arial" w:cs="Arial"/>
          <w:sz w:val="20"/>
          <w:szCs w:val="20"/>
          <w:lang w:val="is-IS"/>
        </w:rPr>
        <w:instrText>ADDIN CSL_CITATION {"citationItems":[{"id":"ITEM-1","itemData":{"DOI":"10.1016/j.cell.2019.05.031","ISSN":"1097-4172 (Electronic)","PMID":"31178118","abstract":"Single-cell transcriptomics has transformed our ability to characterize cell states, but deep biological understanding requires more than a taxonomic listing of clusters. As new methods arise to measure distinct cellular modalities, a key analytical challenge is to integrate these datasets to better understand cellular identity and function. Here, we develop a strategy to \"anchor\" diverse datasets together, enabling us to integrate single-cell measurements not only across scRNA-seq technologies, but also across different modalities. After demonstrating improvement over existing methods for integrating scRNA-seq data, we anchor scRNA-seq experiments with scATAC-seq to explore chromatin differences in closely related interneuron subsets and project protein expression measurements onto a bone marrow atlas to characterize lymphocyte populations. Lastly, we harmonize in situ gene expression and scRNA-seq datasets, allowing transcriptome-wide imputation of spatial gene expression patterns. Our work presents a strategy for the assembly of harmonized references and transfer of information across datasets.","author":[{"dropping-particle":"","family":"Stuart","given":"T","non-dropping-particle":"","parse-names":false,"suffix":""},{"dropping-particle":"","family":"Butler","given":"A","non-dropping-particle":"","parse-names":false,"suffix":""},{"dropping-particle":"","family":"Hoffman","given":"P","non-dropping-particle":"","parse-names":false,"suffix":""},{"dropping-particle":"","family":"Hafemeister","given":"C","non-dropping-particle":"","parse-names":false,"suffix":""},{"dropping-particle":"","family":"Papalexi","given":"E","non-dropping-particle":"","parse-names":false,"suffix":""},{"dropping-particle":"","family":"Mauck","given":"W M 3rd","non-dropping-particle":"","parse-names":false,"suffix":""},{"dropping-particle":"","family":"Hao","given":"Y","non-dropping-particle":"","parse-names":false,"suffix":""},{"dropping-particle":"","family":"Stoeckius","given":"M","non-dropping-particle":"","parse-names":false,"suffix":""},{"dropping-particle":"","family":"Smibert","given":"P","non-dropping-particle":"","parse-names":false,"suffix":""},{"dropping-particle":"","family":"Satija","given":"R","non-dropping-particle":"","parse-names":false,"suffix":""}],"container-title":"Cell","id":"ITEM-1","issue":"7","issued":{"date-parts":[["2019","6"]]},"language":"eng","page":"1888-1902.e21","title":"Comprehensive Integration of Single-Cell Data.","type":"article-journal","volume":"177"},"uris":["http://www.mendeley.com/documents/?uuid=cd81524c-6c2c-4582-a500-de784da3e37a"]}],"mendeley":{"formattedCitation":"(16)","plainTextFormattedCitation":"(16)","previouslyFormattedCitation":"(16)"},"properties":{"noteIndex":0},"schema":"https://github.com/citation-style-language/schema/raw/master/csl-citation.json"}</w:instrText>
      </w:r>
      <w:r w:rsidR="008B657F">
        <w:rPr>
          <w:rFonts w:ascii="Arial" w:hAnsi="Arial" w:cs="Arial"/>
          <w:sz w:val="20"/>
          <w:szCs w:val="20"/>
          <w:lang w:val="is-IS"/>
        </w:rPr>
        <w:fldChar w:fldCharType="separate"/>
      </w:r>
      <w:r w:rsidR="008B657F" w:rsidRPr="008B657F">
        <w:rPr>
          <w:rFonts w:ascii="Arial" w:hAnsi="Arial" w:cs="Arial"/>
          <w:noProof/>
          <w:sz w:val="20"/>
          <w:szCs w:val="20"/>
          <w:lang w:val="is-IS"/>
        </w:rPr>
        <w:t>(16)</w:t>
      </w:r>
      <w:r w:rsidR="008B657F">
        <w:rPr>
          <w:rFonts w:ascii="Arial" w:hAnsi="Arial" w:cs="Arial"/>
          <w:sz w:val="20"/>
          <w:szCs w:val="20"/>
          <w:lang w:val="is-IS"/>
        </w:rPr>
        <w:fldChar w:fldCharType="end"/>
      </w:r>
      <w:r w:rsidR="008B657F">
        <w:rPr>
          <w:rFonts w:ascii="Arial" w:hAnsi="Arial" w:cs="Arial"/>
          <w:sz w:val="20"/>
          <w:szCs w:val="20"/>
          <w:lang w:val="is-IS"/>
        </w:rPr>
        <w:t>.</w:t>
      </w:r>
      <w:r w:rsidR="00B81854">
        <w:rPr>
          <w:rFonts w:ascii="Arial" w:hAnsi="Arial" w:cs="Arial"/>
          <w:sz w:val="20"/>
          <w:szCs w:val="20"/>
          <w:lang w:val="is-IS"/>
        </w:rPr>
        <w:t xml:space="preserve"> Following data cleaning </w:t>
      </w:r>
      <w:r w:rsidR="00F13F8C">
        <w:rPr>
          <w:rFonts w:ascii="Arial" w:hAnsi="Arial" w:cs="Arial"/>
          <w:sz w:val="20"/>
          <w:szCs w:val="20"/>
          <w:lang w:val="is-IS"/>
        </w:rPr>
        <w:t xml:space="preserve">and </w:t>
      </w:r>
      <w:r w:rsidR="00B81854">
        <w:rPr>
          <w:rFonts w:ascii="Arial" w:hAnsi="Arial" w:cs="Arial"/>
          <w:sz w:val="20"/>
          <w:szCs w:val="20"/>
          <w:lang w:val="is-IS"/>
        </w:rPr>
        <w:t xml:space="preserve">selection of </w:t>
      </w:r>
      <w:r w:rsidR="00B81854" w:rsidRPr="00594625">
        <w:rPr>
          <w:rFonts w:ascii="Arial" w:hAnsi="Arial" w:cs="Arial"/>
          <w:sz w:val="20"/>
          <w:szCs w:val="20"/>
          <w:lang w:val="is-IS"/>
        </w:rPr>
        <w:t>MS4A7-CD3E+CD8A+</w:t>
      </w:r>
      <w:r w:rsidR="00F13F8C">
        <w:rPr>
          <w:rFonts w:ascii="Arial" w:hAnsi="Arial" w:cs="Arial"/>
          <w:sz w:val="20"/>
          <w:szCs w:val="20"/>
          <w:lang w:val="is-IS"/>
        </w:rPr>
        <w:t xml:space="preserve"> cells</w:t>
      </w:r>
      <w:r w:rsidR="00B81854">
        <w:rPr>
          <w:rFonts w:ascii="Arial" w:hAnsi="Arial" w:cs="Arial"/>
          <w:sz w:val="20"/>
          <w:szCs w:val="20"/>
          <w:lang w:val="is-IS"/>
        </w:rPr>
        <w:t xml:space="preserve">, UMAP </w:t>
      </w:r>
      <w:r w:rsidR="00B81854" w:rsidRPr="00594625">
        <w:rPr>
          <w:rFonts w:ascii="Arial" w:hAnsi="Arial" w:cs="Arial"/>
          <w:sz w:val="20"/>
          <w:szCs w:val="20"/>
          <w:lang w:val="is-IS"/>
        </w:rPr>
        <w:t>dimensionality reduction w</w:t>
      </w:r>
      <w:r w:rsidR="00B81854" w:rsidRPr="0080322E">
        <w:rPr>
          <w:rFonts w:ascii="Arial" w:hAnsi="Arial" w:cs="Arial"/>
          <w:sz w:val="20"/>
          <w:szCs w:val="20"/>
          <w:lang w:val="is-IS"/>
        </w:rPr>
        <w:t>as</w:t>
      </w:r>
      <w:r w:rsidR="00B81854" w:rsidRPr="00594625">
        <w:rPr>
          <w:rFonts w:ascii="Arial" w:hAnsi="Arial" w:cs="Arial"/>
          <w:sz w:val="20"/>
          <w:szCs w:val="20"/>
          <w:lang w:val="is-IS"/>
        </w:rPr>
        <w:t xml:space="preserve"> performed</w:t>
      </w:r>
      <w:r w:rsidR="00B81854">
        <w:rPr>
          <w:rFonts w:ascii="Arial" w:hAnsi="Arial" w:cs="Arial"/>
          <w:sz w:val="20"/>
          <w:szCs w:val="20"/>
          <w:lang w:val="is-IS"/>
        </w:rPr>
        <w:t xml:space="preserve"> </w:t>
      </w:r>
      <w:r w:rsidR="00F13F8C">
        <w:rPr>
          <w:rFonts w:ascii="Arial" w:hAnsi="Arial" w:cs="Arial"/>
          <w:sz w:val="20"/>
          <w:szCs w:val="20"/>
          <w:lang w:val="is-IS"/>
        </w:rPr>
        <w:t xml:space="preserve">and </w:t>
      </w:r>
      <w:r w:rsidR="00B81854">
        <w:rPr>
          <w:rFonts w:ascii="Arial" w:hAnsi="Arial" w:cs="Arial"/>
          <w:sz w:val="20"/>
          <w:szCs w:val="20"/>
          <w:lang w:val="is-IS"/>
        </w:rPr>
        <w:t>cell cl</w:t>
      </w:r>
      <w:r w:rsidR="00F13F8C">
        <w:rPr>
          <w:rFonts w:ascii="Arial" w:hAnsi="Arial" w:cs="Arial"/>
          <w:sz w:val="20"/>
          <w:szCs w:val="20"/>
          <w:lang w:val="is-IS"/>
        </w:rPr>
        <w:t>u</w:t>
      </w:r>
      <w:r w:rsidR="00B81854">
        <w:rPr>
          <w:rFonts w:ascii="Arial" w:hAnsi="Arial" w:cs="Arial"/>
          <w:sz w:val="20"/>
          <w:szCs w:val="20"/>
          <w:lang w:val="is-IS"/>
        </w:rPr>
        <w:t>stering and identification of differentially expressed genes per cluster</w:t>
      </w:r>
      <w:r w:rsidR="00F13F8C">
        <w:rPr>
          <w:rFonts w:ascii="Arial" w:hAnsi="Arial" w:cs="Arial"/>
          <w:sz w:val="20"/>
          <w:szCs w:val="20"/>
          <w:lang w:val="is-IS"/>
        </w:rPr>
        <w:t xml:space="preserve"> was c</w:t>
      </w:r>
      <w:r w:rsidR="0084751D">
        <w:rPr>
          <w:rFonts w:ascii="Arial" w:hAnsi="Arial" w:cs="Arial"/>
          <w:sz w:val="20"/>
          <w:szCs w:val="20"/>
          <w:lang w:val="is-IS"/>
        </w:rPr>
        <w:t>o</w:t>
      </w:r>
      <w:r w:rsidR="00F13F8C">
        <w:rPr>
          <w:rFonts w:ascii="Arial" w:hAnsi="Arial" w:cs="Arial"/>
          <w:sz w:val="20"/>
          <w:szCs w:val="20"/>
          <w:lang w:val="is-IS"/>
        </w:rPr>
        <w:t>nducted</w:t>
      </w:r>
      <w:r w:rsidR="00B81854">
        <w:rPr>
          <w:rFonts w:ascii="Arial" w:hAnsi="Arial" w:cs="Arial"/>
          <w:sz w:val="20"/>
          <w:szCs w:val="20"/>
          <w:lang w:val="is-IS"/>
        </w:rPr>
        <w:t>.</w:t>
      </w:r>
    </w:p>
    <w:p w14:paraId="08F87390" w14:textId="77777777" w:rsidR="0080322E" w:rsidRDefault="0080322E" w:rsidP="00934E05">
      <w:pPr>
        <w:spacing w:after="0" w:line="240" w:lineRule="auto"/>
        <w:jc w:val="both"/>
        <w:rPr>
          <w:rFonts w:ascii="Arial" w:hAnsi="Arial" w:cs="Arial"/>
          <w:sz w:val="20"/>
          <w:szCs w:val="20"/>
          <w:lang w:val="is-IS"/>
        </w:rPr>
      </w:pPr>
    </w:p>
    <w:p w14:paraId="47B0693C" w14:textId="13566F73" w:rsidR="00B81854" w:rsidRDefault="0080322E" w:rsidP="00934E05">
      <w:pPr>
        <w:spacing w:after="0" w:line="240" w:lineRule="auto"/>
        <w:jc w:val="both"/>
        <w:rPr>
          <w:rFonts w:ascii="Arial" w:hAnsi="Arial" w:cs="Arial"/>
          <w:sz w:val="20"/>
          <w:szCs w:val="20"/>
          <w:lang w:val="is-IS"/>
        </w:rPr>
      </w:pPr>
      <w:r>
        <w:rPr>
          <w:rFonts w:ascii="Arial" w:hAnsi="Arial" w:cs="Arial"/>
          <w:sz w:val="20"/>
          <w:szCs w:val="20"/>
          <w:lang w:val="is-IS"/>
        </w:rPr>
        <w:t>The decidual tissues were enzymatically digested and erythrocyte</w:t>
      </w:r>
      <w:r w:rsidR="00F13F8C">
        <w:rPr>
          <w:rFonts w:ascii="Arial" w:hAnsi="Arial" w:cs="Arial"/>
          <w:sz w:val="20"/>
          <w:szCs w:val="20"/>
          <w:lang w:val="is-IS"/>
        </w:rPr>
        <w:t>s</w:t>
      </w:r>
      <w:r>
        <w:rPr>
          <w:rFonts w:ascii="Arial" w:hAnsi="Arial" w:cs="Arial"/>
          <w:sz w:val="20"/>
          <w:szCs w:val="20"/>
          <w:lang w:val="is-IS"/>
        </w:rPr>
        <w:t xml:space="preserve"> w</w:t>
      </w:r>
      <w:r w:rsidR="00F13F8C">
        <w:rPr>
          <w:rFonts w:ascii="Arial" w:hAnsi="Arial" w:cs="Arial"/>
          <w:sz w:val="20"/>
          <w:szCs w:val="20"/>
          <w:lang w:val="is-IS"/>
        </w:rPr>
        <w:t>ere</w:t>
      </w:r>
      <w:r>
        <w:rPr>
          <w:rFonts w:ascii="Arial" w:hAnsi="Arial" w:cs="Arial"/>
          <w:sz w:val="20"/>
          <w:szCs w:val="20"/>
          <w:lang w:val="is-IS"/>
        </w:rPr>
        <w:t xml:space="preserve"> lysed. </w:t>
      </w:r>
      <w:r w:rsidR="00B81854">
        <w:rPr>
          <w:rFonts w:ascii="Arial" w:hAnsi="Arial" w:cs="Arial"/>
          <w:sz w:val="20"/>
          <w:szCs w:val="20"/>
          <w:lang w:val="is-IS"/>
        </w:rPr>
        <w:t xml:space="preserve">Sorted CD45+ living cells were processed with the Chromium Single Cell 3´Reagent kits and libraries were generated with </w:t>
      </w:r>
      <w:r>
        <w:rPr>
          <w:rFonts w:ascii="Arial" w:hAnsi="Arial" w:cs="Arial"/>
          <w:sz w:val="20"/>
          <w:szCs w:val="20"/>
          <w:lang w:val="is-IS"/>
        </w:rPr>
        <w:t>an approach by</w:t>
      </w:r>
      <w:r w:rsidR="00B81854">
        <w:rPr>
          <w:rFonts w:ascii="Arial" w:hAnsi="Arial" w:cs="Arial"/>
          <w:sz w:val="20"/>
          <w:szCs w:val="20"/>
          <w:lang w:val="is-IS"/>
        </w:rPr>
        <w:t xml:space="preserve"> 10x Genomics</w:t>
      </w:r>
      <w:r>
        <w:rPr>
          <w:rFonts w:ascii="Arial" w:hAnsi="Arial" w:cs="Arial"/>
          <w:sz w:val="20"/>
          <w:szCs w:val="20"/>
          <w:lang w:val="is-IS"/>
        </w:rPr>
        <w:t>. Libraries were sequenced on Illumina NovaSeq 6000 by Novogene Bioinformatics Technology Co.</w:t>
      </w:r>
      <w:r w:rsidRPr="0080322E">
        <w:rPr>
          <w:rFonts w:ascii="Arial" w:hAnsi="Arial" w:cs="Arial"/>
          <w:sz w:val="20"/>
          <w:szCs w:val="20"/>
          <w:lang w:val="is-IS"/>
        </w:rPr>
        <w:t xml:space="preserve"> </w:t>
      </w:r>
      <w:r w:rsidR="008B657F">
        <w:rPr>
          <w:rFonts w:ascii="Arial" w:hAnsi="Arial" w:cs="Arial"/>
          <w:sz w:val="20"/>
          <w:szCs w:val="20"/>
          <w:lang w:val="is-IS"/>
        </w:rPr>
        <w:fldChar w:fldCharType="begin" w:fldLock="1"/>
      </w:r>
      <w:r w:rsidR="00470EF5">
        <w:rPr>
          <w:rFonts w:ascii="Arial" w:hAnsi="Arial" w:cs="Arial"/>
          <w:sz w:val="20"/>
          <w:szCs w:val="20"/>
          <w:lang w:val="is-IS"/>
        </w:rPr>
        <w:instrText>ADDIN CSL_CITATION {"citationItems":[{"id":"ITEM-1","itemData":{"DOI":"10.3389/fimmu.2021.689019","ISSN":"16643224","PMID":"34168655","abstract":"Recurrent pregnancy loss (RPL) is a common fertility problem that affects 1%-2% of couples all over the world. Despite exciting discoveries regarding the important roles of the decidual natural killer cell (dNK) and regulatory T cell in pregnancy, the immune heterogeneity in patients with unexplained recurrent pregnancy loss (URPL) remains elusive. Here, we profiled the transcriptomes of 13,953 CD45+ cells from three normal and three URPL deciduas. Based on our data, the cellular composition revealed three major populations of immune cells including dNK cell, T cell, and macrophage, and four minor populations including monocytes, dendritic cell (DC), mast cell, and B cell. Especially, we identified a subpopulation of CSF1+ CD59+ KIRs-expressing dNK cells in normal deciduas, while the proportion of this subpopulation was decreased in URPL deciduas. We also identified a small subpopulation of activated dDCs that were accumulated mainly in URPL deciduas. Furthermore, our data revealed that in decidua at early pregnancy, CD8+ T cells exhibited cytotoxic properties. The decidual macrophages expressed high levels of both M1 and M2 feature genes, which made them unique to the conventional M1/M2 classification. Our single-cell data revealed the immune heterogeneity in decidua and the potentially pathogenic immune variations in URPL.","author":[{"dropping-particle":"","family":"Chen","given":"Pengfei","non-dropping-particle":"","parse-names":false,"suffix":""},{"dropping-particle":"","family":"Zhou","given":"Liying","non-dropping-particle":"","parse-names":false,"suffix":""},{"dropping-particle":"","family":"Chen","given":"Jiying","non-dropping-particle":"","parse-names":false,"suffix":""},{"dropping-particle":"","family":"Lu","given":"Ying","non-dropping-particle":"","parse-names":false,"suffix":""},{"dropping-particle":"","family":"Cao","given":"Chaoxia","non-dropping-particle":"","parse-names":false,"suffix":""},{"dropping-particle":"","family":"Lv","given":"Shuangli","non-dropping-particle":"","parse-names":false,"suffix":""},{"dropping-particle":"","family":"Wei","given":"Zhihong","non-dropping-particle":"","parse-names":false,"suffix":""},{"dropping-particle":"","family":"Wang","given":"Liping","non-dropping-particle":"","parse-names":false,"suffix":""},{"dropping-particle":"","family":"Chen","given":"Jiao","non-dropping-particle":"","parse-names":false,"suffix":""},{"dropping-particle":"","family":"Hu","given":"Xinglin","non-dropping-particle":"","parse-names":false,"suffix":""},{"dropping-particle":"","family":"Wu","given":"Zijing","non-dropping-particle":"","parse-names":false,"suffix":""},{"dropping-particle":"","family":"Zhou","given":"Xiaohua","non-dropping-particle":"","parse-names":false,"suffix":""},{"dropping-particle":"","family":"Su","given":"Danna","non-dropping-particle":"","parse-names":false,"suffix":""},{"dropping-particle":"","family":"Deng","given":"Xuefeng","non-dropping-particle":"","parse-names":false,"suffix":""},{"dropping-particle":"","family":"Zeng","given":"Changchun","non-dropping-particle":"","parse-names":false,"suffix":""},{"dropping-particle":"","family":"Wang","given":"Huiyun","non-dropping-particle":"","parse-names":false,"suffix":""},{"dropping-particle":"","family":"Pu","given":"Zuhui","non-dropping-particle":"","parse-names":false,"suffix":""},{"dropping-particle":"","family":"Diao","given":"Ruiying","non-dropping-particle":"","parse-names":false,"suffix":""},{"dropping-particle":"","family":"Mou","given":"Lisha","non-dropping-particle":"","parse-names":false,"suffix":""}],"container-title":"Frontiers in Immunology","id":"ITEM-1","issue":"June","issued":{"date-parts":[["2021"]]},"page":"1-16","title":"The Immune Atlas of Human Deciduas With Unexplained Recurrent Pregnancy Loss","type":"article-journal","volume":"12"},"uris":["http://www.mendeley.com/documents/?uuid=00df1f37-7f36-4f5c-a5e5-5aacc9717f35"]}],"mendeley":{"formattedCitation":"(15)","plainTextFormattedCitation":"(15)","previouslyFormattedCitation":"(15)"},"properties":{"noteIndex":0},"schema":"https://github.com/citation-style-language/schema/raw/master/csl-citation.json"}</w:instrText>
      </w:r>
      <w:r w:rsidR="008B657F">
        <w:rPr>
          <w:rFonts w:ascii="Arial" w:hAnsi="Arial" w:cs="Arial"/>
          <w:sz w:val="20"/>
          <w:szCs w:val="20"/>
          <w:lang w:val="is-IS"/>
        </w:rPr>
        <w:fldChar w:fldCharType="separate"/>
      </w:r>
      <w:r w:rsidR="008B657F" w:rsidRPr="008B657F">
        <w:rPr>
          <w:rFonts w:ascii="Arial" w:hAnsi="Arial" w:cs="Arial"/>
          <w:noProof/>
          <w:sz w:val="20"/>
          <w:szCs w:val="20"/>
          <w:lang w:val="is-IS"/>
        </w:rPr>
        <w:t>(15)</w:t>
      </w:r>
      <w:r w:rsidR="008B657F">
        <w:rPr>
          <w:rFonts w:ascii="Arial" w:hAnsi="Arial" w:cs="Arial"/>
          <w:sz w:val="20"/>
          <w:szCs w:val="20"/>
          <w:lang w:val="is-IS"/>
        </w:rPr>
        <w:fldChar w:fldCharType="end"/>
      </w:r>
      <w:r w:rsidR="008B657F">
        <w:rPr>
          <w:rFonts w:ascii="Arial" w:hAnsi="Arial" w:cs="Arial"/>
          <w:sz w:val="20"/>
          <w:szCs w:val="20"/>
          <w:lang w:val="is-IS"/>
        </w:rPr>
        <w:t>.</w:t>
      </w:r>
    </w:p>
    <w:p w14:paraId="67B0AFE2" w14:textId="7618D423" w:rsidR="00594625" w:rsidRPr="0080322E" w:rsidRDefault="00594625" w:rsidP="00B171D4">
      <w:pPr>
        <w:rPr>
          <w:rFonts w:ascii="Arial" w:hAnsi="Arial" w:cs="Arial"/>
          <w:lang w:val="en-DE"/>
        </w:rPr>
      </w:pPr>
    </w:p>
    <w:p w14:paraId="318F40AC" w14:textId="77777777" w:rsidR="008E6CFD" w:rsidRPr="008E6CFD" w:rsidRDefault="008E6CFD" w:rsidP="00B171D4">
      <w:pPr>
        <w:rPr>
          <w:rFonts w:ascii="Arial" w:hAnsi="Arial" w:cs="Arial"/>
          <w:lang w:val="en-DE"/>
        </w:rPr>
      </w:pPr>
    </w:p>
    <w:p w14:paraId="4CD1AD37" w14:textId="77777777" w:rsidR="00EF5B08" w:rsidRPr="00AA2A9C" w:rsidRDefault="00EF5B08" w:rsidP="00AA2A9C">
      <w:pPr>
        <w:pStyle w:val="Body"/>
        <w:spacing w:line="360" w:lineRule="auto"/>
        <w:jc w:val="both"/>
        <w:rPr>
          <w:rFonts w:ascii="Arial" w:hAnsi="Arial" w:cs="Arial"/>
          <w:b/>
          <w:sz w:val="22"/>
          <w:szCs w:val="22"/>
          <w:lang w:val="en-GB"/>
        </w:rPr>
      </w:pPr>
      <w:r w:rsidRPr="00AA2A9C">
        <w:rPr>
          <w:rFonts w:ascii="Arial" w:hAnsi="Arial" w:cs="Arial"/>
          <w:b/>
          <w:sz w:val="22"/>
          <w:szCs w:val="22"/>
          <w:lang w:val="en-GB"/>
        </w:rPr>
        <w:t>References</w:t>
      </w:r>
    </w:p>
    <w:p w14:paraId="7C04FC1F" w14:textId="42D6C9D1" w:rsidR="00470EF5" w:rsidRPr="00470EF5" w:rsidRDefault="00EF5B08" w:rsidP="00470EF5">
      <w:pPr>
        <w:widowControl w:val="0"/>
        <w:autoSpaceDE w:val="0"/>
        <w:autoSpaceDN w:val="0"/>
        <w:adjustRightInd w:val="0"/>
        <w:spacing w:after="0" w:line="360" w:lineRule="auto"/>
        <w:ind w:left="640" w:hanging="640"/>
        <w:rPr>
          <w:rFonts w:ascii="Arial" w:hAnsi="Arial" w:cs="Arial"/>
          <w:noProof/>
        </w:rPr>
      </w:pPr>
      <w:r w:rsidRPr="00AA2A9C">
        <w:rPr>
          <w:rFonts w:ascii="Arial" w:eastAsia="Calibri" w:hAnsi="Arial" w:cs="Arial"/>
          <w:b/>
          <w:lang w:val="de-DE"/>
        </w:rPr>
        <w:fldChar w:fldCharType="begin" w:fldLock="1"/>
      </w:r>
      <w:r w:rsidRPr="00AA2A9C">
        <w:rPr>
          <w:rFonts w:ascii="Arial" w:eastAsia="Calibri" w:hAnsi="Arial" w:cs="Arial"/>
          <w:b/>
        </w:rPr>
        <w:instrText xml:space="preserve">ADDIN Mendeley Bibliography CSL_BIBLIOGRAPHY </w:instrText>
      </w:r>
      <w:r w:rsidRPr="00AA2A9C">
        <w:rPr>
          <w:rFonts w:ascii="Arial" w:eastAsia="Calibri" w:hAnsi="Arial" w:cs="Arial"/>
          <w:b/>
          <w:lang w:val="de-DE"/>
        </w:rPr>
        <w:fldChar w:fldCharType="separate"/>
      </w:r>
      <w:r w:rsidR="00470EF5" w:rsidRPr="00470EF5">
        <w:rPr>
          <w:rFonts w:ascii="Arial" w:hAnsi="Arial" w:cs="Arial"/>
          <w:noProof/>
        </w:rPr>
        <w:t xml:space="preserve">1. </w:t>
      </w:r>
      <w:r w:rsidR="00470EF5" w:rsidRPr="00470EF5">
        <w:rPr>
          <w:rFonts w:ascii="Arial" w:hAnsi="Arial" w:cs="Arial"/>
          <w:noProof/>
        </w:rPr>
        <w:tab/>
        <w:t>Martin MD, Badovinac VP. Defining Memory CD8 T Cell. (2018) 9:1–10. doi:10.3389/fimmu.2018.02692</w:t>
      </w:r>
    </w:p>
    <w:p w14:paraId="66492ACB" w14:textId="77777777" w:rsidR="00470EF5" w:rsidRPr="00470EF5" w:rsidRDefault="00470EF5" w:rsidP="00470EF5">
      <w:pPr>
        <w:widowControl w:val="0"/>
        <w:autoSpaceDE w:val="0"/>
        <w:autoSpaceDN w:val="0"/>
        <w:adjustRightInd w:val="0"/>
        <w:spacing w:after="0" w:line="360" w:lineRule="auto"/>
        <w:ind w:left="640" w:hanging="640"/>
        <w:rPr>
          <w:rFonts w:ascii="Arial" w:hAnsi="Arial" w:cs="Arial"/>
          <w:noProof/>
        </w:rPr>
      </w:pPr>
      <w:r w:rsidRPr="00470EF5">
        <w:rPr>
          <w:rFonts w:ascii="Arial" w:hAnsi="Arial" w:cs="Arial"/>
          <w:noProof/>
        </w:rPr>
        <w:t xml:space="preserve">2. </w:t>
      </w:r>
      <w:r w:rsidRPr="00470EF5">
        <w:rPr>
          <w:rFonts w:ascii="Arial" w:hAnsi="Arial" w:cs="Arial"/>
          <w:noProof/>
        </w:rPr>
        <w:tab/>
        <w:t xml:space="preserve">Liu L, Huang X, Xu C, Chen C, Zhao W, Li D, Li L, Wang L. Decidual ­ CD8 + T cells exhibit both residency and tolerance signatures modulated by decidual stromal cells. </w:t>
      </w:r>
      <w:r w:rsidRPr="00470EF5">
        <w:rPr>
          <w:rFonts w:ascii="Arial" w:hAnsi="Arial" w:cs="Arial"/>
          <w:i/>
          <w:iCs/>
          <w:noProof/>
        </w:rPr>
        <w:t>J Transl Med</w:t>
      </w:r>
      <w:r w:rsidRPr="00470EF5">
        <w:rPr>
          <w:rFonts w:ascii="Arial" w:hAnsi="Arial" w:cs="Arial"/>
          <w:noProof/>
        </w:rPr>
        <w:t xml:space="preserve"> (2020)1–14. doi:10.1186/s12967-020-02371-3</w:t>
      </w:r>
    </w:p>
    <w:p w14:paraId="1FFB9F90" w14:textId="77777777" w:rsidR="00470EF5" w:rsidRPr="00470EF5" w:rsidRDefault="00470EF5" w:rsidP="00470EF5">
      <w:pPr>
        <w:widowControl w:val="0"/>
        <w:autoSpaceDE w:val="0"/>
        <w:autoSpaceDN w:val="0"/>
        <w:adjustRightInd w:val="0"/>
        <w:spacing w:after="0" w:line="360" w:lineRule="auto"/>
        <w:ind w:left="640" w:hanging="640"/>
        <w:rPr>
          <w:rFonts w:ascii="Arial" w:hAnsi="Arial" w:cs="Arial"/>
          <w:noProof/>
        </w:rPr>
      </w:pPr>
      <w:r w:rsidRPr="00470EF5">
        <w:rPr>
          <w:rFonts w:ascii="Arial" w:hAnsi="Arial" w:cs="Arial"/>
          <w:noProof/>
        </w:rPr>
        <w:t xml:space="preserve">3. </w:t>
      </w:r>
      <w:r w:rsidRPr="00470EF5">
        <w:rPr>
          <w:rFonts w:ascii="Arial" w:hAnsi="Arial" w:cs="Arial"/>
          <w:noProof/>
        </w:rPr>
        <w:tab/>
        <w:t xml:space="preserve">Wang SC, Li YH, Piao HL, Hong XW, Zhang D, Xu YY, Tao Y, Wang Y, Yuan MM, Li DJ, et al. PD-1 and Tim-3 pathways are associated with regulatory CD8+ T-cell function in decidua and maintenance of normal pregnancy. </w:t>
      </w:r>
      <w:r w:rsidRPr="00470EF5">
        <w:rPr>
          <w:rFonts w:ascii="Arial" w:hAnsi="Arial" w:cs="Arial"/>
          <w:i/>
          <w:iCs/>
          <w:noProof/>
        </w:rPr>
        <w:t>Cell Death Dis</w:t>
      </w:r>
      <w:r w:rsidRPr="00470EF5">
        <w:rPr>
          <w:rFonts w:ascii="Arial" w:hAnsi="Arial" w:cs="Arial"/>
          <w:noProof/>
        </w:rPr>
        <w:t xml:space="preserve"> (2015) 6:1–10. doi:10.1038/cddis.2015.112</w:t>
      </w:r>
    </w:p>
    <w:p w14:paraId="13252DC8" w14:textId="77777777" w:rsidR="00470EF5" w:rsidRPr="00470EF5" w:rsidRDefault="00470EF5" w:rsidP="00470EF5">
      <w:pPr>
        <w:widowControl w:val="0"/>
        <w:autoSpaceDE w:val="0"/>
        <w:autoSpaceDN w:val="0"/>
        <w:adjustRightInd w:val="0"/>
        <w:spacing w:after="0" w:line="360" w:lineRule="auto"/>
        <w:ind w:left="640" w:hanging="640"/>
        <w:rPr>
          <w:rFonts w:ascii="Arial" w:hAnsi="Arial" w:cs="Arial"/>
          <w:noProof/>
        </w:rPr>
      </w:pPr>
      <w:r w:rsidRPr="00470EF5">
        <w:rPr>
          <w:rFonts w:ascii="Arial" w:hAnsi="Arial" w:cs="Arial"/>
          <w:noProof/>
        </w:rPr>
        <w:t xml:space="preserve">4. </w:t>
      </w:r>
      <w:r w:rsidRPr="00470EF5">
        <w:rPr>
          <w:rFonts w:ascii="Arial" w:hAnsi="Arial" w:cs="Arial"/>
          <w:noProof/>
        </w:rPr>
        <w:tab/>
        <w:t xml:space="preserve">van der Zwan A, Bi K, Norwitz ER, Crespo ÂC, Claas FHJ, Strominger JL, Tilburgs T. Mixed signature of activation and dysfunction allows human decidual CD8 + T cells to provide both tolerance and immunity. </w:t>
      </w:r>
      <w:r w:rsidRPr="00470EF5">
        <w:rPr>
          <w:rFonts w:ascii="Arial" w:hAnsi="Arial" w:cs="Arial"/>
          <w:i/>
          <w:iCs/>
          <w:noProof/>
        </w:rPr>
        <w:t>Proc Natl Acad Sci</w:t>
      </w:r>
      <w:r w:rsidRPr="00470EF5">
        <w:rPr>
          <w:rFonts w:ascii="Arial" w:hAnsi="Arial" w:cs="Arial"/>
          <w:noProof/>
        </w:rPr>
        <w:t xml:space="preserve"> (2018) 115:201713957. doi:10.1073/pnas.1713957115</w:t>
      </w:r>
    </w:p>
    <w:p w14:paraId="145A1CAA" w14:textId="77777777" w:rsidR="00470EF5" w:rsidRPr="0084751D" w:rsidRDefault="00470EF5" w:rsidP="00470EF5">
      <w:pPr>
        <w:widowControl w:val="0"/>
        <w:autoSpaceDE w:val="0"/>
        <w:autoSpaceDN w:val="0"/>
        <w:adjustRightInd w:val="0"/>
        <w:spacing w:after="0" w:line="360" w:lineRule="auto"/>
        <w:ind w:left="640" w:hanging="640"/>
        <w:rPr>
          <w:rFonts w:ascii="Arial" w:hAnsi="Arial" w:cs="Arial"/>
          <w:noProof/>
          <w:lang w:val="de-DE"/>
        </w:rPr>
      </w:pPr>
      <w:r w:rsidRPr="00470EF5">
        <w:rPr>
          <w:rFonts w:ascii="Arial" w:hAnsi="Arial" w:cs="Arial"/>
          <w:noProof/>
        </w:rPr>
        <w:t xml:space="preserve">5. </w:t>
      </w:r>
      <w:r w:rsidRPr="00470EF5">
        <w:rPr>
          <w:rFonts w:ascii="Arial" w:hAnsi="Arial" w:cs="Arial"/>
          <w:noProof/>
        </w:rPr>
        <w:tab/>
        <w:t xml:space="preserve">Morita K, Tsuda S, Kobayashi E, Hamana H, Tsuda K. Analysis of TCR Repertoire and PD-1 Expression in Decidual and Peripheral CD8 + T Cells Reveals Distinct Immune Mechanisms in Miscarriage and Preeclampsia. </w:t>
      </w:r>
      <w:r w:rsidRPr="0084751D">
        <w:rPr>
          <w:rFonts w:ascii="Arial" w:hAnsi="Arial" w:cs="Arial"/>
          <w:noProof/>
          <w:lang w:val="de-DE"/>
        </w:rPr>
        <w:t>(2020) 11: doi:10.3389/fimmu.2020.01082</w:t>
      </w:r>
    </w:p>
    <w:p w14:paraId="600A526A" w14:textId="77777777" w:rsidR="00470EF5" w:rsidRPr="00470EF5" w:rsidRDefault="00470EF5" w:rsidP="00470EF5">
      <w:pPr>
        <w:widowControl w:val="0"/>
        <w:autoSpaceDE w:val="0"/>
        <w:autoSpaceDN w:val="0"/>
        <w:adjustRightInd w:val="0"/>
        <w:spacing w:after="0" w:line="360" w:lineRule="auto"/>
        <w:ind w:left="640" w:hanging="640"/>
        <w:rPr>
          <w:rFonts w:ascii="Arial" w:hAnsi="Arial" w:cs="Arial"/>
          <w:noProof/>
        </w:rPr>
      </w:pPr>
      <w:r w:rsidRPr="0084751D">
        <w:rPr>
          <w:rFonts w:ascii="Arial" w:hAnsi="Arial" w:cs="Arial"/>
          <w:noProof/>
          <w:lang w:val="de-DE"/>
        </w:rPr>
        <w:t xml:space="preserve">6. </w:t>
      </w:r>
      <w:r w:rsidRPr="0084751D">
        <w:rPr>
          <w:rFonts w:ascii="Arial" w:hAnsi="Arial" w:cs="Arial"/>
          <w:noProof/>
          <w:lang w:val="de-DE"/>
        </w:rPr>
        <w:tab/>
        <w:t xml:space="preserve">Zeng W, Liu X, Liu Z, Zheng Y, Yu T, Fu S, Li X, Zhang J, Zhang S, Ma X, et al. </w:t>
      </w:r>
      <w:r w:rsidRPr="00470EF5">
        <w:rPr>
          <w:rFonts w:ascii="Arial" w:hAnsi="Arial" w:cs="Arial"/>
          <w:noProof/>
        </w:rPr>
        <w:t xml:space="preserve">Deep surveying of the transcriptional and alternative splicing signatures for decidual CD8+T cells at the first trimester of human healthy pregnancy. </w:t>
      </w:r>
      <w:r w:rsidRPr="00470EF5">
        <w:rPr>
          <w:rFonts w:ascii="Arial" w:hAnsi="Arial" w:cs="Arial"/>
          <w:i/>
          <w:iCs/>
          <w:noProof/>
        </w:rPr>
        <w:t>Front Immunol</w:t>
      </w:r>
      <w:r w:rsidRPr="00470EF5">
        <w:rPr>
          <w:rFonts w:ascii="Arial" w:hAnsi="Arial" w:cs="Arial"/>
          <w:noProof/>
        </w:rPr>
        <w:t xml:space="preserve"> (2018) 9:1–16. doi:10.3389/fimmu.2018.00937</w:t>
      </w:r>
    </w:p>
    <w:p w14:paraId="0708903E" w14:textId="77777777" w:rsidR="00470EF5" w:rsidRPr="00470EF5" w:rsidRDefault="00470EF5" w:rsidP="00470EF5">
      <w:pPr>
        <w:widowControl w:val="0"/>
        <w:autoSpaceDE w:val="0"/>
        <w:autoSpaceDN w:val="0"/>
        <w:adjustRightInd w:val="0"/>
        <w:spacing w:after="0" w:line="360" w:lineRule="auto"/>
        <w:ind w:left="640" w:hanging="640"/>
        <w:rPr>
          <w:rFonts w:ascii="Arial" w:hAnsi="Arial" w:cs="Arial"/>
          <w:noProof/>
        </w:rPr>
      </w:pPr>
      <w:r w:rsidRPr="00470EF5">
        <w:rPr>
          <w:rFonts w:ascii="Arial" w:hAnsi="Arial" w:cs="Arial"/>
          <w:noProof/>
        </w:rPr>
        <w:t xml:space="preserve">7. </w:t>
      </w:r>
      <w:r w:rsidRPr="00470EF5">
        <w:rPr>
          <w:rFonts w:ascii="Arial" w:hAnsi="Arial" w:cs="Arial"/>
          <w:noProof/>
        </w:rPr>
        <w:tab/>
        <w:t>Tilburgs T, Schonkeren D, Eikmans M, Nagtzaam NM, Datema G, Swings GM, Prins F, Lith JM Van, Mast BJ Van Der, Roelen L, et al. Human Decidual Tissue Contains Differentiated CD8 + Effector-Memory T Cells with Unique Properties. (2010) doi:10.4049/jimmunol.0903597</w:t>
      </w:r>
    </w:p>
    <w:p w14:paraId="6E9244EE" w14:textId="77777777" w:rsidR="00470EF5" w:rsidRPr="00470EF5" w:rsidRDefault="00470EF5" w:rsidP="00470EF5">
      <w:pPr>
        <w:widowControl w:val="0"/>
        <w:autoSpaceDE w:val="0"/>
        <w:autoSpaceDN w:val="0"/>
        <w:adjustRightInd w:val="0"/>
        <w:spacing w:after="0" w:line="360" w:lineRule="auto"/>
        <w:ind w:left="640" w:hanging="640"/>
        <w:rPr>
          <w:rFonts w:ascii="Arial" w:hAnsi="Arial" w:cs="Arial"/>
          <w:noProof/>
        </w:rPr>
      </w:pPr>
      <w:r w:rsidRPr="00470EF5">
        <w:rPr>
          <w:rFonts w:ascii="Arial" w:hAnsi="Arial" w:cs="Arial"/>
          <w:noProof/>
        </w:rPr>
        <w:t xml:space="preserve">8. </w:t>
      </w:r>
      <w:r w:rsidRPr="00470EF5">
        <w:rPr>
          <w:rFonts w:ascii="Arial" w:hAnsi="Arial" w:cs="Arial"/>
          <w:noProof/>
        </w:rPr>
        <w:tab/>
        <w:t>Powell RM, Lissauer D, Tamblyn J, Beggs A, Cox P, Moss P, Kilby MD. Decidual T cells exhibit a highly differentiated phenotype and demonstrate potential fetal-specificity and a strong transcriptional response to interferon. (2017) 199:3406–3417. doi:10.4049/jimmunol.1700114.Decidual</w:t>
      </w:r>
    </w:p>
    <w:p w14:paraId="7C6B5751" w14:textId="77777777" w:rsidR="00470EF5" w:rsidRPr="0084751D" w:rsidRDefault="00470EF5" w:rsidP="00470EF5">
      <w:pPr>
        <w:widowControl w:val="0"/>
        <w:autoSpaceDE w:val="0"/>
        <w:autoSpaceDN w:val="0"/>
        <w:adjustRightInd w:val="0"/>
        <w:spacing w:after="0" w:line="360" w:lineRule="auto"/>
        <w:ind w:left="640" w:hanging="640"/>
        <w:rPr>
          <w:rFonts w:ascii="Arial" w:hAnsi="Arial" w:cs="Arial"/>
          <w:noProof/>
          <w:lang w:val="de-DE"/>
        </w:rPr>
      </w:pPr>
      <w:r w:rsidRPr="00470EF5">
        <w:rPr>
          <w:rFonts w:ascii="Arial" w:hAnsi="Arial" w:cs="Arial"/>
          <w:noProof/>
        </w:rPr>
        <w:t xml:space="preserve">9. </w:t>
      </w:r>
      <w:r w:rsidRPr="00470EF5">
        <w:rPr>
          <w:rFonts w:ascii="Arial" w:hAnsi="Arial" w:cs="Arial"/>
          <w:noProof/>
        </w:rPr>
        <w:tab/>
        <w:t xml:space="preserve">Feyaerts D, Benner M, Cranenbroek B Van, Heijden OWH Van Der. Human uterine lymphocytes acquire a more experienced and tolerogenic phenotype during pregnancy. </w:t>
      </w:r>
      <w:r w:rsidRPr="0084751D">
        <w:rPr>
          <w:rFonts w:ascii="Arial" w:hAnsi="Arial" w:cs="Arial"/>
          <w:noProof/>
          <w:lang w:val="de-DE"/>
        </w:rPr>
        <w:t>(2017)1–10. doi:10.1038/s41598-017-03191-0</w:t>
      </w:r>
    </w:p>
    <w:p w14:paraId="3D01BE2E" w14:textId="77777777" w:rsidR="00470EF5" w:rsidRPr="00470EF5" w:rsidRDefault="00470EF5" w:rsidP="00470EF5">
      <w:pPr>
        <w:widowControl w:val="0"/>
        <w:autoSpaceDE w:val="0"/>
        <w:autoSpaceDN w:val="0"/>
        <w:adjustRightInd w:val="0"/>
        <w:spacing w:after="0" w:line="360" w:lineRule="auto"/>
        <w:ind w:left="640" w:hanging="640"/>
        <w:rPr>
          <w:rFonts w:ascii="Arial" w:hAnsi="Arial" w:cs="Arial"/>
          <w:noProof/>
        </w:rPr>
      </w:pPr>
      <w:r w:rsidRPr="0084751D">
        <w:rPr>
          <w:rFonts w:ascii="Arial" w:hAnsi="Arial" w:cs="Arial"/>
          <w:noProof/>
          <w:lang w:val="de-DE"/>
        </w:rPr>
        <w:t xml:space="preserve">10. </w:t>
      </w:r>
      <w:r w:rsidRPr="0084751D">
        <w:rPr>
          <w:rFonts w:ascii="Arial" w:hAnsi="Arial" w:cs="Arial"/>
          <w:noProof/>
          <w:lang w:val="de-DE"/>
        </w:rPr>
        <w:tab/>
        <w:t xml:space="preserve">Veras E, Kurman RJ, Wang TL, Shih IM. </w:t>
      </w:r>
      <w:r w:rsidRPr="00470EF5">
        <w:rPr>
          <w:rFonts w:ascii="Arial" w:hAnsi="Arial" w:cs="Arial"/>
          <w:noProof/>
        </w:rPr>
        <w:t xml:space="preserve">PD-L1 expression in human placentas and gestational trophoblastic diseases. </w:t>
      </w:r>
      <w:r w:rsidRPr="00470EF5">
        <w:rPr>
          <w:rFonts w:ascii="Arial" w:hAnsi="Arial" w:cs="Arial"/>
          <w:i/>
          <w:iCs/>
          <w:noProof/>
        </w:rPr>
        <w:t>Int J Gynecol Pathol</w:t>
      </w:r>
      <w:r w:rsidRPr="00470EF5">
        <w:rPr>
          <w:rFonts w:ascii="Arial" w:hAnsi="Arial" w:cs="Arial"/>
          <w:noProof/>
        </w:rPr>
        <w:t xml:space="preserve"> (2017) 36:146–153. doi:10.1097/PGP.0000000000000305</w:t>
      </w:r>
    </w:p>
    <w:p w14:paraId="06E9B904" w14:textId="77777777" w:rsidR="00470EF5" w:rsidRPr="00470EF5" w:rsidRDefault="00470EF5" w:rsidP="00470EF5">
      <w:pPr>
        <w:widowControl w:val="0"/>
        <w:autoSpaceDE w:val="0"/>
        <w:autoSpaceDN w:val="0"/>
        <w:adjustRightInd w:val="0"/>
        <w:spacing w:after="0" w:line="360" w:lineRule="auto"/>
        <w:ind w:left="640" w:hanging="640"/>
        <w:rPr>
          <w:rFonts w:ascii="Arial" w:hAnsi="Arial" w:cs="Arial"/>
          <w:noProof/>
        </w:rPr>
      </w:pPr>
      <w:r w:rsidRPr="00470EF5">
        <w:rPr>
          <w:rFonts w:ascii="Arial" w:hAnsi="Arial" w:cs="Arial"/>
          <w:noProof/>
        </w:rPr>
        <w:lastRenderedPageBreak/>
        <w:t xml:space="preserve">11. </w:t>
      </w:r>
      <w:r w:rsidRPr="00470EF5">
        <w:rPr>
          <w:rFonts w:ascii="Arial" w:hAnsi="Arial" w:cs="Arial"/>
          <w:noProof/>
        </w:rPr>
        <w:tab/>
        <w:t xml:space="preserve">Barton BM, Xu R, Wherry EJ, Porrett PM. Pregnancy promotes tolerance to future offspring by programming selective dysfunction in long-lived maternal T cells. </w:t>
      </w:r>
      <w:r w:rsidRPr="00470EF5">
        <w:rPr>
          <w:rFonts w:ascii="Arial" w:hAnsi="Arial" w:cs="Arial"/>
          <w:i/>
          <w:iCs/>
          <w:noProof/>
        </w:rPr>
        <w:t>J Leukoc Biol</w:t>
      </w:r>
      <w:r w:rsidRPr="00470EF5">
        <w:rPr>
          <w:rFonts w:ascii="Arial" w:hAnsi="Arial" w:cs="Arial"/>
          <w:noProof/>
        </w:rPr>
        <w:t xml:space="preserve"> (2016) 101:975–987. doi:10.1189/jlb.1a0316-135r</w:t>
      </w:r>
    </w:p>
    <w:p w14:paraId="4F6B7ACF" w14:textId="77777777" w:rsidR="00470EF5" w:rsidRPr="00470EF5" w:rsidRDefault="00470EF5" w:rsidP="00470EF5">
      <w:pPr>
        <w:widowControl w:val="0"/>
        <w:autoSpaceDE w:val="0"/>
        <w:autoSpaceDN w:val="0"/>
        <w:adjustRightInd w:val="0"/>
        <w:spacing w:after="0" w:line="360" w:lineRule="auto"/>
        <w:ind w:left="640" w:hanging="640"/>
        <w:rPr>
          <w:rFonts w:ascii="Arial" w:hAnsi="Arial" w:cs="Arial"/>
          <w:noProof/>
        </w:rPr>
      </w:pPr>
      <w:r w:rsidRPr="00470EF5">
        <w:rPr>
          <w:rFonts w:ascii="Arial" w:hAnsi="Arial" w:cs="Arial"/>
          <w:noProof/>
        </w:rPr>
        <w:t xml:space="preserve">12. </w:t>
      </w:r>
      <w:r w:rsidRPr="00470EF5">
        <w:rPr>
          <w:rFonts w:ascii="Arial" w:hAnsi="Arial" w:cs="Arial"/>
          <w:noProof/>
        </w:rPr>
        <w:tab/>
        <w:t xml:space="preserve">Wang S, Sun F, Li M, Qian J, Chen C, Wang M, Zang X, Li D, Yu M, Du M. The appropriate frequency and function of decidual Tim-3+CTLA-4+CD8+ T cells are important in maintaining normal pregnancy. </w:t>
      </w:r>
      <w:r w:rsidRPr="00470EF5">
        <w:rPr>
          <w:rFonts w:ascii="Arial" w:hAnsi="Arial" w:cs="Arial"/>
          <w:i/>
          <w:iCs/>
          <w:noProof/>
        </w:rPr>
        <w:t>Cell Death Dis</w:t>
      </w:r>
      <w:r w:rsidRPr="00470EF5">
        <w:rPr>
          <w:rFonts w:ascii="Arial" w:hAnsi="Arial" w:cs="Arial"/>
          <w:noProof/>
        </w:rPr>
        <w:t xml:space="preserve"> (2019) 10: doi:10.1038/s41419-019-1642-x</w:t>
      </w:r>
    </w:p>
    <w:p w14:paraId="6953456B" w14:textId="77777777" w:rsidR="00470EF5" w:rsidRPr="00470EF5" w:rsidRDefault="00470EF5" w:rsidP="00470EF5">
      <w:pPr>
        <w:widowControl w:val="0"/>
        <w:autoSpaceDE w:val="0"/>
        <w:autoSpaceDN w:val="0"/>
        <w:adjustRightInd w:val="0"/>
        <w:spacing w:after="0" w:line="360" w:lineRule="auto"/>
        <w:ind w:left="640" w:hanging="640"/>
        <w:rPr>
          <w:rFonts w:ascii="Arial" w:hAnsi="Arial" w:cs="Arial"/>
          <w:noProof/>
        </w:rPr>
      </w:pPr>
      <w:r w:rsidRPr="00470EF5">
        <w:rPr>
          <w:rFonts w:ascii="Arial" w:hAnsi="Arial" w:cs="Arial"/>
          <w:noProof/>
        </w:rPr>
        <w:t xml:space="preserve">13. </w:t>
      </w:r>
      <w:r w:rsidRPr="00470EF5">
        <w:rPr>
          <w:rFonts w:ascii="Arial" w:hAnsi="Arial" w:cs="Arial"/>
          <w:noProof/>
        </w:rPr>
        <w:tab/>
        <w:t xml:space="preserve">YH Z, HX S. Immune checkpoint molecules in pregnancy: Focus on regulatory T cells. </w:t>
      </w:r>
      <w:r w:rsidRPr="00470EF5">
        <w:rPr>
          <w:rFonts w:ascii="Arial" w:hAnsi="Arial" w:cs="Arial"/>
          <w:i/>
          <w:iCs/>
          <w:noProof/>
        </w:rPr>
        <w:t>Eur J Immunol</w:t>
      </w:r>
      <w:r w:rsidRPr="00470EF5">
        <w:rPr>
          <w:rFonts w:ascii="Arial" w:hAnsi="Arial" w:cs="Arial"/>
          <w:noProof/>
        </w:rPr>
        <w:t xml:space="preserve"> (2020) 50:160–169. doi:10.1002/EJI.201948382</w:t>
      </w:r>
    </w:p>
    <w:p w14:paraId="3A9AFB21" w14:textId="77777777" w:rsidR="00470EF5" w:rsidRPr="00470EF5" w:rsidRDefault="00470EF5" w:rsidP="00470EF5">
      <w:pPr>
        <w:widowControl w:val="0"/>
        <w:autoSpaceDE w:val="0"/>
        <w:autoSpaceDN w:val="0"/>
        <w:adjustRightInd w:val="0"/>
        <w:spacing w:after="0" w:line="360" w:lineRule="auto"/>
        <w:ind w:left="640" w:hanging="640"/>
        <w:rPr>
          <w:rFonts w:ascii="Arial" w:hAnsi="Arial" w:cs="Arial"/>
          <w:noProof/>
        </w:rPr>
      </w:pPr>
      <w:r w:rsidRPr="00470EF5">
        <w:rPr>
          <w:rFonts w:ascii="Arial" w:hAnsi="Arial" w:cs="Arial"/>
          <w:noProof/>
        </w:rPr>
        <w:t xml:space="preserve">14. </w:t>
      </w:r>
      <w:r w:rsidRPr="00470EF5">
        <w:rPr>
          <w:rFonts w:ascii="Arial" w:hAnsi="Arial" w:cs="Arial"/>
          <w:noProof/>
        </w:rPr>
        <w:tab/>
        <w:t>Vento-tormo R, Efremova M, Botting RA, Turco MY, Vento-tormo M, Meyer KB, Park J, Stephenson E, Polański K, Goncalves A, et al. Single-cell reconstruction of the early maternal – fetal interface in humans. (2018) doi:10.1038/s41586-018-0698-6</w:t>
      </w:r>
    </w:p>
    <w:p w14:paraId="66A0F1FC" w14:textId="77777777" w:rsidR="00470EF5" w:rsidRPr="00470EF5" w:rsidRDefault="00470EF5" w:rsidP="00470EF5">
      <w:pPr>
        <w:widowControl w:val="0"/>
        <w:autoSpaceDE w:val="0"/>
        <w:autoSpaceDN w:val="0"/>
        <w:adjustRightInd w:val="0"/>
        <w:spacing w:after="0" w:line="360" w:lineRule="auto"/>
        <w:ind w:left="640" w:hanging="640"/>
        <w:rPr>
          <w:rFonts w:ascii="Arial" w:hAnsi="Arial" w:cs="Arial"/>
          <w:noProof/>
        </w:rPr>
      </w:pPr>
      <w:r w:rsidRPr="00470EF5">
        <w:rPr>
          <w:rFonts w:ascii="Arial" w:hAnsi="Arial" w:cs="Arial"/>
          <w:noProof/>
        </w:rPr>
        <w:t xml:space="preserve">15. </w:t>
      </w:r>
      <w:r w:rsidRPr="00470EF5">
        <w:rPr>
          <w:rFonts w:ascii="Arial" w:hAnsi="Arial" w:cs="Arial"/>
          <w:noProof/>
        </w:rPr>
        <w:tab/>
        <w:t xml:space="preserve">Chen P, Zhou L, Chen J, Lu Y, Cao C, Lv S, Wei Z, Wang L, Chen J, Hu X, et al. The Immune Atlas of Human Deciduas With Unexplained Recurrent Pregnancy Loss. </w:t>
      </w:r>
      <w:r w:rsidRPr="00470EF5">
        <w:rPr>
          <w:rFonts w:ascii="Arial" w:hAnsi="Arial" w:cs="Arial"/>
          <w:i/>
          <w:iCs/>
          <w:noProof/>
        </w:rPr>
        <w:t>Front Immunol</w:t>
      </w:r>
      <w:r w:rsidRPr="00470EF5">
        <w:rPr>
          <w:rFonts w:ascii="Arial" w:hAnsi="Arial" w:cs="Arial"/>
          <w:noProof/>
        </w:rPr>
        <w:t xml:space="preserve"> (2021) 12:1–16. doi:10.3389/fimmu.2021.689019</w:t>
      </w:r>
    </w:p>
    <w:p w14:paraId="477037F3" w14:textId="77777777" w:rsidR="00470EF5" w:rsidRPr="00470EF5" w:rsidRDefault="00470EF5" w:rsidP="00470EF5">
      <w:pPr>
        <w:widowControl w:val="0"/>
        <w:autoSpaceDE w:val="0"/>
        <w:autoSpaceDN w:val="0"/>
        <w:adjustRightInd w:val="0"/>
        <w:spacing w:after="0" w:line="360" w:lineRule="auto"/>
        <w:ind w:left="640" w:hanging="640"/>
        <w:rPr>
          <w:rFonts w:ascii="Arial" w:hAnsi="Arial" w:cs="Arial"/>
          <w:noProof/>
        </w:rPr>
      </w:pPr>
      <w:r w:rsidRPr="00470EF5">
        <w:rPr>
          <w:rFonts w:ascii="Arial" w:hAnsi="Arial" w:cs="Arial"/>
          <w:noProof/>
        </w:rPr>
        <w:t xml:space="preserve">16. </w:t>
      </w:r>
      <w:r w:rsidRPr="00470EF5">
        <w:rPr>
          <w:rFonts w:ascii="Arial" w:hAnsi="Arial" w:cs="Arial"/>
          <w:noProof/>
        </w:rPr>
        <w:tab/>
        <w:t xml:space="preserve">Stuart T, Butler A, Hoffman P, Hafemeister C, Papalexi E, Mauck WM 3rd, Hao Y, Stoeckius M, Smibert P, Satija R. Comprehensive Integration of Single-Cell Data. </w:t>
      </w:r>
      <w:r w:rsidRPr="00470EF5">
        <w:rPr>
          <w:rFonts w:ascii="Arial" w:hAnsi="Arial" w:cs="Arial"/>
          <w:i/>
          <w:iCs/>
          <w:noProof/>
        </w:rPr>
        <w:t>Cell</w:t>
      </w:r>
      <w:r w:rsidRPr="00470EF5">
        <w:rPr>
          <w:rFonts w:ascii="Arial" w:hAnsi="Arial" w:cs="Arial"/>
          <w:noProof/>
        </w:rPr>
        <w:t xml:space="preserve"> (2019) 177:1888-1902.e21. doi:10.1016/j.cell.2019.05.031</w:t>
      </w:r>
    </w:p>
    <w:p w14:paraId="09F5F459" w14:textId="371F323B" w:rsidR="00EF5B08" w:rsidRPr="00AA2A9C" w:rsidRDefault="00EF5B08" w:rsidP="00470EF5">
      <w:pPr>
        <w:widowControl w:val="0"/>
        <w:autoSpaceDE w:val="0"/>
        <w:autoSpaceDN w:val="0"/>
        <w:adjustRightInd w:val="0"/>
        <w:spacing w:after="0" w:line="360" w:lineRule="auto"/>
        <w:ind w:left="640" w:hanging="640"/>
        <w:rPr>
          <w:rFonts w:ascii="Arial" w:eastAsia="Calibri" w:hAnsi="Arial" w:cs="Arial"/>
          <w:b/>
          <w:lang w:val="de-DE"/>
        </w:rPr>
      </w:pPr>
      <w:r w:rsidRPr="00AA2A9C">
        <w:rPr>
          <w:rFonts w:ascii="Arial" w:eastAsia="Calibri" w:hAnsi="Arial" w:cs="Arial"/>
          <w:b/>
          <w:lang w:val="de-DE"/>
        </w:rPr>
        <w:fldChar w:fldCharType="end"/>
      </w:r>
    </w:p>
    <w:p w14:paraId="7F9130EF" w14:textId="77777777" w:rsidR="00B35F4D" w:rsidRPr="00AA2A9C" w:rsidRDefault="00B35F4D" w:rsidP="00AA2A9C">
      <w:pPr>
        <w:jc w:val="both"/>
        <w:rPr>
          <w:rFonts w:ascii="Arial" w:hAnsi="Arial" w:cs="Arial"/>
          <w:lang w:val="is-IS"/>
        </w:rPr>
      </w:pPr>
    </w:p>
    <w:sectPr w:rsidR="00B35F4D" w:rsidRPr="00AA2A9C">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70967"/>
    <w:multiLevelType w:val="hybridMultilevel"/>
    <w:tmpl w:val="23FA7F94"/>
    <w:lvl w:ilvl="0" w:tplc="2EE2DE42">
      <w:numFmt w:val="bullet"/>
      <w:lvlText w:val=""/>
      <w:lvlJc w:val="left"/>
      <w:pPr>
        <w:ind w:left="360" w:hanging="360"/>
      </w:pPr>
      <w:rPr>
        <w:rFonts w:ascii="Symbol" w:eastAsia="Arial Unicode MS" w:hAnsi="Symbo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28AC10D4"/>
    <w:multiLevelType w:val="hybridMultilevel"/>
    <w:tmpl w:val="D5F26278"/>
    <w:lvl w:ilvl="0" w:tplc="EBCC8500">
      <w:numFmt w:val="bullet"/>
      <w:lvlText w:val=""/>
      <w:lvlJc w:val="left"/>
      <w:pPr>
        <w:ind w:left="720" w:hanging="360"/>
      </w:pPr>
      <w:rPr>
        <w:rFonts w:ascii="Symbol" w:eastAsia="Arial Unicode MS"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E180845"/>
    <w:multiLevelType w:val="hybridMultilevel"/>
    <w:tmpl w:val="F36C07DE"/>
    <w:styleLink w:val="ImportedStyle1"/>
    <w:lvl w:ilvl="0" w:tplc="322406A6">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sz w:val="22"/>
        <w:szCs w:val="2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D6C4916">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2"/>
        <w:szCs w:val="2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D3EF920">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2"/>
        <w:szCs w:val="2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F9CFCB0">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sz w:val="22"/>
        <w:szCs w:val="2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A2A10FA">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2"/>
        <w:szCs w:val="2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3302752">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2"/>
        <w:szCs w:val="2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6C84746">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sz w:val="22"/>
        <w:szCs w:val="2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CAA3BD0">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2"/>
        <w:szCs w:val="2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09A3134">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2"/>
        <w:szCs w:val="2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6F847A69"/>
    <w:multiLevelType w:val="hybridMultilevel"/>
    <w:tmpl w:val="F36C07DE"/>
    <w:numStyleLink w:val="ImportedStyle1"/>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2"/>
  <w:activeWritingStyle w:appName="MSWord" w:lang="en-US" w:vendorID="64" w:dllVersion="6" w:nlCheck="1" w:checkStyle="0"/>
  <w:activeWritingStyle w:appName="MSWord" w:lang="en-GB" w:vendorID="64" w:dllVersion="6" w:nlCheck="1" w:checkStyle="0"/>
  <w:activeWritingStyle w:appName="MSWord" w:lang="en-US" w:vendorID="64" w:dllVersion="0" w:nlCheck="1" w:checkStyle="0"/>
  <w:activeWritingStyle w:appName="MSWord" w:lang="de-DE" w:vendorID="64" w:dllVersion="0" w:nlCheck="1" w:checkStyle="0"/>
  <w:activeWritingStyle w:appName="MSWord" w:lang="ru-RU" w:vendorID="64" w:dllVersion="0" w:nlCheck="1" w:checkStyle="0"/>
  <w:activeWritingStyle w:appName="MSWord" w:lang="en-GB" w:vendorID="64" w:dllVersion="0" w:nlCheck="1" w:checkStyle="0"/>
  <w:activeWritingStyle w:appName="MSWord" w:lang="pt-PT" w:vendorID="64" w:dllVersion="0" w:nlCheck="1" w:checkStyle="0"/>
  <w:activeWritingStyle w:appName="MSWord" w:lang="it-IT" w:vendorID="64" w:dllVersion="0" w:nlCheck="1" w:checkStyle="0"/>
  <w:activeWritingStyle w:appName="MSWord" w:lang="nl-NL" w:vendorID="64" w:dllVersion="0" w:nlCheck="1" w:checkStyle="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6C72"/>
    <w:rsid w:val="000647DA"/>
    <w:rsid w:val="000823A0"/>
    <w:rsid w:val="000E6181"/>
    <w:rsid w:val="0014151A"/>
    <w:rsid w:val="0017664B"/>
    <w:rsid w:val="00190BBB"/>
    <w:rsid w:val="001F7830"/>
    <w:rsid w:val="002116B9"/>
    <w:rsid w:val="002B79C2"/>
    <w:rsid w:val="002C4488"/>
    <w:rsid w:val="002E3A00"/>
    <w:rsid w:val="003950D7"/>
    <w:rsid w:val="003E2B8F"/>
    <w:rsid w:val="00470EF5"/>
    <w:rsid w:val="005421A9"/>
    <w:rsid w:val="0055468F"/>
    <w:rsid w:val="0056743B"/>
    <w:rsid w:val="00594625"/>
    <w:rsid w:val="005A6C72"/>
    <w:rsid w:val="005B6388"/>
    <w:rsid w:val="0070621F"/>
    <w:rsid w:val="00712222"/>
    <w:rsid w:val="00746452"/>
    <w:rsid w:val="0080322E"/>
    <w:rsid w:val="0084751D"/>
    <w:rsid w:val="0088664D"/>
    <w:rsid w:val="008B657F"/>
    <w:rsid w:val="008C3F1E"/>
    <w:rsid w:val="008E6CFD"/>
    <w:rsid w:val="00930812"/>
    <w:rsid w:val="00934E05"/>
    <w:rsid w:val="009B3496"/>
    <w:rsid w:val="009B577E"/>
    <w:rsid w:val="009D1981"/>
    <w:rsid w:val="009D45B0"/>
    <w:rsid w:val="009F2825"/>
    <w:rsid w:val="00A21ED0"/>
    <w:rsid w:val="00AA00E3"/>
    <w:rsid w:val="00AA2A9C"/>
    <w:rsid w:val="00AD5984"/>
    <w:rsid w:val="00B04DB8"/>
    <w:rsid w:val="00B171D4"/>
    <w:rsid w:val="00B35F4D"/>
    <w:rsid w:val="00B81854"/>
    <w:rsid w:val="00B944D1"/>
    <w:rsid w:val="00BA1D0D"/>
    <w:rsid w:val="00BB57F1"/>
    <w:rsid w:val="00C52FBF"/>
    <w:rsid w:val="00D33092"/>
    <w:rsid w:val="00D9483C"/>
    <w:rsid w:val="00DB4476"/>
    <w:rsid w:val="00DD5758"/>
    <w:rsid w:val="00E474CC"/>
    <w:rsid w:val="00EF5B08"/>
    <w:rsid w:val="00F13F8C"/>
    <w:rsid w:val="00FF563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F76F9F"/>
  <w15:chartTrackingRefBased/>
  <w15:docId w15:val="{90D65B80-C601-4C43-A795-7A755E1C5D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rsid w:val="005A6C72"/>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uz-Cyrl-UZ" w:eastAsia="en-GB"/>
      <w14:textOutline w14:w="0" w14:cap="flat" w14:cmpd="sng" w14:algn="ctr">
        <w14:noFill/>
        <w14:prstDash w14:val="solid"/>
        <w14:bevel/>
      </w14:textOutline>
    </w:rPr>
  </w:style>
  <w:style w:type="paragraph" w:styleId="ListParagraph">
    <w:name w:val="List Paragraph"/>
    <w:rsid w:val="005A6C72"/>
    <w:pPr>
      <w:pBdr>
        <w:top w:val="nil"/>
        <w:left w:val="nil"/>
        <w:bottom w:val="nil"/>
        <w:right w:val="nil"/>
        <w:between w:val="nil"/>
        <w:bar w:val="nil"/>
      </w:pBdr>
      <w:spacing w:after="0" w:line="240" w:lineRule="auto"/>
      <w:ind w:left="720"/>
    </w:pPr>
    <w:rPr>
      <w:rFonts w:ascii="Times New Roman" w:eastAsia="Arial Unicode MS" w:hAnsi="Times New Roman" w:cs="Arial Unicode MS"/>
      <w:color w:val="000000"/>
      <w:sz w:val="24"/>
      <w:szCs w:val="24"/>
      <w:u w:color="000000"/>
      <w:bdr w:val="nil"/>
      <w:lang w:val="en-US" w:eastAsia="en-GB"/>
    </w:rPr>
  </w:style>
  <w:style w:type="numbering" w:customStyle="1" w:styleId="ImportedStyle1">
    <w:name w:val="Imported Style 1"/>
    <w:rsid w:val="005A6C72"/>
    <w:pPr>
      <w:numPr>
        <w:numId w:val="1"/>
      </w:numPr>
    </w:pPr>
  </w:style>
  <w:style w:type="paragraph" w:styleId="BalloonText">
    <w:name w:val="Balloon Text"/>
    <w:basedOn w:val="Normal"/>
    <w:link w:val="BalloonTextChar"/>
    <w:uiPriority w:val="99"/>
    <w:semiHidden/>
    <w:unhideWhenUsed/>
    <w:rsid w:val="002B79C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B79C2"/>
    <w:rPr>
      <w:rFonts w:ascii="Segoe UI" w:hAnsi="Segoe UI" w:cs="Segoe UI"/>
      <w:sz w:val="18"/>
      <w:szCs w:val="18"/>
    </w:rPr>
  </w:style>
  <w:style w:type="character" w:customStyle="1" w:styleId="apple-converted-space">
    <w:name w:val="apple-converted-space"/>
    <w:basedOn w:val="DefaultParagraphFont"/>
    <w:rsid w:val="00594625"/>
  </w:style>
  <w:style w:type="character" w:styleId="Hyperlink">
    <w:name w:val="Hyperlink"/>
    <w:basedOn w:val="DefaultParagraphFont"/>
    <w:uiPriority w:val="99"/>
    <w:semiHidden/>
    <w:unhideWhenUsed/>
    <w:rsid w:val="0080322E"/>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492233">
      <w:bodyDiv w:val="1"/>
      <w:marLeft w:val="0"/>
      <w:marRight w:val="0"/>
      <w:marTop w:val="0"/>
      <w:marBottom w:val="0"/>
      <w:divBdr>
        <w:top w:val="none" w:sz="0" w:space="0" w:color="auto"/>
        <w:left w:val="none" w:sz="0" w:space="0" w:color="auto"/>
        <w:bottom w:val="none" w:sz="0" w:space="0" w:color="auto"/>
        <w:right w:val="none" w:sz="0" w:space="0" w:color="auto"/>
      </w:divBdr>
    </w:div>
    <w:div w:id="374240750">
      <w:bodyDiv w:val="1"/>
      <w:marLeft w:val="0"/>
      <w:marRight w:val="0"/>
      <w:marTop w:val="0"/>
      <w:marBottom w:val="0"/>
      <w:divBdr>
        <w:top w:val="none" w:sz="0" w:space="0" w:color="auto"/>
        <w:left w:val="none" w:sz="0" w:space="0" w:color="auto"/>
        <w:bottom w:val="none" w:sz="0" w:space="0" w:color="auto"/>
        <w:right w:val="none" w:sz="0" w:space="0" w:color="auto"/>
      </w:divBdr>
    </w:div>
    <w:div w:id="805202171">
      <w:bodyDiv w:val="1"/>
      <w:marLeft w:val="0"/>
      <w:marRight w:val="0"/>
      <w:marTop w:val="0"/>
      <w:marBottom w:val="0"/>
      <w:divBdr>
        <w:top w:val="none" w:sz="0" w:space="0" w:color="auto"/>
        <w:left w:val="none" w:sz="0" w:space="0" w:color="auto"/>
        <w:bottom w:val="none" w:sz="0" w:space="0" w:color="auto"/>
        <w:right w:val="none" w:sz="0" w:space="0" w:color="auto"/>
      </w:divBdr>
    </w:div>
    <w:div w:id="1637639036">
      <w:bodyDiv w:val="1"/>
      <w:marLeft w:val="0"/>
      <w:marRight w:val="0"/>
      <w:marTop w:val="0"/>
      <w:marBottom w:val="0"/>
      <w:divBdr>
        <w:top w:val="none" w:sz="0" w:space="0" w:color="auto"/>
        <w:left w:val="none" w:sz="0" w:space="0" w:color="auto"/>
        <w:bottom w:val="none" w:sz="0" w:space="0" w:color="auto"/>
        <w:right w:val="none" w:sz="0" w:space="0" w:color="auto"/>
      </w:divBdr>
    </w:div>
    <w:div w:id="1717001340">
      <w:bodyDiv w:val="1"/>
      <w:marLeft w:val="0"/>
      <w:marRight w:val="0"/>
      <w:marTop w:val="0"/>
      <w:marBottom w:val="0"/>
      <w:divBdr>
        <w:top w:val="none" w:sz="0" w:space="0" w:color="auto"/>
        <w:left w:val="none" w:sz="0" w:space="0" w:color="auto"/>
        <w:bottom w:val="none" w:sz="0" w:space="0" w:color="auto"/>
        <w:right w:val="none" w:sz="0" w:space="0" w:color="auto"/>
      </w:divBdr>
    </w:div>
    <w:div w:id="1900433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ncbi.nlm.nih.gov/geo/" TargetMode="External"/><Relationship Id="rId3" Type="http://schemas.openxmlformats.org/officeDocument/2006/relationships/styles" Target="styles.xml"/><Relationship Id="rId7" Type="http://schemas.openxmlformats.org/officeDocument/2006/relationships/image" Target="media/image2.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901E7A-A9A0-4E6D-86E4-EE93C51619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Pages>
  <Words>11130</Words>
  <Characters>63442</Characters>
  <Application>Microsoft Office Word</Application>
  <DocSecurity>0</DocSecurity>
  <Lines>528</Lines>
  <Paragraphs>148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HP Inc.</Company>
  <LinksUpToDate>false</LinksUpToDate>
  <CharactersWithSpaces>74424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KHBBR</dc:creator>
  <cp:keywords/>
  <dc:description/>
  <cp:lastModifiedBy>Lilja Hardardottir</cp:lastModifiedBy>
  <cp:revision>3</cp:revision>
  <cp:lastPrinted>2021-08-26T14:30:00Z</cp:lastPrinted>
  <dcterms:created xsi:type="dcterms:W3CDTF">2021-11-07T16:54:00Z</dcterms:created>
  <dcterms:modified xsi:type="dcterms:W3CDTF">2021-11-07T16:56:00Z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http://www.zotero.org/styles/frontiers-in-immunology</vt:lpwstr>
  </property>
  <property fmtid="{D5CDD505-2E9C-101B-9397-08002B2CF9AE}" pid="15" name="Mendeley Recent Style Name 6_1">
    <vt:lpwstr>Frontiers in Immunology</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Mendeley Document_1">
    <vt:lpwstr>True</vt:lpwstr>
  </property>
  <property fmtid="{D5CDD505-2E9C-101B-9397-08002B2CF9AE}" pid="23" name="Mendeley Unique User Id_1">
    <vt:lpwstr>44ab115b-a00a-3c96-9e77-3e1a447f3f16</vt:lpwstr>
  </property>
  <property fmtid="{D5CDD505-2E9C-101B-9397-08002B2CF9AE}" pid="24" name="Mendeley Citation Style_1">
    <vt:lpwstr>http://www.zotero.org/styles/frontiers-in-immunology</vt:lpwstr>
  </property>
</Properties>
</file>