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F5A6E" w14:textId="77777777" w:rsidR="00DA1C1F" w:rsidRPr="001549D3" w:rsidRDefault="00DA1C1F" w:rsidP="00DA1C1F">
      <w:pPr>
        <w:pStyle w:val="SupplementaryMaterial"/>
        <w:jc w:val="left"/>
        <w:rPr>
          <w:b w:val="0"/>
        </w:rPr>
      </w:pPr>
      <w:r w:rsidRPr="001549D3">
        <w:t>Supplementary Material</w:t>
      </w:r>
    </w:p>
    <w:p w14:paraId="1CF2F6AA" w14:textId="5F6FBFD7" w:rsidR="00D24A7B" w:rsidRDefault="00D24A7B" w:rsidP="00106EBD">
      <w:pPr>
        <w:keepNext/>
        <w:jc w:val="center"/>
        <w:rPr>
          <w:rFonts w:cs="Times New Roman"/>
          <w:b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98D94E" wp14:editId="3F4B2154">
            <wp:extent cx="5577840" cy="6147929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95" cy="616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7FEE8" w14:textId="05AAA044" w:rsidR="00D24A7B" w:rsidRDefault="00D24A7B" w:rsidP="00D24A7B">
      <w:pPr>
        <w:pStyle w:val="SMHeading"/>
        <w:jc w:val="both"/>
        <w:rPr>
          <w:rFonts w:asciiTheme="majorBidi" w:hAnsiTheme="majorBidi" w:cstheme="majorBidi"/>
          <w:b w:val="0"/>
          <w:bCs w:val="0"/>
        </w:rPr>
      </w:pPr>
      <w:r w:rsidRPr="00D24A7B">
        <w:rPr>
          <w:rFonts w:asciiTheme="majorBidi" w:hAnsiTheme="majorBidi" w:cstheme="majorBidi"/>
        </w:rPr>
        <w:t xml:space="preserve">Supplementary Figure </w:t>
      </w:r>
      <w:r w:rsidRPr="00D24A7B">
        <w:rPr>
          <w:rFonts w:asciiTheme="majorBidi" w:hAnsiTheme="majorBidi" w:cstheme="majorBidi"/>
          <w:b w:val="0"/>
        </w:rPr>
        <w:fldChar w:fldCharType="begin"/>
      </w:r>
      <w:r w:rsidRPr="00D24A7B">
        <w:rPr>
          <w:rFonts w:asciiTheme="majorBidi" w:hAnsiTheme="majorBidi" w:cstheme="majorBidi"/>
        </w:rPr>
        <w:instrText xml:space="preserve"> SEQ Figure \* ARABIC </w:instrText>
      </w:r>
      <w:r w:rsidRPr="00D24A7B">
        <w:rPr>
          <w:rFonts w:asciiTheme="majorBidi" w:hAnsiTheme="majorBidi" w:cstheme="majorBidi"/>
          <w:b w:val="0"/>
        </w:rPr>
        <w:fldChar w:fldCharType="separate"/>
      </w:r>
      <w:r w:rsidRPr="00D24A7B">
        <w:rPr>
          <w:rFonts w:asciiTheme="majorBidi" w:hAnsiTheme="majorBidi" w:cstheme="majorBidi"/>
          <w:noProof/>
        </w:rPr>
        <w:t>1</w:t>
      </w:r>
      <w:r w:rsidRPr="00D24A7B">
        <w:rPr>
          <w:rFonts w:asciiTheme="majorBidi" w:hAnsiTheme="majorBidi" w:cstheme="majorBidi"/>
          <w:b w:val="0"/>
        </w:rPr>
        <w:fldChar w:fldCharType="end"/>
      </w:r>
      <w:r w:rsidRPr="00D24A7B">
        <w:rPr>
          <w:rFonts w:asciiTheme="majorBidi" w:hAnsiTheme="majorBidi" w:cstheme="majorBidi"/>
        </w:rPr>
        <w:t>.</w:t>
      </w:r>
      <w:r w:rsidRPr="00D24A7B">
        <w:rPr>
          <w:rFonts w:asciiTheme="majorBidi" w:hAnsiTheme="majorBidi" w:cstheme="majorBidi"/>
          <w:b w:val="0"/>
          <w:bCs w:val="0"/>
        </w:rPr>
        <w:t xml:space="preserve"> (A) Protein expression (representative western blot) of main differentiation markers (β actin served as a loading control) in three primary cultures (LOCE #3, 5, and 6) (group of non-switchers) established in low-tyrosine medium (Ham’s F10). (B and C) IHC staining of melanocyte differentiation markers in paraffin sections of corresponding patient’s tumors tissues from where the three pigmented primary cultures (LOCE #3, 5, and 6) (non-switchers group) and two unpigmented cultures (LOCE #9 and 11) are derived. </w:t>
      </w:r>
    </w:p>
    <w:p w14:paraId="7DD30A65" w14:textId="77777777" w:rsidR="00D24A7B" w:rsidRDefault="00D24A7B">
      <w:pPr>
        <w:spacing w:before="0" w:after="200" w:line="276" w:lineRule="auto"/>
        <w:rPr>
          <w:rFonts w:asciiTheme="majorBidi" w:eastAsia="Times New Roman" w:hAnsiTheme="majorBidi" w:cstheme="majorBidi"/>
          <w:kern w:val="32"/>
          <w:szCs w:val="24"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0F2B2D62" w14:textId="77777777" w:rsidR="00D24A7B" w:rsidRPr="00D24A7B" w:rsidRDefault="00D24A7B" w:rsidP="00D24A7B">
      <w:pPr>
        <w:pStyle w:val="SMHeading"/>
        <w:rPr>
          <w:rFonts w:asciiTheme="majorBidi" w:hAnsiTheme="majorBidi" w:cstheme="majorBidi"/>
          <w:szCs w:val="32"/>
        </w:rPr>
      </w:pPr>
      <w:r w:rsidRPr="00D24A7B">
        <w:rPr>
          <w:rFonts w:asciiTheme="majorBidi" w:hAnsiTheme="majorBidi" w:cstheme="majorBidi"/>
        </w:rPr>
        <w:lastRenderedPageBreak/>
        <w:t xml:space="preserve">Table S1. </w:t>
      </w:r>
      <w:r w:rsidRPr="00D24A7B">
        <w:rPr>
          <w:rFonts w:asciiTheme="majorBidi" w:hAnsiTheme="majorBidi" w:cstheme="majorBidi"/>
          <w:b w:val="0"/>
        </w:rPr>
        <w:t xml:space="preserve">List of 78 genes differentially expressed (log2FC &gt; 4 and </w:t>
      </w:r>
      <w:proofErr w:type="spellStart"/>
      <w:r w:rsidRPr="00D24A7B">
        <w:rPr>
          <w:rFonts w:asciiTheme="majorBidi" w:hAnsiTheme="majorBidi" w:cstheme="majorBidi"/>
          <w:b w:val="0"/>
        </w:rPr>
        <w:t>padj</w:t>
      </w:r>
      <w:proofErr w:type="spellEnd"/>
      <w:r w:rsidRPr="00D24A7B">
        <w:rPr>
          <w:rFonts w:asciiTheme="majorBidi" w:hAnsiTheme="majorBidi" w:cstheme="majorBidi"/>
          <w:b w:val="0"/>
        </w:rPr>
        <w:t xml:space="preserve"> &lt;0.0001).</w:t>
      </w:r>
    </w:p>
    <w:p w14:paraId="0678AF58" w14:textId="77777777" w:rsidR="00D24A7B" w:rsidRPr="00D24A7B" w:rsidRDefault="00D24A7B" w:rsidP="00D24A7B">
      <w:pPr>
        <w:pStyle w:val="SMHeading"/>
        <w:rPr>
          <w:rFonts w:asciiTheme="majorBidi" w:hAnsiTheme="majorBidi" w:cstheme="majorBidi"/>
          <w:b w:val="0"/>
          <w:bCs w:val="0"/>
        </w:rPr>
      </w:pPr>
      <w:r w:rsidRPr="00D24A7B">
        <w:rPr>
          <w:rFonts w:asciiTheme="majorBidi" w:hAnsiTheme="majorBidi" w:cstheme="majorBidi"/>
        </w:rPr>
        <w:t xml:space="preserve">Table S2. </w:t>
      </w:r>
      <w:r w:rsidRPr="00D24A7B">
        <w:rPr>
          <w:rFonts w:asciiTheme="majorBidi" w:hAnsiTheme="majorBidi" w:cstheme="majorBidi"/>
          <w:b w:val="0"/>
          <w:bCs w:val="0"/>
        </w:rPr>
        <w:t>The Top 35 differentially expressed Genes and their relevance in cell differentiation and pigmentation.</w:t>
      </w:r>
    </w:p>
    <w:p w14:paraId="5EEB72EC" w14:textId="191706FB" w:rsidR="00D24A7B" w:rsidRDefault="00D24A7B" w:rsidP="00D24A7B">
      <w:pPr>
        <w:pStyle w:val="SMHeading"/>
        <w:rPr>
          <w:rFonts w:asciiTheme="majorBidi" w:hAnsiTheme="majorBidi" w:cstheme="majorBidi"/>
          <w:b w:val="0"/>
          <w:bCs w:val="0"/>
        </w:rPr>
      </w:pPr>
      <w:r w:rsidRPr="00D24A7B">
        <w:rPr>
          <w:rFonts w:asciiTheme="majorBidi" w:hAnsiTheme="majorBidi" w:cstheme="majorBidi"/>
        </w:rPr>
        <w:t xml:space="preserve">Table S3. </w:t>
      </w:r>
      <w:r w:rsidRPr="00D24A7B">
        <w:rPr>
          <w:rFonts w:asciiTheme="majorBidi" w:hAnsiTheme="majorBidi" w:cstheme="majorBidi"/>
          <w:b w:val="0"/>
          <w:bCs w:val="0"/>
        </w:rPr>
        <w:t>Differential expression results of the RNA-</w:t>
      </w:r>
      <w:proofErr w:type="spellStart"/>
      <w:r w:rsidRPr="00D24A7B">
        <w:rPr>
          <w:rFonts w:asciiTheme="majorBidi" w:hAnsiTheme="majorBidi" w:cstheme="majorBidi"/>
          <w:b w:val="0"/>
          <w:bCs w:val="0"/>
        </w:rPr>
        <w:t>seq</w:t>
      </w:r>
      <w:proofErr w:type="spellEnd"/>
      <w:r w:rsidRPr="00D24A7B">
        <w:rPr>
          <w:rFonts w:asciiTheme="majorBidi" w:hAnsiTheme="majorBidi" w:cstheme="majorBidi"/>
          <w:b w:val="0"/>
          <w:bCs w:val="0"/>
        </w:rPr>
        <w:t xml:space="preserve"> data. Differential expression between Ham’s F10, Ham’s F10-tyrosine and RPMI 1640 samples (log2FC, p-value and adj. p-value).</w:t>
      </w:r>
    </w:p>
    <w:p w14:paraId="23739A63" w14:textId="54BE834B" w:rsidR="00A878FD" w:rsidRPr="00A878FD" w:rsidRDefault="00A878FD" w:rsidP="00A878FD">
      <w:pPr>
        <w:pStyle w:val="SMHeading"/>
        <w:jc w:val="both"/>
        <w:rPr>
          <w:rFonts w:asciiTheme="majorBidi" w:hAnsiTheme="majorBidi" w:cstheme="majorBidi"/>
          <w:b w:val="0"/>
          <w:bCs w:val="0"/>
        </w:rPr>
      </w:pPr>
      <w:r w:rsidRPr="00A878FD">
        <w:rPr>
          <w:rFonts w:asciiTheme="majorBidi" w:hAnsiTheme="majorBidi" w:cstheme="majorBidi"/>
        </w:rPr>
        <w:t>Table S4</w:t>
      </w:r>
      <w:r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  <w:b w:val="0"/>
          <w:bCs w:val="0"/>
        </w:rPr>
        <w:t>C</w:t>
      </w:r>
      <w:r w:rsidRPr="00A878FD">
        <w:rPr>
          <w:rFonts w:asciiTheme="majorBidi" w:hAnsiTheme="majorBidi" w:cstheme="majorBidi"/>
          <w:b w:val="0"/>
          <w:bCs w:val="0"/>
        </w:rPr>
        <w:t>haracteristic</w:t>
      </w:r>
      <w:r>
        <w:rPr>
          <w:rFonts w:asciiTheme="majorBidi" w:hAnsiTheme="majorBidi" w:cstheme="majorBidi"/>
          <w:b w:val="0"/>
          <w:bCs w:val="0"/>
        </w:rPr>
        <w:t>s</w:t>
      </w:r>
      <w:r w:rsidRPr="00A878FD">
        <w:rPr>
          <w:rFonts w:asciiTheme="majorBidi" w:hAnsiTheme="majorBidi" w:cstheme="majorBidi"/>
          <w:b w:val="0"/>
          <w:bCs w:val="0"/>
        </w:rPr>
        <w:t xml:space="preserve"> of tissues used for</w:t>
      </w:r>
      <w:r>
        <w:rPr>
          <w:rFonts w:asciiTheme="majorBidi" w:hAnsiTheme="majorBidi" w:cstheme="majorBidi"/>
          <w:b w:val="0"/>
          <w:bCs w:val="0"/>
        </w:rPr>
        <w:t xml:space="preserve"> the establishment of </w:t>
      </w:r>
      <w:r w:rsidRPr="00A878FD">
        <w:rPr>
          <w:rFonts w:asciiTheme="majorBidi" w:hAnsiTheme="majorBidi" w:cstheme="majorBidi"/>
          <w:b w:val="0"/>
          <w:bCs w:val="0"/>
        </w:rPr>
        <w:t>melanoma</w:t>
      </w:r>
      <w:r>
        <w:rPr>
          <w:rFonts w:asciiTheme="majorBidi" w:hAnsiTheme="majorBidi" w:cstheme="majorBidi"/>
          <w:b w:val="0"/>
          <w:bCs w:val="0"/>
        </w:rPr>
        <w:t xml:space="preserve"> </w:t>
      </w:r>
      <w:r w:rsidRPr="00A878FD">
        <w:rPr>
          <w:rFonts w:asciiTheme="majorBidi" w:hAnsiTheme="majorBidi" w:cstheme="majorBidi"/>
          <w:b w:val="0"/>
          <w:bCs w:val="0"/>
        </w:rPr>
        <w:t>primary</w:t>
      </w:r>
      <w:r>
        <w:rPr>
          <w:rFonts w:asciiTheme="majorBidi" w:hAnsiTheme="majorBidi" w:cstheme="majorBidi"/>
          <w:b w:val="0"/>
          <w:bCs w:val="0"/>
        </w:rPr>
        <w:t xml:space="preserve"> cultures.</w:t>
      </w:r>
      <w:bookmarkStart w:id="0" w:name="_GoBack"/>
      <w:bookmarkEnd w:id="0"/>
    </w:p>
    <w:p w14:paraId="1E64913D" w14:textId="77777777" w:rsidR="00DA1C1F" w:rsidRPr="00D24A7B" w:rsidRDefault="00DA1C1F" w:rsidP="00D24A7B">
      <w:pPr>
        <w:pStyle w:val="SMHeading"/>
        <w:rPr>
          <w:rFonts w:asciiTheme="majorBidi" w:hAnsiTheme="majorBidi" w:cstheme="majorBidi"/>
          <w:b w:val="0"/>
        </w:rPr>
      </w:pPr>
    </w:p>
    <w:sectPr w:rsidR="00DA1C1F" w:rsidRPr="00D24A7B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3B6ED" w14:textId="77777777" w:rsidR="00B56B0D" w:rsidRDefault="00B56B0D" w:rsidP="00117666">
      <w:pPr>
        <w:spacing w:after="0"/>
      </w:pPr>
      <w:r>
        <w:separator/>
      </w:r>
    </w:p>
  </w:endnote>
  <w:endnote w:type="continuationSeparator" w:id="0">
    <w:p w14:paraId="2BFC98DB" w14:textId="77777777" w:rsidR="00B56B0D" w:rsidRDefault="00B56B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12EFB5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878F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12EFB5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878F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0A9BCF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A1C1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0A9BCF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A1C1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D2402" w14:textId="77777777" w:rsidR="00B56B0D" w:rsidRDefault="00B56B0D" w:rsidP="00117666">
      <w:pPr>
        <w:spacing w:after="0"/>
      </w:pPr>
      <w:r>
        <w:separator/>
      </w:r>
    </w:p>
  </w:footnote>
  <w:footnote w:type="continuationSeparator" w:id="0">
    <w:p w14:paraId="478F1256" w14:textId="77777777" w:rsidR="00B56B0D" w:rsidRDefault="00B56B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3628"/>
    <w:rsid w:val="00105FD9"/>
    <w:rsid w:val="00106EBD"/>
    <w:rsid w:val="00117666"/>
    <w:rsid w:val="001549D3"/>
    <w:rsid w:val="00160065"/>
    <w:rsid w:val="00177D84"/>
    <w:rsid w:val="00196D6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3084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A94"/>
    <w:rsid w:val="00660D05"/>
    <w:rsid w:val="006820B1"/>
    <w:rsid w:val="006B7D14"/>
    <w:rsid w:val="006C312D"/>
    <w:rsid w:val="00701727"/>
    <w:rsid w:val="0070566C"/>
    <w:rsid w:val="00714C50"/>
    <w:rsid w:val="00725A7D"/>
    <w:rsid w:val="007501BE"/>
    <w:rsid w:val="00753050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78FD"/>
    <w:rsid w:val="00AA4D24"/>
    <w:rsid w:val="00AB6715"/>
    <w:rsid w:val="00B1671E"/>
    <w:rsid w:val="00B25EB8"/>
    <w:rsid w:val="00B37F4D"/>
    <w:rsid w:val="00B56B0D"/>
    <w:rsid w:val="00C52A7B"/>
    <w:rsid w:val="00C56BAF"/>
    <w:rsid w:val="00C679AA"/>
    <w:rsid w:val="00C75972"/>
    <w:rsid w:val="00CD066B"/>
    <w:rsid w:val="00CE4FEE"/>
    <w:rsid w:val="00D060CF"/>
    <w:rsid w:val="00D24A7B"/>
    <w:rsid w:val="00DA1C1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SMHeading">
    <w:name w:val="SM Heading"/>
    <w:basedOn w:val="Heading1"/>
    <w:qFormat/>
    <w:rsid w:val="00D24A7B"/>
    <w:pPr>
      <w:keepNext/>
      <w:numPr>
        <w:numId w:val="0"/>
      </w:numPr>
      <w:spacing w:after="60"/>
    </w:pPr>
    <w:rPr>
      <w:rFonts w:eastAsia="Times New Roman"/>
      <w:bCs/>
      <w:kern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D5DB026-5EB0-41DF-BDAB-F3EDF9113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46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ahmad Najem</cp:lastModifiedBy>
  <cp:revision>12</cp:revision>
  <cp:lastPrinted>2013-10-03T12:51:00Z</cp:lastPrinted>
  <dcterms:created xsi:type="dcterms:W3CDTF">2018-11-23T08:58:00Z</dcterms:created>
  <dcterms:modified xsi:type="dcterms:W3CDTF">2021-10-16T16:58:00Z</dcterms:modified>
</cp:coreProperties>
</file>