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62C5E" w14:textId="77777777" w:rsidR="00375C7A" w:rsidRDefault="00375C7A" w:rsidP="00463E55">
      <w:pPr>
        <w:spacing w:line="360" w:lineRule="auto"/>
        <w:jc w:val="center"/>
        <w:rPr>
          <w:rFonts w:ascii="Times New Roman" w:hAnsi="Times New Roman" w:cs="Times New Roman"/>
          <w:b/>
          <w:sz w:val="24"/>
          <w:szCs w:val="28"/>
        </w:rPr>
      </w:pPr>
      <w:r w:rsidRPr="00375C7A">
        <w:rPr>
          <w:rFonts w:ascii="Times New Roman" w:hAnsi="Times New Roman" w:cs="Times New Roman"/>
          <w:b/>
          <w:sz w:val="24"/>
          <w:szCs w:val="28"/>
        </w:rPr>
        <w:t>S</w:t>
      </w:r>
      <w:r>
        <w:rPr>
          <w:rFonts w:ascii="Times New Roman" w:hAnsi="Times New Roman" w:cs="Times New Roman"/>
          <w:b/>
          <w:sz w:val="24"/>
          <w:szCs w:val="28"/>
        </w:rPr>
        <w:t>upplementary text</w:t>
      </w:r>
    </w:p>
    <w:p w14:paraId="6047B82E" w14:textId="559D98A7" w:rsidR="00375C7A" w:rsidRPr="00375C7A" w:rsidRDefault="00375C7A" w:rsidP="00375C7A">
      <w:pPr>
        <w:spacing w:line="360" w:lineRule="auto"/>
        <w:rPr>
          <w:rFonts w:ascii="Times New Roman" w:hAnsi="Times New Roman" w:cs="Times New Roman"/>
          <w:b/>
          <w:sz w:val="24"/>
          <w:szCs w:val="28"/>
        </w:rPr>
      </w:pPr>
      <w:r w:rsidRPr="00375C7A">
        <w:rPr>
          <w:rFonts w:ascii="Times New Roman" w:hAnsi="Times New Roman" w:cs="Times New Roman"/>
          <w:b/>
          <w:sz w:val="24"/>
          <w:szCs w:val="28"/>
        </w:rPr>
        <w:t>Humoral immune response in COVID-19 patients</w:t>
      </w:r>
    </w:p>
    <w:p w14:paraId="3A719DBE" w14:textId="7E8F6BA9"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The development of the humoral immune response to SARS-CoV-2 is a highly dynamic process</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thus</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antibody kinetics </w:t>
      </w:r>
      <w:r w:rsidRPr="00375C7A">
        <w:rPr>
          <w:rFonts w:ascii="Times New Roman" w:eastAsia="Calibri" w:hAnsi="Times New Roman" w:cs="Times New Roman"/>
          <w:sz w:val="24"/>
          <w:szCs w:val="24"/>
        </w:rPr>
        <w:t>are</w:t>
      </w:r>
      <w:r w:rsidRPr="00375C7A">
        <w:rPr>
          <w:rFonts w:ascii="Times New Roman" w:hAnsi="Times New Roman" w:cs="Times New Roman"/>
          <w:sz w:val="24"/>
          <w:szCs w:val="24"/>
        </w:rPr>
        <w:t xml:space="preserve"> well described</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vqP2jXKz","properties":{"formattedCitation":"(1\\uc0\\u8211{}3)","plainCitation":"(1–3)","noteIndex":0},"citationItems":[{"id":"AkeASnBu/fijchuUk","uris":["http://zotero.org/users/7800320/items/I28L3Q2D"],"uri":["http://zotero.org/users/7800320/items/I28L3Q2D"],"itemData":{"id":191,"type":"article-journal","abstract":"We report acute antibody responses to SARS-CoV-2 in 285 patients with COVID-19. Within 19 days after symptom onset, 100% of patients tested positive for antiviral immunoglobulin-G (IgG). Seroconversion for IgG and IgM occurred simultaneously or sequentially. Both IgG and IgM titers plateaued within 6 days after seroconversion. Serological testing may be helpful for the diagnosis of suspected patients with negative RT–PCR results and for the identification of asymptomatic infections.","container-title":"Nature Medicine","DOI":"10.1038/s41591-020-0897-1","ISSN":"1546-170X","issue":"6","language":"en","note":"number: 6\npublisher: Nature Publishing Group","page":"845-848","source":"www.nature.com","title":"Antibody responses to SARS-CoV-2 in patients with COVID-19","volume":"26","author":[{"family":"Long","given":"Quan-Xin"},{"family":"Liu","given":"Bai-Zhong"},{"family":"Deng","given":"Hai-Jun"},{"family":"Wu","given":"Gui-Cheng"},{"family":"Deng","given":"Kun"},{"family":"Chen","given":"Yao-Kai"},{"family":"Liao","given":"Pu"},{"family":"Qiu","given":"Jing-Fu"},{"family":"Lin","given":"Yong"},{"family":"Cai","given":"Xue-Fei"},{"family":"Wang","given":"De-Qiang"},{"family":"Hu","given":"Yuan"},{"family":"Ren","given":"Ji-Hua"},{"family":"Tang","given":"Ni"},{"family":"Xu","given":"Yin-Yin"},{"family":"Yu","given":"Li-Hua"},{"family":"Mo","given":"Zhan"},{"family":"Gong","given":"Fang"},{"family":"Zhang","given":"Xiao-Li"},{"family":"Tian","given":"Wen-Guang"},{"family":"Hu","given":"Li"},{"family":"Zhang","given":"Xian-Xiang"},{"family":"Xiang","given":"Jiang-Lin"},{"family":"Du","given":"Hong-Xin"},{"family":"Liu","given":"Hua-Wen"},{"family":"Lang","given":"Chun-Hui"},{"family":"Luo","given":"Xiao-He"},{"family":"Wu","given":"Shao-Bo"},{"family":"Cui","given":"Xiao-Ping"},{"family":"Zhou","given":"Zheng"},{"family":"Zhu","given":"Man-Man"},{"family":"Wang","given":"Jing"},{"family":"Xue","given":"Cheng-Jun"},{"family":"Li","given":"Xiao-Feng"},{"family":"Wang","given":"Li"},{"family":"Li","given":"Zhi-Jie"},{"family":"Wang","given":"Kun"},{"family":"Niu","given":"Chang-Chun"},{"family":"Yang","given":"Qing-Jun"},{"family":"Tang","given":"Xiao-Jun"},{"family":"Zhang","given":"Yong"},{"family":"Liu","given":"Xia-Mao"},{"family":"Li","given":"Jin-Jing"},{"family":"Zhang","given":"De-Chun"},{"family":"Zhang","given":"Fan"},{"family":"Liu","given":"Ping"},{"family":"Yuan","given":"Jun"},{"family":"Li","given":"Qin"},{"family":"Hu","given":"Jie-Li"},{"family":"Chen","given":"Juan"},{"family":"Huang","given":"Ai-Long"}],"issued":{"date-parts":[["2020",6]]}}},{"id":"AkeASnBu/T2VKoLIY","uris":["http://zotero.org/users/7800320/items/MXFMB68U"],"uri":["http://zotero.org/users/7800320/items/MXFMB68U"],"itemData":{"id":207,"type":"article-journal","abstract":"The novel coronavirus SARS-CoV-2 is a newly emerging virus. The antibody response in infected patients remains largely unknown, and the clinical value of antibody testing has not been fully demonstrated.173 patients with SARS-CoV-2 infection were enrolled. Their serial plasma samples (n = 535) collected during hospitalization were tested for total antibodies (Ab), IgM, and IgG against SARS-CoV-2. The dynamics of antibodies with disease progress were analyzed.Among 173 patients, the seroconversion rates for Ab, IgM, and IgG were 93.1%, 82.7%, and 64.7%, respectively. The reason for the negative antibody findings in 12 patients might be due to the lack of blood samples at the later stage of illness. The median seroconversion times for Ab, IgM, and then IgG were days 11, 12, and 4, respectively. The presence of antibodies was &amp;lt;40% among patients within 1 week of onset, and rapidly increased to 100.0% (Ab), 94.3% (IgM), and 79.8% (IgG) by day 15 after onset. In contrast, RNA detectability decreased from 66.7% (58/87) in samples collected before day 7 to 45.5% (25/55) during days 15–39. Combining RNA and antibody detection significantly improved the sensitivity of pathogenic diagnosis for COVID-19 (P &amp;lt; .001), even in the early phase of 1 week from onset (P = .007). Moreover, a higher titer of Ab was independently associated with a worse clinical classification (P = .006).Antibody detection offers vital clinical information during the course of SARS-CoV-2 infection. The findings provide strong empirical support for the routine application of serological testing in the diagnosis and management of COVID-19 patients.","container-title":"Clinical Infectious Diseases","DOI":"10.1093/cid/ciaa344","ISSN":"1058-4838","issue":"16","journalAbbreviation":"Clinical Infectious Diseases","page":"2027-2034","source":"Silverchair","title":"Antibody Responses to SARS-CoV-2 in Patients With Novel Coronavirus Disease 2019","volume":"71","author":[{"family":"Zhao","given":"Juanjuan"},{"family":"Yuan","given":"Quan"},{"family":"Wang","given":"Haiyan"},{"family":"Liu","given":"Wei"},{"family":"Liao","given":"Xuejiao"},{"family":"Su","given":"Yingying"},{"family":"Wang","given":"Xin"},{"family":"Yuan","given":"Jing"},{"family":"Li","given":"Tingdong"},{"family":"Li","given":"Jinxiu"},{"family":"Qian","given":"Shen"},{"family":"Hong","given":"Congming"},{"family":"Wang","given":"Fuxiang"},{"family":"Liu","given":"Yingxia"},{"family":"Wang","given":"Zhaoqin"},{"family":"He","given":"Qing"},{"family":"Li","given":"Zhiyong"},{"family":"He","given":"Bin"},{"family":"Zhang","given":"Tianying"},{"family":"Fu","given":"Yang"},{"family":"Ge","given":"Shengxiang"},{"family":"Liu","given":"Lei"},{"family":"Zhang","given":"Jun"},{"family":"Xia","given":"Ningshao"},{"family":"Zhang","given":"Zheng"}],"issued":{"date-parts":[["2020",11,19]]}}},{"id":"AkeASnBu/def4hV3D","uris":["http://zotero.org/users/7800320/items/33R7HHHD"],"uri":["http://zotero.org/users/7800320/items/33R7HHHD"],"itemData":{"id":210,"type":"article-journal","abstract":"Antibody responses were induced after SARS-CoV-2 infection, and the complementary diagnostic value of antibody test to RNA test was observed. Antibody tests are critical tools in clinical management and control of SARS-CoV-2 infection and COVID-19.","container-title":"The European Respiratory Journal","DOI":"10.1183/13993003.00763-2020","ISSN":"0903-1936","journalAbbreviation":"Eur Respir J","note":"PMID: 32430429\nPMCID: PMC7401320","source":"PubMed Central","title":"Serology characteristics of SARS-CoV-2 infection since exposure and post symptom onset","URL":"https://www.ncbi.nlm.nih.gov/pmc/articles/PMC7401320/","author":[{"family":"Lou","given":"Bin"},{"family":"Li","given":"Ting-Dong"},{"family":"Zheng","given":"Shu-Fa"},{"family":"Su","given":"Ying-Ying"},{"family":"Li","given":"Zhi-Yong"},{"family":"Liu","given":"Wei"},{"family":"Yu","given":"Fei"},{"family":"Ge","given":"Sheng-Xiang"},{"family":"Zou","given":"Qian-Da"},{"family":"Yuan","given":"Quan"},{"family":"Lin","given":"Sha"},{"family":"Hong","given":"Cong-Ming"},{"family":"Yao","given":"Xiang-Yang"},{"family":"Zhang","given":"Xue-Jie"},{"family":"Wu","given":"Ding-Hui"},{"family":"Zhou","given":"Guo-Liang"},{"family":"Hou","given":"Wang-Heng"},{"family":"Li","given":"Ting-Ting"},{"family":"Zhang","given":"Ya-Li"},{"family":"Zhang","given":"Shi-Yin"},{"family":"Fan","given":"Jian"},{"family":"Zhang","given":"Jun"},{"family":"Xia","given":"Ning-Shao"},{"family":"Chen","given":"Yu"}],"accessed":{"date-parts":[["2021",4,21]]},"issued":{"date-parts":[["2020",5,19]]}}}],"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szCs w:val="24"/>
        </w:rPr>
        <w:t>(1–3)</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In 52% of the patients in our cohort</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total IgM+IgA against the SARS-CoV-2 nucleocapsid (N) and S1 were detected at 0-5 days from</w:t>
      </w:r>
      <w:r w:rsidRPr="00375C7A">
        <w:rPr>
          <w:rFonts w:ascii="Times New Roman" w:eastAsia="Calibri" w:hAnsi="Times New Roman" w:cs="Times New Roman"/>
          <w:sz w:val="24"/>
          <w:szCs w:val="24"/>
        </w:rPr>
        <w:t xml:space="preserve"> symptom</w:t>
      </w:r>
      <w:r w:rsidRPr="00375C7A">
        <w:rPr>
          <w:rFonts w:ascii="Times New Roman" w:hAnsi="Times New Roman" w:cs="Times New Roman"/>
          <w:sz w:val="24"/>
          <w:szCs w:val="24"/>
        </w:rPr>
        <w:t xml:space="preserve"> onset (DfSO)</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and levels were significantly increased by 11-15 DfSO (</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S1 А-Е</w:t>
      </w:r>
      <w:r w:rsidRPr="00375C7A">
        <w:rPr>
          <w:rFonts w:ascii="Times New Roman" w:hAnsi="Times New Roman" w:cs="Times New Roman"/>
          <w:sz w:val="24"/>
          <w:szCs w:val="24"/>
        </w:rPr>
        <w:t>). In severe COVID-19 patients</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 xml:space="preserve">IgM+IgA response (comparing the maximum values from all sample points) was more </w:t>
      </w:r>
      <w:r w:rsidRPr="00375C7A">
        <w:rPr>
          <w:rFonts w:ascii="Times New Roman" w:eastAsia="Calibri" w:hAnsi="Times New Roman" w:cs="Times New Roman"/>
          <w:sz w:val="24"/>
          <w:szCs w:val="24"/>
        </w:rPr>
        <w:t>intense</w:t>
      </w:r>
      <w:r w:rsidRPr="00375C7A">
        <w:rPr>
          <w:rFonts w:ascii="Times New Roman" w:hAnsi="Times New Roman" w:cs="Times New Roman"/>
          <w:sz w:val="24"/>
          <w:szCs w:val="24"/>
        </w:rPr>
        <w:t xml:space="preserve"> than in the mild group (</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S1 F</w:t>
      </w:r>
      <w:r w:rsidRPr="00375C7A">
        <w:rPr>
          <w:rFonts w:ascii="Times New Roman" w:hAnsi="Times New Roman" w:cs="Times New Roman"/>
          <w:sz w:val="24"/>
          <w:szCs w:val="24"/>
        </w:rPr>
        <w:t>). IgG against the N-protein and RBD domain was detected earlier (in the second week from the onset of symptoms) than IgG against the S1 (on days 16-20) in all severity groups (</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S1 A-E)</w:t>
      </w:r>
      <w:r w:rsidRPr="00375C7A">
        <w:rPr>
          <w:rFonts w:ascii="Times New Roman" w:hAnsi="Times New Roman" w:cs="Times New Roman"/>
          <w:sz w:val="24"/>
          <w:szCs w:val="24"/>
        </w:rPr>
        <w:t xml:space="preserve">, and median values of the maximum levels of IgG antibodies to all three proteins in the ICU group were lower than </w:t>
      </w:r>
      <w:r w:rsidRPr="00375C7A">
        <w:rPr>
          <w:rFonts w:ascii="Times New Roman" w:eastAsia="Calibri" w:hAnsi="Times New Roman" w:cs="Times New Roman"/>
          <w:sz w:val="24"/>
          <w:szCs w:val="24"/>
        </w:rPr>
        <w:t xml:space="preserve">those </w:t>
      </w:r>
      <w:r w:rsidRPr="00375C7A">
        <w:rPr>
          <w:rFonts w:ascii="Times New Roman" w:hAnsi="Times New Roman" w:cs="Times New Roman"/>
          <w:sz w:val="24"/>
          <w:szCs w:val="24"/>
        </w:rPr>
        <w:t>in the other groups (</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S1 F</w:t>
      </w:r>
      <w:r w:rsidRPr="00375C7A">
        <w:rPr>
          <w:rFonts w:ascii="Times New Roman" w:hAnsi="Times New Roman" w:cs="Times New Roman"/>
          <w:sz w:val="24"/>
          <w:szCs w:val="24"/>
        </w:rPr>
        <w:t xml:space="preserve">). Apparently, this is </w:t>
      </w:r>
      <w:r w:rsidRPr="00375C7A">
        <w:rPr>
          <w:rFonts w:ascii="Times New Roman" w:eastAsia="Calibri" w:hAnsi="Times New Roman" w:cs="Times New Roman"/>
          <w:sz w:val="24"/>
          <w:szCs w:val="24"/>
        </w:rPr>
        <w:t xml:space="preserve">because </w:t>
      </w:r>
      <w:r w:rsidRPr="00375C7A">
        <w:rPr>
          <w:rFonts w:ascii="Times New Roman" w:hAnsi="Times New Roman" w:cs="Times New Roman"/>
          <w:sz w:val="24"/>
          <w:szCs w:val="24"/>
        </w:rPr>
        <w:t xml:space="preserve">more than half of the patients in the ICU group (69%) died before they had reached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IgG maximum production level.</w:t>
      </w:r>
    </w:p>
    <w:p w14:paraId="33BD647B" w14:textId="085C1128"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The 100% cumulative seropositive rate for IgG, both to N-protein and to RBD (but not to S1)</w:t>
      </w:r>
      <w:r w:rsidRPr="00375C7A">
        <w:rPr>
          <w:rFonts w:ascii="Times New Roman" w:eastAsia="Calibri" w:hAnsi="Times New Roman" w:cs="Times New Roman"/>
          <w:sz w:val="24"/>
          <w:szCs w:val="24"/>
        </w:rPr>
        <w:t>, was</w:t>
      </w:r>
      <w:r w:rsidRPr="00375C7A">
        <w:rPr>
          <w:rFonts w:ascii="Times New Roman" w:hAnsi="Times New Roman" w:cs="Times New Roman"/>
          <w:sz w:val="24"/>
          <w:szCs w:val="24"/>
        </w:rPr>
        <w:t xml:space="preserve"> observed for</w:t>
      </w:r>
      <w:r w:rsidRPr="00375C7A">
        <w:rPr>
          <w:rFonts w:ascii="Times New Roman" w:eastAsia="Calibri" w:hAnsi="Times New Roman" w:cs="Times New Roman"/>
          <w:sz w:val="24"/>
          <w:szCs w:val="24"/>
        </w:rPr>
        <w:t xml:space="preserve"> the</w:t>
      </w:r>
      <w:r w:rsidRPr="00375C7A">
        <w:rPr>
          <w:rFonts w:ascii="Times New Roman" w:hAnsi="Times New Roman" w:cs="Times New Roman"/>
          <w:sz w:val="24"/>
          <w:szCs w:val="24"/>
        </w:rPr>
        <w:t xml:space="preserve"> mild </w:t>
      </w:r>
      <w:r w:rsidRPr="00375C7A">
        <w:rPr>
          <w:rFonts w:ascii="Times New Roman" w:eastAsia="Calibri" w:hAnsi="Times New Roman" w:cs="Times New Roman"/>
          <w:sz w:val="24"/>
          <w:szCs w:val="24"/>
        </w:rPr>
        <w:t>patient</w:t>
      </w:r>
      <w:r w:rsidRPr="00375C7A">
        <w:rPr>
          <w:rFonts w:ascii="Times New Roman" w:hAnsi="Times New Roman" w:cs="Times New Roman"/>
          <w:sz w:val="24"/>
          <w:szCs w:val="24"/>
        </w:rPr>
        <w:t xml:space="preserve"> group by </w:t>
      </w:r>
      <w:r w:rsidRPr="00375C7A">
        <w:rPr>
          <w:rFonts w:ascii="Times New Roman" w:eastAsia="Calibri" w:hAnsi="Times New Roman" w:cs="Times New Roman"/>
          <w:sz w:val="24"/>
          <w:szCs w:val="24"/>
        </w:rPr>
        <w:t>days</w:t>
      </w:r>
      <w:r w:rsidRPr="00375C7A">
        <w:rPr>
          <w:rFonts w:ascii="Times New Roman" w:hAnsi="Times New Roman" w:cs="Times New Roman"/>
          <w:sz w:val="24"/>
          <w:szCs w:val="24"/>
        </w:rPr>
        <w:t xml:space="preserve"> 16-20 and for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 xml:space="preserve">mild-moderate </w:t>
      </w:r>
      <w:r w:rsidRPr="00375C7A">
        <w:rPr>
          <w:rFonts w:ascii="Times New Roman" w:eastAsia="Calibri" w:hAnsi="Times New Roman" w:cs="Times New Roman"/>
          <w:sz w:val="24"/>
          <w:szCs w:val="24"/>
        </w:rPr>
        <w:t>patient</w:t>
      </w:r>
      <w:r w:rsidRPr="00375C7A">
        <w:rPr>
          <w:rFonts w:ascii="Times New Roman" w:hAnsi="Times New Roman" w:cs="Times New Roman"/>
          <w:sz w:val="24"/>
          <w:szCs w:val="24"/>
        </w:rPr>
        <w:t xml:space="preserve"> group by </w:t>
      </w:r>
      <w:r w:rsidRPr="00375C7A">
        <w:rPr>
          <w:rFonts w:ascii="Times New Roman" w:eastAsia="Calibri" w:hAnsi="Times New Roman" w:cs="Times New Roman"/>
          <w:sz w:val="24"/>
          <w:szCs w:val="24"/>
        </w:rPr>
        <w:t>days</w:t>
      </w:r>
      <w:r w:rsidRPr="00375C7A">
        <w:rPr>
          <w:rFonts w:ascii="Times New Roman" w:hAnsi="Times New Roman" w:cs="Times New Roman"/>
          <w:sz w:val="24"/>
          <w:szCs w:val="24"/>
        </w:rPr>
        <w:t xml:space="preserve"> 26-30. For more severe COVID-19 patients</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it was not achieved during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 xml:space="preserve">observation period. </w:t>
      </w:r>
      <w:r w:rsidRPr="00AB0AD7">
        <w:rPr>
          <w:rFonts w:ascii="Times New Roman" w:hAnsi="Times New Roman" w:cs="Times New Roman"/>
          <w:sz w:val="24"/>
          <w:szCs w:val="24"/>
        </w:rPr>
        <w:t>The gradient of the 100% cumulative IgM+IgA seropositive rate for critical and severe cases was observed at 11-15 and 16-20 DfSO, respectively; for less severe forms, this phenomenon was observed only from the beginning of 4 weeks after symptom onset.</w:t>
      </w:r>
      <w:r w:rsidRPr="00375C7A">
        <w:rPr>
          <w:rFonts w:ascii="Times New Roman" w:hAnsi="Times New Roman" w:cs="Times New Roman"/>
          <w:sz w:val="24"/>
          <w:szCs w:val="24"/>
        </w:rPr>
        <w:t xml:space="preserve"> The results of analysis of </w:t>
      </w:r>
      <w:r w:rsidRPr="00375C7A">
        <w:rPr>
          <w:rFonts w:ascii="Times New Roman" w:eastAsia="Calibri" w:hAnsi="Times New Roman" w:cs="Times New Roman"/>
          <w:sz w:val="24"/>
          <w:szCs w:val="24"/>
        </w:rPr>
        <w:t>antibody</w:t>
      </w:r>
      <w:r w:rsidRPr="00375C7A">
        <w:t xml:space="preserve"> </w:t>
      </w:r>
      <w:r w:rsidRPr="00375C7A">
        <w:rPr>
          <w:rFonts w:ascii="Times New Roman" w:hAnsi="Times New Roman" w:cs="Times New Roman"/>
          <w:sz w:val="24"/>
          <w:szCs w:val="24"/>
        </w:rPr>
        <w:t>(total anti-SARS-CoV-2 IgM+IgA; IgG to N-protein, S1 and RBD-domain)</w:t>
      </w:r>
      <w:r w:rsidRPr="00375C7A">
        <w:t xml:space="preserve"> </w:t>
      </w:r>
      <w:r w:rsidRPr="00375C7A">
        <w:rPr>
          <w:rFonts w:ascii="Times New Roman" w:hAnsi="Times New Roman" w:cs="Times New Roman"/>
          <w:sz w:val="24"/>
          <w:szCs w:val="24"/>
        </w:rPr>
        <w:t>dynamics in</w:t>
      </w:r>
      <w:r w:rsidRPr="00375C7A">
        <w:rPr>
          <w:rFonts w:ascii="Times New Roman" w:eastAsia="Calibri" w:hAnsi="Times New Roman" w:cs="Times New Roman"/>
          <w:sz w:val="24"/>
          <w:szCs w:val="24"/>
        </w:rPr>
        <w:t xml:space="preserve"> the</w:t>
      </w:r>
      <w:r w:rsidRPr="00375C7A">
        <w:rPr>
          <w:rFonts w:ascii="Times New Roman" w:hAnsi="Times New Roman" w:cs="Times New Roman"/>
          <w:sz w:val="24"/>
          <w:szCs w:val="24"/>
        </w:rPr>
        <w:t xml:space="preserve"> studied sample were generally consistent with the previously described trends of the humoral immune response in COVID-19</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nmgilIdi","properties":{"formattedCitation":"(1\\uc0\\u8211{}3)","plainCitation":"(1–3)","noteIndex":0},"citationItems":[{"id":"AkeASnBu/fijchuUk","uris":["http://zotero.org/users/7800320/items/I28L3Q2D"],"uri":["http://zotero.org/users/7800320/items/I28L3Q2D"],"itemData":{"id":191,"type":"article-journal","abstract":"We report acute antibody responses to SARS-CoV-2 in 285 patients with COVID-19. Within 19 days after symptom onset, 100% of patients tested positive for antiviral immunoglobulin-G (IgG). Seroconversion for IgG and IgM occurred simultaneously or sequentially. Both IgG and IgM titers plateaued within 6 days after seroconversion. Serological testing may be helpful for the diagnosis of suspected patients with negative RT–PCR results and for the identification of asymptomatic infections.","container-title":"Nature Medicine","DOI":"10.1038/s41591-020-0897-1","ISSN":"1546-170X","issue":"6","language":"en","note":"number: 6\npublisher: Nature Publishing Group","page":"845-848","source":"www.nature.com","title":"Antibody responses to SARS-CoV-2 in patients with COVID-19","volume":"26","author":[{"family":"Long","given":"Quan-Xin"},{"family":"Liu","given":"Bai-Zhong"},{"family":"Deng","given":"Hai-Jun"},{"family":"Wu","given":"Gui-Cheng"},{"family":"Deng","given":"Kun"},{"family":"Chen","given":"Yao-Kai"},{"family":"Liao","given":"Pu"},{"family":"Qiu","given":"Jing-Fu"},{"family":"Lin","given":"Yong"},{"family":"Cai","given":"Xue-Fei"},{"family":"Wang","given":"De-Qiang"},{"family":"Hu","given":"Yuan"},{"family":"Ren","given":"Ji-Hua"},{"family":"Tang","given":"Ni"},{"family":"Xu","given":"Yin-Yin"},{"family":"Yu","given":"Li-Hua"},{"family":"Mo","given":"Zhan"},{"family":"Gong","given":"Fang"},{"family":"Zhang","given":"Xiao-Li"},{"family":"Tian","given":"Wen-Guang"},{"family":"Hu","given":"Li"},{"family":"Zhang","given":"Xian-Xiang"},{"family":"Xiang","given":"Jiang-Lin"},{"family":"Du","given":"Hong-Xin"},{"family":"Liu","given":"Hua-Wen"},{"family":"Lang","given":"Chun-Hui"},{"family":"Luo","given":"Xiao-He"},{"family":"Wu","given":"Shao-Bo"},{"family":"Cui","given":"Xiao-Ping"},{"family":"Zhou","given":"Zheng"},{"family":"Zhu","given":"Man-Man"},{"family":"Wang","given":"Jing"},{"family":"Xue","given":"Cheng-Jun"},{"family":"Li","given":"Xiao-Feng"},{"family":"Wang","given":"Li"},{"family":"Li","given":"Zhi-Jie"},{"family":"Wang","given":"Kun"},{"family":"Niu","given":"Chang-Chun"},{"family":"Yang","given":"Qing-Jun"},{"family":"Tang","given":"Xiao-Jun"},{"family":"Zhang","given":"Yong"},{"family":"Liu","given":"Xia-Mao"},{"family":"Li","given":"Jin-Jing"},{"family":"Zhang","given":"De-Chun"},{"family":"Zhang","given":"Fan"},{"family":"Liu","given":"Ping"},{"family":"Yuan","given":"Jun"},{"family":"Li","given":"Qin"},{"family":"Hu","given":"Jie-Li"},{"family":"Chen","given":"Juan"},{"family":"Huang","given":"Ai-Long"}],"issued":{"date-parts":[["2020",6]]}}},{"id":"AkeASnBu/T2VKoLIY","uris":["http://zotero.org/users/7800320/items/MXFMB68U"],"uri":["http://zotero.org/users/7800320/items/MXFMB68U"],"itemData":{"id":207,"type":"article-journal","abstract":"The novel coronavirus SARS-CoV-2 is a newly emerging virus. The antibody response in infected patients remains largely unknown, and the clinical value of antibody testing has not been fully demonstrated.173 patients with SARS-CoV-2 infection were enrolled. Their serial plasma samples (n = 535) collected during hospitalization were tested for total antibodies (Ab), IgM, and IgG against SARS-CoV-2. The dynamics of antibodies with disease progress were analyzed.Among 173 patients, the seroconversion rates for Ab, IgM, and IgG were 93.1%, 82.7%, and 64.7%, respectively. The reason for the negative antibody findings in 12 patients might be due to the lack of blood samples at the later stage of illness. The median seroconversion times for Ab, IgM, and then IgG were days 11, 12, and 4, respectively. The presence of antibodies was &amp;lt;40% among patients within 1 week of onset, and rapidly increased to 100.0% (Ab), 94.3% (IgM), and 79.8% (IgG) by day 15 after onset. In contrast, RNA detectability decreased from 66.7% (58/87) in samples collected before day 7 to 45.5% (25/55) during days 15–39. Combining RNA and antibody detection significantly improved the sensitivity of pathogenic diagnosis for COVID-19 (P &amp;lt; .001), even in the early phase of 1 week from onset (P = .007). Moreover, a higher titer of Ab was independently associated with a worse clinical classification (P = .006).Antibody detection offers vital clinical information during the course of SARS-CoV-2 infection. The findings provide strong empirical support for the routine application of serological testing in the diagnosis and management of COVID-19 patients.","container-title":"Clinical Infectious Diseases","DOI":"10.1093/cid/ciaa344","ISSN":"1058-4838","issue":"16","journalAbbreviation":"Clinical Infectious Diseases","page":"2027-2034","source":"Silverchair","title":"Antibody Responses to SARS-CoV-2 in Patients With Novel Coronavirus Disease 2019","volume":"71","author":[{"family":"Zhao","given":"Juanjuan"},{"family":"Yuan","given":"Quan"},{"family":"Wang","given":"Haiyan"},{"family":"Liu","given":"Wei"},{"family":"Liao","given":"Xuejiao"},{"family":"Su","given":"Yingying"},{"family":"Wang","given":"Xin"},{"family":"Yuan","given":"Jing"},{"family":"Li","given":"Tingdong"},{"family":"Li","given":"Jinxiu"},{"family":"Qian","given":"Shen"},{"family":"Hong","given":"Congming"},{"family":"Wang","given":"Fuxiang"},{"family":"Liu","given":"Yingxia"},{"family":"Wang","given":"Zhaoqin"},{"family":"He","given":"Qing"},{"family":"Li","given":"Zhiyong"},{"family":"He","given":"Bin"},{"family":"Zhang","given":"Tianying"},{"family":"Fu","given":"Yang"},{"family":"Ge","given":"Shengxiang"},{"family":"Liu","given":"Lei"},{"family":"Zhang","given":"Jun"},{"family":"Xia","given":"Ningshao"},{"family":"Zhang","given":"Zheng"}],"issued":{"date-parts":[["2020",11,19]]}}},{"id":"AkeASnBu/def4hV3D","uris":["http://zotero.org/users/7800320/items/33R7HHHD"],"uri":["http://zotero.org/users/7800320/items/33R7HHHD"],"itemData":{"id":210,"type":"article-journal","abstract":"Antibody responses were induced after SARS-CoV-2 infection, and the complementary diagnostic value of antibody test to RNA test was observed. Antibody tests are critical tools in clinical management and control of SARS-CoV-2 infection and COVID-19.","container-title":"The European Respiratory Journal","DOI":"10.1183/13993003.00763-2020","ISSN":"0903-1936","journalAbbreviation":"Eur Respir J","note":"PMID: 32430429\nPMCID: PMC7401320","source":"PubMed Central","title":"Serology characteristics of SARS-CoV-2 infection since exposure and post symptom onset","URL":"https://www.ncbi.nlm.nih.gov/pmc/articles/PMC7401320/","author":[{"family":"Lou","given":"Bin"},{"family":"Li","given":"Ting-Dong"},{"family":"Zheng","given":"Shu-Fa"},{"family":"Su","given":"Ying-Ying"},{"family":"Li","given":"Zhi-Yong"},{"family":"Liu","given":"Wei"},{"family":"Yu","given":"Fei"},{"family":"Ge","given":"Sheng-Xiang"},{"family":"Zou","given":"Qian-Da"},{"family":"Yuan","given":"Quan"},{"family":"Lin","given":"Sha"},{"family":"Hong","given":"Cong-Ming"},{"family":"Yao","given":"Xiang-Yang"},{"family":"Zhang","given":"Xue-Jie"},{"family":"Wu","given":"Ding-Hui"},{"family":"Zhou","given":"Guo-Liang"},{"family":"Hou","given":"Wang-Heng"},{"family":"Li","given":"Ting-Ting"},{"family":"Zhang","given":"Ya-Li"},{"family":"Zhang","given":"Shi-Yin"},{"family":"Fan","given":"Jian"},{"family":"Zhang","given":"Jun"},{"family":"Xia","given":"Ning-Shao"},{"family":"Chen","given":"Yu"}],"accessed":{"date-parts":[["2021",4,21]]},"issued":{"date-parts":[["2020",5,19]]}}}],"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szCs w:val="24"/>
        </w:rPr>
        <w:t>(1–3)</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This fact gives confidence for the correct distribution of patients by severity and representativeness in our sample.</w:t>
      </w:r>
    </w:p>
    <w:p w14:paraId="03C49017" w14:textId="3B69C084" w:rsidR="00375C7A" w:rsidRPr="00375C7A" w:rsidRDefault="00375C7A" w:rsidP="00375C7A">
      <w:pPr>
        <w:spacing w:after="240" w:line="240" w:lineRule="auto"/>
        <w:rPr>
          <w:rFonts w:ascii="Times New Roman" w:hAnsi="Times New Roman" w:cs="Times New Roman"/>
          <w:b/>
          <w:sz w:val="24"/>
          <w:szCs w:val="24"/>
        </w:rPr>
      </w:pPr>
      <w:r w:rsidRPr="00375C7A">
        <w:rPr>
          <w:rFonts w:ascii="Times New Roman" w:hAnsi="Times New Roman" w:cs="Times New Roman"/>
          <w:b/>
          <w:sz w:val="24"/>
          <w:szCs w:val="24"/>
        </w:rPr>
        <w:t>Cytokine signatures in COVID-19 patients based on demographic signs and</w:t>
      </w:r>
      <w:r w:rsidRPr="00375C7A">
        <w:t xml:space="preserve"> </w:t>
      </w:r>
      <w:r w:rsidRPr="00375C7A">
        <w:rPr>
          <w:rFonts w:ascii="Times New Roman" w:eastAsia="Calibri" w:hAnsi="Times New Roman" w:cs="Times New Roman"/>
          <w:b/>
          <w:sz w:val="24"/>
          <w:szCs w:val="24"/>
        </w:rPr>
        <w:t xml:space="preserve">noninfectious </w:t>
      </w:r>
      <w:r w:rsidRPr="00442E78">
        <w:rPr>
          <w:rFonts w:ascii="Times New Roman" w:eastAsia="Calibri" w:hAnsi="Times New Roman" w:cs="Times New Roman"/>
          <w:b/>
          <w:sz w:val="24"/>
          <w:szCs w:val="24"/>
        </w:rPr>
        <w:t>comorbidity</w:t>
      </w:r>
      <w:r w:rsidRPr="00442E78">
        <w:rPr>
          <w:rFonts w:ascii="Times New Roman" w:hAnsi="Times New Roman" w:cs="Times New Roman"/>
          <w:b/>
          <w:sz w:val="24"/>
          <w:szCs w:val="24"/>
        </w:rPr>
        <w:t xml:space="preserve"> </w:t>
      </w:r>
      <w:r w:rsidR="005718B9" w:rsidRPr="00442E78">
        <w:rPr>
          <w:rFonts w:ascii="Times New Roman" w:hAnsi="Times New Roman" w:cs="Times New Roman"/>
          <w:b/>
          <w:sz w:val="24"/>
          <w:szCs w:val="24"/>
        </w:rPr>
        <w:t xml:space="preserve">in </w:t>
      </w:r>
      <w:r w:rsidR="00172F90" w:rsidRPr="00442E78">
        <w:rPr>
          <w:rFonts w:ascii="Times New Roman" w:hAnsi="Times New Roman" w:cs="Times New Roman"/>
          <w:b/>
          <w:sz w:val="24"/>
          <w:szCs w:val="24"/>
        </w:rPr>
        <w:t>medical history</w:t>
      </w:r>
    </w:p>
    <w:p w14:paraId="26D867D2" w14:textId="69701F26"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 xml:space="preserve">According to prevalent trends in COVID-19 </w:t>
      </w:r>
      <w:r w:rsidRPr="00375C7A">
        <w:rPr>
          <w:rFonts w:ascii="Times New Roman" w:eastAsia="Calibri" w:hAnsi="Times New Roman" w:cs="Times New Roman"/>
          <w:sz w:val="24"/>
          <w:szCs w:val="24"/>
        </w:rPr>
        <w:t xml:space="preserve">research, </w:t>
      </w:r>
      <w:r w:rsidRPr="00375C7A">
        <w:rPr>
          <w:rFonts w:ascii="Times New Roman" w:hAnsi="Times New Roman" w:cs="Times New Roman"/>
          <w:sz w:val="24"/>
          <w:szCs w:val="24"/>
        </w:rPr>
        <w:t xml:space="preserve">several major </w:t>
      </w:r>
      <w:r w:rsidRPr="00375C7A">
        <w:rPr>
          <w:rFonts w:ascii="Times New Roman" w:eastAsia="Calibri" w:hAnsi="Times New Roman" w:cs="Times New Roman"/>
          <w:sz w:val="24"/>
          <w:szCs w:val="24"/>
        </w:rPr>
        <w:t>demographic</w:t>
      </w:r>
      <w:r w:rsidRPr="00375C7A">
        <w:rPr>
          <w:rFonts w:ascii="Times New Roman" w:hAnsi="Times New Roman" w:cs="Times New Roman"/>
          <w:sz w:val="24"/>
          <w:szCs w:val="24"/>
        </w:rPr>
        <w:t xml:space="preserve"> (age and sex) and clinical (</w:t>
      </w:r>
      <w:r w:rsidRPr="00375C7A">
        <w:rPr>
          <w:rFonts w:ascii="Times New Roman" w:eastAsia="Calibri" w:hAnsi="Times New Roman" w:cs="Times New Roman"/>
          <w:sz w:val="24"/>
          <w:szCs w:val="24"/>
        </w:rPr>
        <w:t>noninfectious</w:t>
      </w:r>
      <w:r w:rsidRPr="00375C7A">
        <w:rPr>
          <w:rFonts w:ascii="Times New Roman" w:hAnsi="Times New Roman" w:cs="Times New Roman"/>
          <w:sz w:val="24"/>
          <w:szCs w:val="24"/>
        </w:rPr>
        <w:t xml:space="preserve"> comorbidities) characteristics are associated with </w:t>
      </w:r>
      <w:r w:rsidRPr="00375C7A">
        <w:rPr>
          <w:rFonts w:ascii="Times New Roman" w:eastAsia="Calibri" w:hAnsi="Times New Roman" w:cs="Times New Roman"/>
          <w:sz w:val="24"/>
          <w:szCs w:val="24"/>
        </w:rPr>
        <w:t xml:space="preserve">an </w:t>
      </w:r>
      <w:r w:rsidRPr="00375C7A">
        <w:rPr>
          <w:rFonts w:ascii="Times New Roman" w:hAnsi="Times New Roman" w:cs="Times New Roman"/>
          <w:sz w:val="24"/>
          <w:szCs w:val="24"/>
        </w:rPr>
        <w:t xml:space="preserve">increased risk of disease severity and mortality </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JZQr67wj","properties":{"formattedCitation":"(4,5)","plainCitation":"(4,5)","noteIndex":0},"citationItems":[{"id":"AkeASnBu/48Tph3pq","uris":["http://zotero.org/users/7800320/items/QVP6XNI3"],"uri":["http://zotero.org/users/7800320/items/QVP6XNI3"],"itemData":{"id":176,"type":"webpage","abstract":"This document is the update of an interim guidance originally published under the title “ Clinical management of COVID-19: interim guidance, 27 May 2020\".","language":"en","title":"COVID-19 Clinical management: living guidance","title-short":"COVID-19 Clinical management","URL":"https://www.who.int/publications/i/item/WHO-2019-nCoV-clinical-2021-1","accessed":{"date-parts":[["2021",4,20]]},"issued":{"date-parts":[["2020"]]}}},{"id":"AkeASnBu/Ck3MUJp2","uris":["http://zotero.org/users/7800320/items/XM9W4YIX"],"uri":["http://zotero.org/users/7800320/items/XM9W4YIX"],"itemData":{"id":78,"type":"article-journal","abstract":"Several studies have revealed that the hyper-inflammatory response induced by severe acute respiratory syndrome coronavirus 2 (SARS-CoV-2) is a major cause of disease severity and death. However, predictive biomarkers of pathogenic inflammation to help guide targetable immune pathways are critically lacking. We implemented a rapid multiplex cytokine assay to measure serum interleukin (IL)-6, IL-8, tumor necrosis factor (TNF)-α and IL-1β in hospitalized patients with coronavirus disease 2019 (COVID-19) upon admission to the Mount Sinai Health System in New York. Patients (n = 1,484) were followed up to 41 d after admission (median, 8 d), and clinical information, laboratory test results and patient outcomes were collected. We found that high serum IL-6, IL-8 and TNF-α levels at the time of hospitalization were strong and independent predictors of patient survival (P &lt; 0.0001, P = 0.0205 and P = 0.0140, respectively). Notably, when adjusting for disease severity, common laboratory inflammation markers, hypoxia and other vitals, demographics, and a range of comorbidities, IL-6 and TNF-α serum levels remained independent and significant predictors of disease severity and death. These findings were validated in a second cohort of patients (n = 231). We propose that serum IL-6 and TNF-α levels should be considered in the management and treatment of patients with COVID-19 to stratify prospective clinical trials, guide resource allocation and inform therapeutic options.","container-title":"Nature Medicine","DOI":"10.1038/s41591-020-1051-9","ISSN":"1546-170X","issue":"10","language":"en","note":"number: 10\npublisher: Nature Publishing Group","page":"1636-1643","source":"www.nature.com","title":"An inflammatory cytokine signature predicts COVID-19 severity and survival","volume":"26","author":[{"family":"Del Valle","given":"Diane Marie"},{"family":"Kim-Schulze","given":"Seunghee"},{"family":"Huang","given":"Hsin-Hui"},{"family":"Beckmann","given":"Noam D."},{"family":"Nirenberg","given":"Sharon"},{"family":"Wang","given":"Bo"},{"family":"Lavin","given":"Yonit"},{"family":"Swartz","given":"Talia H."},{"family":"Madduri","given":"Deepu"},{"family":"Stock","given":"Aryeh"},{"family":"Marron","given":"Thomas U."},{"family":"Xie","given":"Hui"},{"family":"Patel","given":"Manishkumar"},{"family":"Tuballes","given":"Kevin"},{"family":"Van Oekelen","given":"Oliver"},{"family":"Rahman","given":"Adeeb"},{"family":"Kovatch","given":"Patricia"},{"family":"Aberg","given":"Judith A."},{"family":"Schadt","given":"Eric"},{"family":"Jagannath","given":"Sundar"},{"family":"Mazumdar","given":"Madhu"},{"family":"Charney","given":"Alexander W."},{"family":"Firpo-Betancourt","given":"Adolfo"},{"family":"Mendu","given":"Damodara Rao"},{"family":"Jhang","given":"Jeffrey"},{"family":"Reich","given":"David"},{"family":"Sigel","given":"Keith"},{"family":"Cordon-Cardo","given":"Carlos"},{"family":"Feldmann","given":"Marc"},{"family":"Parekh","given":"Samir"},{"family":"Merad","given":"Miriam"},{"family":"Gnjatic","given":"Sacha"}],"issued":{"date-parts":[["2020",10]]}}}],"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(4,5)</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xml:space="preserve">. Based on </w:t>
      </w:r>
      <w:r w:rsidRPr="00375C7A">
        <w:rPr>
          <w:rFonts w:ascii="Times New Roman" w:eastAsia="Calibri" w:hAnsi="Times New Roman" w:cs="Times New Roman"/>
          <w:sz w:val="24"/>
          <w:szCs w:val="24"/>
        </w:rPr>
        <w:t>these</w:t>
      </w:r>
      <w:r w:rsidRPr="00375C7A">
        <w:rPr>
          <w:rFonts w:ascii="Times New Roman" w:hAnsi="Times New Roman" w:cs="Times New Roman"/>
          <w:sz w:val="24"/>
          <w:szCs w:val="24"/>
        </w:rPr>
        <w:t xml:space="preserve"> data</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comparative </w:t>
      </w:r>
      <w:r w:rsidRPr="00375C7A">
        <w:rPr>
          <w:rFonts w:ascii="Times New Roman" w:eastAsia="Calibri" w:hAnsi="Times New Roman" w:cs="Times New Roman"/>
          <w:sz w:val="24"/>
          <w:szCs w:val="24"/>
        </w:rPr>
        <w:t>analyses</w:t>
      </w:r>
      <w:r w:rsidRPr="00375C7A">
        <w:rPr>
          <w:rFonts w:ascii="Times New Roman" w:hAnsi="Times New Roman" w:cs="Times New Roman"/>
          <w:sz w:val="24"/>
          <w:szCs w:val="24"/>
        </w:rPr>
        <w:t xml:space="preserve"> of cytokine levels were performed between COVID-19 patients with and without any chronic disease,</w:t>
      </w:r>
      <w:r w:rsidRPr="00375C7A">
        <w:rPr>
          <w:rFonts w:ascii="Times New Roman" w:eastAsia="Calibri" w:hAnsi="Times New Roman" w:cs="Times New Roman"/>
          <w:sz w:val="24"/>
          <w:szCs w:val="24"/>
        </w:rPr>
        <w:t xml:space="preserve"> as well as</w:t>
      </w:r>
      <w:r w:rsidRPr="00375C7A">
        <w:rPr>
          <w:rFonts w:ascii="Times New Roman" w:hAnsi="Times New Roman" w:cs="Times New Roman"/>
          <w:sz w:val="24"/>
          <w:szCs w:val="24"/>
        </w:rPr>
        <w:t xml:space="preserve"> for sex and age (&lt;60 and 60+). For this, the maximum cytokine concentration values from three available sample points</w:t>
      </w:r>
      <w:r w:rsidR="00CA414A" w:rsidRPr="00CA414A">
        <w:rPr>
          <w:rFonts w:ascii="Times New Roman" w:hAnsi="Times New Roman" w:cs="Times New Roman"/>
          <w:sz w:val="24"/>
          <w:szCs w:val="24"/>
        </w:rPr>
        <w:t xml:space="preserve"> </w:t>
      </w:r>
      <w:r w:rsidR="00CA414A">
        <w:rPr>
          <w:rFonts w:ascii="Times New Roman" w:hAnsi="Times New Roman" w:cs="Times New Roman"/>
          <w:sz w:val="24"/>
          <w:szCs w:val="24"/>
        </w:rPr>
        <w:t>from patient</w:t>
      </w:r>
      <w:r w:rsidRPr="00375C7A">
        <w:rPr>
          <w:rFonts w:ascii="Times New Roman" w:hAnsi="Times New Roman" w:cs="Times New Roman"/>
          <w:sz w:val="24"/>
          <w:szCs w:val="24"/>
        </w:rPr>
        <w:t xml:space="preserve"> were used for comparisons.</w:t>
      </w:r>
    </w:p>
    <w:p w14:paraId="5713B63C" w14:textId="77777777"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Relative to women, men with COVID-19 had their own pattern of "increased" cytokines: IL-6, IL-7 (</w:t>
      </w:r>
      <w:r w:rsidRPr="00375C7A">
        <w:rPr>
          <w:rFonts w:ascii="Times New Roman" w:hAnsi="Times New Roman" w:cs="Times New Roman"/>
          <w:i/>
          <w:iCs/>
          <w:sz w:val="24"/>
          <w:szCs w:val="24"/>
        </w:rPr>
        <w:t>p</w:t>
      </w:r>
      <w:r w:rsidRPr="00375C7A">
        <w:rPr>
          <w:rFonts w:ascii="Times New Roman" w:hAnsi="Times New Roman" w:cs="Times New Roman"/>
          <w:sz w:val="24"/>
          <w:szCs w:val="24"/>
        </w:rPr>
        <w:t>&lt;0.01) and sCD40L, eotaxin, G-CSF, PDGF-AA, IL-18, IP-10 (</w:t>
      </w:r>
      <w:r w:rsidRPr="00375C7A">
        <w:rPr>
          <w:rFonts w:ascii="Times New Roman" w:hAnsi="Times New Roman" w:cs="Times New Roman"/>
          <w:i/>
          <w:iCs/>
          <w:sz w:val="24"/>
          <w:szCs w:val="24"/>
        </w:rPr>
        <w:t>p</w:t>
      </w:r>
      <w:r w:rsidRPr="00375C7A">
        <w:rPr>
          <w:rFonts w:ascii="Times New Roman" w:hAnsi="Times New Roman" w:cs="Times New Roman"/>
          <w:sz w:val="24"/>
          <w:szCs w:val="24"/>
        </w:rPr>
        <w:t xml:space="preserve">&lt;0.05). At the same time, only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MDC level was higher in women (</w:t>
      </w:r>
      <w:r w:rsidRPr="00375C7A">
        <w:rPr>
          <w:rFonts w:ascii="Times New Roman" w:hAnsi="Times New Roman" w:cs="Times New Roman"/>
          <w:i/>
          <w:iCs/>
          <w:sz w:val="24"/>
          <w:szCs w:val="24"/>
        </w:rPr>
        <w:t>p</w:t>
      </w:r>
      <w:r w:rsidRPr="00375C7A">
        <w:rPr>
          <w:rFonts w:ascii="Times New Roman" w:hAnsi="Times New Roman" w:cs="Times New Roman"/>
          <w:sz w:val="24"/>
          <w:szCs w:val="24"/>
        </w:rPr>
        <w:t xml:space="preserve">&lt;0.01) </w:t>
      </w:r>
      <w:r w:rsidRPr="00375C7A">
        <w:rPr>
          <w:rFonts w:ascii="Times New Roman" w:eastAsia="Calibri" w:hAnsi="Times New Roman" w:cs="Times New Roman"/>
          <w:sz w:val="24"/>
          <w:szCs w:val="24"/>
        </w:rPr>
        <w:t>than in</w:t>
      </w:r>
      <w:r w:rsidRPr="00375C7A">
        <w:rPr>
          <w:rFonts w:ascii="Times New Roman" w:hAnsi="Times New Roman" w:cs="Times New Roman"/>
          <w:sz w:val="24"/>
          <w:szCs w:val="24"/>
        </w:rPr>
        <w:t xml:space="preserve"> men (</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S2 A</w:t>
      </w:r>
      <w:r w:rsidRPr="00375C7A">
        <w:rPr>
          <w:rFonts w:ascii="Times New Roman" w:hAnsi="Times New Roman" w:cs="Times New Roman"/>
          <w:sz w:val="24"/>
          <w:szCs w:val="24"/>
        </w:rPr>
        <w:t xml:space="preserve">). Cytokine concentrations in both sex groups were </w:t>
      </w:r>
      <w:r w:rsidRPr="00375C7A">
        <w:rPr>
          <w:rFonts w:ascii="Times New Roman" w:eastAsia="Calibri" w:hAnsi="Times New Roman" w:cs="Times New Roman"/>
          <w:sz w:val="24"/>
          <w:szCs w:val="24"/>
        </w:rPr>
        <w:t>significantly</w:t>
      </w:r>
      <w:r w:rsidRPr="00375C7A">
        <w:rPr>
          <w:rFonts w:ascii="Times New Roman" w:hAnsi="Times New Roman" w:cs="Times New Roman"/>
          <w:sz w:val="24"/>
          <w:szCs w:val="24"/>
        </w:rPr>
        <w:t xml:space="preserve"> elevated (</w:t>
      </w:r>
      <w:r w:rsidRPr="00375C7A">
        <w:rPr>
          <w:rFonts w:ascii="Times New Roman" w:hAnsi="Times New Roman" w:cs="Times New Roman"/>
          <w:i/>
          <w:iCs/>
          <w:sz w:val="24"/>
          <w:szCs w:val="24"/>
        </w:rPr>
        <w:t>p</w:t>
      </w:r>
      <w:r w:rsidRPr="00375C7A">
        <w:rPr>
          <w:rFonts w:ascii="Times New Roman" w:hAnsi="Times New Roman" w:cs="Times New Roman"/>
          <w:sz w:val="24"/>
          <w:szCs w:val="24"/>
        </w:rPr>
        <w:t xml:space="preserve">&lt;0.05) compared with </w:t>
      </w:r>
      <w:r w:rsidRPr="00375C7A">
        <w:rPr>
          <w:rFonts w:ascii="Times New Roman" w:eastAsia="Calibri" w:hAnsi="Times New Roman" w:cs="Times New Roman"/>
          <w:sz w:val="24"/>
          <w:szCs w:val="24"/>
        </w:rPr>
        <w:t xml:space="preserve">those in </w:t>
      </w:r>
      <w:r w:rsidRPr="00375C7A">
        <w:rPr>
          <w:rFonts w:ascii="Times New Roman" w:hAnsi="Times New Roman" w:cs="Times New Roman"/>
          <w:sz w:val="24"/>
          <w:szCs w:val="24"/>
        </w:rPr>
        <w:t>healthy donors (HD).</w:t>
      </w:r>
    </w:p>
    <w:p w14:paraId="2A42F88F" w14:textId="5AAFE940"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 xml:space="preserve">In addition to </w:t>
      </w:r>
      <w:r w:rsidRPr="00375C7A">
        <w:rPr>
          <w:rFonts w:ascii="Times New Roman" w:eastAsia="Calibri" w:hAnsi="Times New Roman" w:cs="Times New Roman"/>
          <w:sz w:val="24"/>
          <w:szCs w:val="24"/>
        </w:rPr>
        <w:t>the “classic”</w:t>
      </w:r>
      <w:r w:rsidRPr="00375C7A">
        <w:rPr>
          <w:rFonts w:ascii="Times New Roman" w:hAnsi="Times New Roman" w:cs="Times New Roman"/>
          <w:sz w:val="24"/>
          <w:szCs w:val="24"/>
        </w:rPr>
        <w:t xml:space="preserve"> sex-associated COVID-19 markers </w:t>
      </w:r>
      <w:r w:rsidRPr="00375C7A">
        <w:rPr>
          <w:rFonts w:ascii="Times New Roman" w:eastAsia="Calibri" w:hAnsi="Times New Roman" w:cs="Times New Roman"/>
          <w:sz w:val="24"/>
          <w:szCs w:val="24"/>
        </w:rPr>
        <w:t xml:space="preserve">proinflammatory cytokines </w:t>
      </w:r>
      <w:r w:rsidRPr="00375C7A">
        <w:rPr>
          <w:rFonts w:ascii="Times New Roman" w:hAnsi="Times New Roman" w:cs="Times New Roman"/>
          <w:sz w:val="24"/>
          <w:szCs w:val="24"/>
        </w:rPr>
        <w:t>IL-6</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n9myf2Oi","properties":{"formattedCitation":"(5)","plainCitation":"(5)","noteIndex":0},"citationItems":[{"id":"AkeASnBu/Ck3MUJp2","uris":["http://zotero.org/users/7800320/items/XM9W4YIX"],"uri":["http://zotero.org/users/7800320/items/XM9W4YIX"],"itemData":{"id":78,"type":"article-journal","abstract":"Several studies have revealed that the hyper-inflammatory response induced by severe acute respiratory syndrome coronavirus 2 (SARS-CoV-2) is a major cause of disease severity and death. However, predictive biomarkers of pathogenic inflammation to help guide targetable immune pathways are critically lacking. We implemented a rapid multiplex cytokine assay to measure serum interleukin (IL)-6, IL-8, tumor necrosis factor (TNF)-α and IL-1β in hospitalized patients with coronavirus disease 2019 (COVID-19) upon admission to the Mount Sinai Health System in New York. Patients (n = 1,484) were followed up to 41 d after admission (median, 8 d), and clinical information, laboratory test results and patient outcomes were collected. We found that high serum IL-6, IL-8 and TNF-α levels at the time of hospitalization were strong and independent predictors of patient survival (P &lt; 0.0001, P = 0.0205 and P = 0.0140, respectively). Notably, when adjusting for disease severity, common laboratory inflammation markers, hypoxia and other vitals, demographics, and a range of comorbidities, IL-6 and TNF-α serum levels remained independent and significant predictors of disease severity and death. These findings were validated in a second cohort of patients (n = 231). We propose that serum IL-6 and TNF-α levels should be considered in the management and treatment of patients with COVID-19 to stratify prospective clinical trials, guide resource allocation and inform therapeutic options.","container-title":"Nature Medicine","DOI":"10.1038/s41591-020-1051-9","ISSN":"1546-170X","issue":"10","language":"en","note":"number: 10\npublisher: Nature Publishing Group","page":"1636-1643","source":"www.nature.com","title":"An inflammatory cytokine signature predicts COVID-19 severity and survival","volume":"26","author":[{"family":"Del Valle","given":"Diane Marie"},{"family":"Kim-Schulze","given":"Seunghee"},{"family":"Huang","given":"Hsin-Hui"},{"family":"Beckmann","given":"Noam D."},{"family":"Nirenberg","given":"Sharon"},{"family":"Wang","given":"Bo"},{"family":"Lavin","given":"Yonit"},{"family":"Swartz","given":"Talia H."},{"family":"Madduri","given":"Deepu"},{"family":"Stock","given":"Aryeh"},{"family":"Marron","given":"Thomas U."},{"family":"Xie","given":"Hui"},{"family":"Patel","given":"Manishkumar"},{"family":"Tuballes","given":"Kevin"},{"family":"Van Oekelen","given":"Oliver"},{"family":"Rahman","given":"Adeeb"},{"family":"Kovatch","given":"Patricia"},{"family":"Aberg","given":"Judith A."},{"family":"Schadt","given":"Eric"},{"family":"Jagannath","given":"Sundar"},{"family":"Mazumdar","given":"Madhu"},{"family":"Charney","given":"Alexander W."},{"family":"Firpo-Betancourt","given":"Adolfo"},{"family":"Mendu","given":"Damodara Rao"},{"family":"Jhang","given":"Jeffrey"},{"family":"Reich","given":"David"},{"family":"Sigel","given":"Keith"},{"family":"Cordon-Cardo","given":"Carlos"},{"family":"Feldmann","given":"Marc"},{"family":"Parekh","given":"Samir"},{"family":"Merad","given":"Miriam"},{"family":"Gnjatic","given":"Sacha"}],"issued":{"date-parts":[["2020",10]]}}}],"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(5)</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IL-18</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5alZdrPy","properties":{"formattedCitation":"(6)","plainCitation":"(6)","noteIndex":0},"citationItems":[{"id":"AkeASnBu/BsjMoGCl","uris":["http://zotero.org/users/7800320/items/VUZS7B5P"],"uri":["http://zotero.org/users/7800320/items/VUZS7B5P"],"itemData":{"id":237,"type":"article-journal","abstract":"•\n              Coronovirus 2019 (COVID-19) infection induces cytokine storm causing mortality.\n            \n            \n              •\n              Interleukin (IL)-18 is one of the key cytokines in the macrophage activation syndrome.\n            \n            \n              •\n              IL-18 elevated in COVID-19 patients and might be a therapeutic target.","container-title":"Cytokine","DOI":"10.1016/j.cyto.2020.155302","ISSN":"1043-4666","journalAbbreviation":"Cytokine","note":"PMID: 33002740\nPMCID: PMC7522034","page":"155302","source":"PubMed Central","title":"Prognostic value of interleukin-18 and its association with other inflammatory markers and disease severity in COVID-19","volume":"137","author":[{"family":"Satış","given":"Hasan"},{"family":"Özger","given":"Hasan Selçuk"},{"family":"Aysert Yıldız","given":"Pınar"},{"family":"Hızel","given":"Kenan"},{"family":"Gulbahar","given":"Özlem"},{"family":"Erbaş","given":"Gonca"},{"family":"Aygencel","given":"Gülbin"},{"family":"Guzel Tunccan","given":"Ozlem"},{"family":"Öztürk","given":"Mehmet Akif"},{"family":"Dizbay","given":"Murat"},{"family":"Tufan","given":"Abdurrahman"}],"issued":{"date-parts":[["2021",1]]}}}],"schema":"https://github.com/citation-style-language/schema/raw/master/csl-citation.json"}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(6)</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ligand sCD40L</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vPZ9hCvf","properties":{"formattedCitation":"(7)","plainCitation":"(7)","noteIndex":0},"citationItems":[{"id":"AkeASnBu/5YSaVBKG","uris":["http://zotero.org/users/7800320/items/CW2EIJDT"],"uri":["http://zotero.org/users/7800320/items/CW2EIJDT"],"itemData":{"id":223,"type":"article-journal","abstract":"COVID-19 rapidly emerged as a crippling public health crisis in the last few months, which has presented a series health risk. Understanding of the immune response and biomarker analysis is needed to progress toward understanding disease pathology and developing improved treatment options. The goal of this study is to identify pathogenic factors that are linked to disease severity and patient characteristics. Patients with COVID-19 who were hospitalized from March 17 to June 5, 2020 were analyzed for clinical features of disease and soluble plasma cytokines in association with disease severity and sex. Data from COVID-19 patients with acute illness were examined along with an age- and gender-matched control cohort. We identified a group of 16 soluble factors that were found to be increased in COVID-19 patients compared to controls, whereas 2 factors were decreased. In addition to inflammatory cytokines, we found significant increases in factors known to mediate vasculitis and vascular remodeling (PDGF-AA, PDGF-AB-BB, soluble CD40L (sCD40L), FGF, and IP10). Four factors such as platelet-derived growth factors, fibroblast growth factor-2, and IFN-γ-inducible protein 10 were strongly associated with severe disease and ICU admission. Th2-related factors (IL-4 and IL-13) were increased with IL-4 and sCD40L present at increased levels in males compared with females. Our analysis revealed networking clusters of cytokines and growth factors, including previously unknown roles of vascular and stromal remodeling, activation of the innate immunity, as well activation of type 2 immune responses in the immunopathogenesis of COVID-19. These data highlight biomarker associations with disease severity and sex in COVID-19 patients. © 2020 Society for Leukocyte Biology","archive":"Scopus","container-title":"Journal of Leukocyte Biology","DOI":"10.1002/JLB.3COVA0820-410RRR","issue":"1","page":"55-66","source":"Scopus","title":"Cytokine release syndrome in COVID-19: Innate immune, vascular, and platelet pathogenic factors differ in severity of disease and sex","title-short":"Cytokine release syndrome in COVID-19","volume":"109","author":[{"family":"Petrey","given":"A.C."},{"family":"Qeadan","given":"F."},{"family":"Middleton","given":"E.A."},{"family":"Pinchuk","given":"I.V."},{"family":"Campbell","given":"R.A."},{"family":"Beswick","given":"E.J."}],"issued":{"date-parts":[["2021"]]}}}],"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(7)</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xml:space="preserve"> and PDGF-AA</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R7ZPl0qn","properties":{"formattedCitation":"(7)","plainCitation":"(7)","noteIndex":0},"citationItems":[{"id":"AkeASnBu/5YSaVBKG","uris":["http://zotero.org/users/7800320/items/CW2EIJDT"],"uri":["http://zotero.org/users/7800320/items/CW2EIJDT"],"itemData":{"id":223,"type":"article-journal","abstract":"COVID-19 rapidly emerged as a crippling public health crisis in the last few months, which has presented a series health risk. Understanding of the immune response and biomarker analysis is needed to progress toward understanding disease pathology and developing improved treatment options. The goal of this study is to identify pathogenic factors that are linked to disease severity and patient characteristics. Patients with COVID-19 who were hospitalized from March 17 to June 5, 2020 were analyzed for clinical features of disease and soluble plasma cytokines in association with disease severity and sex. Data from COVID-19 patients with acute illness were examined along with an age- and gender-matched control cohort. We identified a group of 16 soluble factors that were found to be increased in COVID-19 patients compared to controls, whereas 2 factors were decreased. In addition to inflammatory cytokines, we found significant increases in factors known to mediate vasculitis and vascular remodeling (PDGF-AA, PDGF-AB-BB, soluble CD40L (sCD40L), FGF, and IP10). Four factors such as platelet-derived growth factors, fibroblast growth factor-2, and IFN-γ-inducible protein 10 were strongly associated with severe disease and ICU admission. Th2-related factors (IL-4 and IL-13) were increased with IL-4 and sCD40L present at increased levels in males compared with females. Our analysis revealed networking clusters of cytokines and growth factors, including previously unknown roles of vascular and stromal remodeling, activation of the innate immunity, as well activation of type 2 immune responses in the immunopathogenesis of COVID-19. These data highlight biomarker associations with disease severity and sex in COVID-19 patients. © 2020 Society for Leukocyte Biology","archive":"Scopus","container-title":"Journal of Leukocyte Biology","DOI":"10.1002/JLB.3COVA0820-410RRR","issue":"1","page":"55-66","source":"Scopus","title":"Cytokine release syndrome in COVID-19: Innate immune, vascular, and platelet pathogenic factors differ in severity of disease and sex","title-short":"Cytokine release syndrome in COVID-19","volume":"109","author":[{"family":"Petrey","given":"A.C."},{"family":"Qeadan","given":"F."},{"family":"Middleton","given":"E.A."},{"family":"Pinchuk","given":"I.V."},{"family":"Campbell","given":"R.A."},{"family":"Beswick","given":"E.J."}],"issued":{"date-parts":[["2021"]]}}}],"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(7)</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xml:space="preserve">, </w:t>
      </w:r>
      <w:r w:rsidRPr="00375C7A">
        <w:rPr>
          <w:rFonts w:ascii="Times New Roman" w:eastAsia="Calibri" w:hAnsi="Times New Roman" w:cs="Times New Roman"/>
          <w:sz w:val="24"/>
          <w:szCs w:val="24"/>
        </w:rPr>
        <w:t>which</w:t>
      </w:r>
      <w:r w:rsidRPr="00375C7A">
        <w:rPr>
          <w:rFonts w:ascii="Times New Roman" w:hAnsi="Times New Roman" w:cs="Times New Roman"/>
          <w:sz w:val="24"/>
          <w:szCs w:val="24"/>
        </w:rPr>
        <w:t xml:space="preserve"> are higher in men, we found </w:t>
      </w:r>
      <w:r w:rsidRPr="00375C7A">
        <w:rPr>
          <w:rFonts w:ascii="Times New Roman" w:eastAsia="Calibri" w:hAnsi="Times New Roman" w:cs="Times New Roman"/>
          <w:sz w:val="24"/>
          <w:szCs w:val="24"/>
        </w:rPr>
        <w:t>distinctively</w:t>
      </w:r>
      <w:r w:rsidRPr="00375C7A">
        <w:rPr>
          <w:rFonts w:ascii="Times New Roman" w:hAnsi="Times New Roman" w:cs="Times New Roman"/>
          <w:sz w:val="24"/>
          <w:szCs w:val="24"/>
        </w:rPr>
        <w:t xml:space="preserve"> increased levels of the chemokine </w:t>
      </w:r>
      <w:r w:rsidRPr="00375C7A">
        <w:rPr>
          <w:rFonts w:ascii="Times New Roman" w:eastAsia="Calibri" w:hAnsi="Times New Roman" w:cs="Times New Roman"/>
          <w:sz w:val="24"/>
          <w:szCs w:val="24"/>
        </w:rPr>
        <w:t>MDC</w:t>
      </w:r>
      <w:r w:rsidRPr="00375C7A">
        <w:rPr>
          <w:rFonts w:ascii="Times New Roman" w:hAnsi="Times New Roman" w:cs="Times New Roman"/>
          <w:sz w:val="24"/>
          <w:szCs w:val="24"/>
        </w:rPr>
        <w:t xml:space="preserve"> in women, which might be due to </w:t>
      </w:r>
      <w:r w:rsidRPr="00375C7A">
        <w:rPr>
          <w:rFonts w:ascii="Times New Roman" w:eastAsia="Calibri" w:hAnsi="Times New Roman" w:cs="Times New Roman"/>
          <w:sz w:val="24"/>
          <w:szCs w:val="24"/>
        </w:rPr>
        <w:t>its</w:t>
      </w:r>
      <w:r w:rsidRPr="00375C7A">
        <w:rPr>
          <w:rFonts w:ascii="Times New Roman" w:hAnsi="Times New Roman" w:cs="Times New Roman"/>
          <w:sz w:val="24"/>
          <w:szCs w:val="24"/>
        </w:rPr>
        <w:t xml:space="preserve"> high expression by more active dendritic cells in women than in men</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dkNCiwMv","properties":{"formattedCitation":"(8)","plainCitation":"(8)","noteIndex":0},"citationItems":[{"id":"AkeASnBu/aoY2uxen","uris":["http://zotero.org/users/7800320/items/WG4N8Q2U"],"uri":["http://zotero.org/users/7800320/items/WG4N8Q2U"],"itemData":{"id":213,"type":"article-journal","abstract":"Sex is a biological variable that affects the functions of the immune system.Sex differences occur in both innate and adaptive immune responses and are evolutionarily conserved across diverse species.Sex differences in immune responses change throughout life and are influenced by both the age and reproductive status of an individual.Sex chromosome genes and sex hormones, including oestrogens, progesterone and androgens, contribute to the differential regulation of immune responses between the sexes.Environmental factors, including nutrition status and the composition of the microbiome, also alter the development and functioning of the immune system differently in males and females.Sex differences in immune responses result in differential susceptibility of males and females to autoimmune diseases, malignancies and infectious diseases, as well as affecting the outcome of vaccination.","container-title":"Nature Reviews Immunology","DOI":"10.1038/nri.2016.90","ISSN":"1474-1741","issue":"10","language":"en","note":"number: 10\npublisher: Nature Publishing Group","page":"626-638","source":"www.nature.com","title":"Sex differences in immune responses","volume":"16","author":[{"family":"Klein","given":"Sabra L."},{"family":"Flanagan","given":"Katie L."}],"issued":{"date-parts":[["2016",10]]}}}],"schema":"https://github.com/citation-style-language/schema/raw/master/csl-citation.json"}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(8)</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xml:space="preserve">. </w:t>
      </w:r>
      <w:r w:rsidRPr="00375C7A">
        <w:rPr>
          <w:rFonts w:ascii="Times New Roman" w:eastAsia="Calibri" w:hAnsi="Times New Roman" w:cs="Times New Roman"/>
          <w:sz w:val="24"/>
          <w:szCs w:val="24"/>
        </w:rPr>
        <w:t xml:space="preserve">Additionally, </w:t>
      </w:r>
      <w:r w:rsidRPr="00375C7A">
        <w:rPr>
          <w:rFonts w:ascii="Times New Roman" w:hAnsi="Times New Roman" w:cs="Times New Roman"/>
          <w:sz w:val="24"/>
          <w:szCs w:val="24"/>
        </w:rPr>
        <w:t xml:space="preserve">levels of IL-7, IP-10 and G-CSF were higher in men, reflecting inflammatory processes </w:t>
      </w:r>
      <w:r w:rsidRPr="00375C7A">
        <w:rPr>
          <w:rFonts w:ascii="Times New Roman" w:eastAsia="Calibri" w:hAnsi="Times New Roman" w:cs="Times New Roman"/>
          <w:sz w:val="24"/>
          <w:szCs w:val="24"/>
        </w:rPr>
        <w:t>that</w:t>
      </w:r>
      <w:r w:rsidRPr="00375C7A">
        <w:rPr>
          <w:rFonts w:ascii="Times New Roman" w:hAnsi="Times New Roman" w:cs="Times New Roman"/>
          <w:sz w:val="24"/>
          <w:szCs w:val="24"/>
        </w:rPr>
        <w:t xml:space="preserve"> may </w:t>
      </w:r>
      <w:r w:rsidRPr="00375C7A">
        <w:rPr>
          <w:rFonts w:ascii="Times New Roman" w:eastAsia="Calibri" w:hAnsi="Times New Roman" w:cs="Times New Roman"/>
          <w:sz w:val="24"/>
          <w:szCs w:val="24"/>
        </w:rPr>
        <w:t>develop during the</w:t>
      </w:r>
      <w:r w:rsidRPr="00375C7A">
        <w:rPr>
          <w:rFonts w:ascii="Times New Roman" w:hAnsi="Times New Roman" w:cs="Times New Roman"/>
          <w:sz w:val="24"/>
          <w:szCs w:val="24"/>
        </w:rPr>
        <w:t xml:space="preserve"> COVID-19 acute phase</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3dEQlOKo","properties":{"formattedCitation":"(9)","plainCitation":"(9)","noteIndex":0},"citationItems":[{"id":"AkeASnBu/OXra1bLJ","uris":["http://zotero.org/users/7800320/items/ICCYZY8X"],"uri":["http://zotero.org/users/7800320/items/ICCYZY8X"],"itemData":{"id":216,"type":"article-journal","abstract":"The high mortality observed in Covid-19 patients may be related to unrecognized pulmonary embolism, pulmonary thrombosis but also to other underlying cardiovascular diseases. Recent data have highlighted that the mortality rate of Covid-19 seems to be higher in male patients compared to females. In this paper we analyzed possible factors that may underline this gender difference, in terms of activity of the immune system and its modulation by sex hormones, coagulation pattern and preexisting cardiovascular diseases and effects deriving from smoking and drinking habits. Future studies are needed to evaluate the effects of sex differences on the prevalence of infections, including Covid-19, their outcome and responses to antiviral treatments.","container-title":"Frontiers in Cardiovascular Medicine","DOI":"10.3389/fcvm.2020.00131","ISSN":"2297-055X","journalAbbreviation":"Front. Cardiovasc. Med.","language":"English","note":"publisher: Frontiers","source":"Frontiers","title":"Covid-19 Kills More Men Than Women: An Overview of Possible Reasons","title-short":"Covid-19 Kills More Men Than Women","URL":"https://www.frontiersin.org/articles/10.3389/fcvm.2020.00131/full","volume":"7","author":[{"family":"Capuano","given":"Annalisa"},{"family":"Rossi","given":"Francesco"},{"family":"Paolisso","given":"Giuseppe"}],"accessed":{"date-parts":[["2021",4,21]]},"issued":{"date-parts":[["2020"]]}}}],"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(9)</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w:t>
      </w:r>
    </w:p>
    <w:p w14:paraId="66465AD7" w14:textId="6D9D1B1C"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 xml:space="preserve">Among well-known cytokine signatures associated with </w:t>
      </w:r>
      <w:r w:rsidRPr="00375C7A">
        <w:rPr>
          <w:rFonts w:ascii="Times New Roman" w:eastAsia="Calibri" w:hAnsi="Times New Roman" w:cs="Times New Roman"/>
          <w:sz w:val="24"/>
          <w:szCs w:val="24"/>
        </w:rPr>
        <w:t>patient</w:t>
      </w:r>
      <w:r w:rsidRPr="00375C7A">
        <w:rPr>
          <w:rFonts w:ascii="Times New Roman" w:hAnsi="Times New Roman" w:cs="Times New Roman"/>
          <w:sz w:val="24"/>
          <w:szCs w:val="24"/>
        </w:rPr>
        <w:t xml:space="preserve"> age</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XkH6AhrR","properties":{"formattedCitation":"(10)","plainCitation":"(10)","noteIndex":0},"citationItems":[{"id":"AkeASnBu/Hx2Ip6IP","uris":["http://zotero.org/users/7800320/items/FN4K22LZ"],"uri":["http://zotero.org/users/7800320/items/FN4K22LZ"],"itemData":{"id":84,"type":"article-journal","abstract":"A global effort is currently undertaken to restrain the COVID-19 pandemic. Host immunity has come out as a determinant for COVID-19 clinical outcomes, and several studies investigated the immune profiling of SARS-CoV-2 infected people to properly direct the clinical management of the disease. Thus, lymphopenia, T-cell exhaustion, and the increased levels of inflammatory mediators have been described in COVID-19 patients, in particular in severe cases1. Age represents a key factor in COVID-19 morbidity and mortality2. Understanding age-associated immune signatures of patients are therefore important to identify preventive and therapeutic strategies. In this study, we investigated the immune profile of COVID-19 hospitalized patients identifying a distinctive age-dependent immune signature associated with disease severity. Indeed, defined circulating factors - CXCL8, IL-10, IL-15, IL-27, and TNF-α - positively correlate with older age, longer hospitalization, and a more severe form of the disease and may thus represent the leading signature in critical COVID-19 patients.","container-title":"Cell Death &amp; Disease","DOI":"10.1038/s41419-020-03151-z","ISSN":"2041-4889","issue":"11","language":"en","note":"number: 11\npublisher: Nature Publishing Group","page":"1-12","source":"www.nature.com","title":"Age-severity matched cytokine profiling reveals specific signatures in Covid-19 patients","volume":"11","author":[{"family":"Angioni","given":"Roberta"},{"family":"Sánchez-Rodríguez","given":"Ricardo"},{"family":"Munari","given":"Fabio"},{"family":"Bertoldi","given":"Nicole"},{"family":"Arcidiacono","given":"Diletta"},{"family":"Cavinato","given":"Silvia"},{"family":"Marturano","given":"Davide"},{"family":"Zaramella","given":"Alice"},{"family":"Realdon","given":"Stefano"},{"family":"Cattelan","given":"Annamaria"},{"family":"Viola","given":"Antonella"},{"family":"Molon","given":"Barbara"}],"issued":{"date-parts":[["2020",11,6]]}}}],"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(10)</w:t>
      </w:r>
      <w:r w:rsidRPr="00375C7A">
        <w:rPr>
          <w:rFonts w:ascii="Times New Roman" w:hAnsi="Times New Roman" w:cs="Times New Roman"/>
          <w:sz w:val="24"/>
          <w:szCs w:val="24"/>
        </w:rPr>
        <w:fldChar w:fldCharType="end"/>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we found increased levels of M-CSF (</w:t>
      </w:r>
      <w:r w:rsidRPr="00375C7A">
        <w:rPr>
          <w:rFonts w:ascii="Times New Roman" w:hAnsi="Times New Roman" w:cs="Times New Roman"/>
          <w:i/>
          <w:iCs/>
          <w:sz w:val="24"/>
          <w:szCs w:val="24"/>
        </w:rPr>
        <w:t>p</w:t>
      </w:r>
      <w:r w:rsidRPr="00375C7A">
        <w:rPr>
          <w:rFonts w:ascii="Times New Roman" w:hAnsi="Times New Roman" w:cs="Times New Roman"/>
          <w:sz w:val="24"/>
          <w:szCs w:val="24"/>
        </w:rPr>
        <w:t>&lt;0.05), IL-6, IL-27</w:t>
      </w:r>
      <w:r w:rsidRPr="00375C7A">
        <w:rPr>
          <w:rFonts w:ascii="Times New Roman" w:eastAsia="Calibri" w:hAnsi="Times New Roman" w:cs="Times New Roman"/>
          <w:sz w:val="24"/>
          <w:szCs w:val="24"/>
        </w:rPr>
        <w:t xml:space="preserve"> </w:t>
      </w:r>
      <w:r w:rsidRPr="00375C7A">
        <w:rPr>
          <w:rFonts w:ascii="Times New Roman" w:hAnsi="Times New Roman" w:cs="Times New Roman"/>
          <w:sz w:val="24"/>
          <w:szCs w:val="24"/>
        </w:rPr>
        <w:t>(</w:t>
      </w:r>
      <w:r w:rsidRPr="00375C7A">
        <w:rPr>
          <w:rFonts w:ascii="Times New Roman" w:hAnsi="Times New Roman" w:cs="Times New Roman"/>
          <w:i/>
          <w:iCs/>
          <w:sz w:val="24"/>
          <w:szCs w:val="24"/>
        </w:rPr>
        <w:t>p</w:t>
      </w:r>
      <w:r w:rsidRPr="00375C7A">
        <w:rPr>
          <w:rFonts w:ascii="Times New Roman" w:hAnsi="Times New Roman" w:cs="Times New Roman"/>
          <w:sz w:val="24"/>
          <w:szCs w:val="24"/>
        </w:rPr>
        <w:t>&lt;0.01) and MIG</w:t>
      </w:r>
      <w:r w:rsidRPr="00375C7A">
        <w:rPr>
          <w:rFonts w:ascii="Times New Roman" w:eastAsia="Calibri" w:hAnsi="Times New Roman" w:cs="Times New Roman"/>
          <w:sz w:val="24"/>
          <w:szCs w:val="24"/>
        </w:rPr>
        <w:t xml:space="preserve"> </w:t>
      </w:r>
      <w:r w:rsidRPr="00375C7A">
        <w:rPr>
          <w:rFonts w:ascii="Times New Roman" w:hAnsi="Times New Roman" w:cs="Times New Roman"/>
          <w:sz w:val="24"/>
          <w:szCs w:val="24"/>
        </w:rPr>
        <w:t>(</w:t>
      </w:r>
      <w:r w:rsidRPr="00375C7A">
        <w:rPr>
          <w:rFonts w:ascii="Times New Roman" w:hAnsi="Times New Roman" w:cs="Times New Roman"/>
          <w:i/>
          <w:iCs/>
          <w:sz w:val="24"/>
          <w:szCs w:val="24"/>
        </w:rPr>
        <w:t>p</w:t>
      </w:r>
      <w:r w:rsidRPr="00375C7A">
        <w:rPr>
          <w:rFonts w:ascii="Times New Roman" w:hAnsi="Times New Roman" w:cs="Times New Roman"/>
          <w:sz w:val="24"/>
          <w:szCs w:val="24"/>
        </w:rPr>
        <w:t>&lt;0.0001</w:t>
      </w:r>
      <w:r w:rsidRPr="00375C7A">
        <w:rPr>
          <w:rFonts w:ascii="Times New Roman" w:eastAsia="Calibri" w:hAnsi="Times New Roman" w:cs="Times New Roman"/>
          <w:sz w:val="24"/>
          <w:szCs w:val="24"/>
        </w:rPr>
        <w:t xml:space="preserve">) </w:t>
      </w:r>
      <w:r w:rsidRPr="00375C7A">
        <w:rPr>
          <w:rFonts w:ascii="Times New Roman" w:hAnsi="Times New Roman" w:cs="Times New Roman"/>
          <w:sz w:val="24"/>
          <w:szCs w:val="24"/>
        </w:rPr>
        <w:t>in</w:t>
      </w:r>
      <w:r w:rsidRPr="00375C7A">
        <w:rPr>
          <w:rFonts w:ascii="Times New Roman" w:eastAsia="Calibri" w:hAnsi="Times New Roman" w:cs="Times New Roman"/>
          <w:sz w:val="24"/>
          <w:szCs w:val="24"/>
        </w:rPr>
        <w:t xml:space="preserve"> the 60+ </w:t>
      </w:r>
      <w:r w:rsidRPr="00375C7A">
        <w:rPr>
          <w:rFonts w:ascii="Times New Roman" w:hAnsi="Times New Roman" w:cs="Times New Roman"/>
          <w:sz w:val="24"/>
          <w:szCs w:val="24"/>
        </w:rPr>
        <w:t>group; increased levels of EGF, eotaxin (</w:t>
      </w:r>
      <w:r w:rsidRPr="00375C7A">
        <w:rPr>
          <w:rFonts w:ascii="Times New Roman" w:hAnsi="Times New Roman" w:cs="Times New Roman"/>
          <w:i/>
          <w:iCs/>
          <w:sz w:val="24"/>
          <w:szCs w:val="24"/>
        </w:rPr>
        <w:t>p</w:t>
      </w:r>
      <w:r w:rsidRPr="00375C7A">
        <w:rPr>
          <w:rFonts w:ascii="Times New Roman" w:hAnsi="Times New Roman" w:cs="Times New Roman"/>
          <w:sz w:val="24"/>
          <w:szCs w:val="24"/>
        </w:rPr>
        <w:t xml:space="preserve">&lt;0.01) and sCD40L, IL-12 (p70), MDC, </w:t>
      </w:r>
      <w:r w:rsidRPr="00375C7A">
        <w:rPr>
          <w:rFonts w:ascii="Times New Roman" w:eastAsia="Calibri" w:hAnsi="Times New Roman" w:cs="Times New Roman"/>
          <w:sz w:val="24"/>
          <w:szCs w:val="24"/>
        </w:rPr>
        <w:t xml:space="preserve">and </w:t>
      </w:r>
      <w:r w:rsidRPr="00375C7A">
        <w:rPr>
          <w:rFonts w:ascii="Times New Roman" w:hAnsi="Times New Roman" w:cs="Times New Roman"/>
          <w:sz w:val="24"/>
          <w:szCs w:val="24"/>
        </w:rPr>
        <w:t>PDGF-AA (</w:t>
      </w:r>
      <w:r w:rsidRPr="00375C7A">
        <w:rPr>
          <w:rFonts w:ascii="Times New Roman" w:hAnsi="Times New Roman" w:cs="Times New Roman"/>
          <w:i/>
          <w:iCs/>
          <w:sz w:val="24"/>
          <w:szCs w:val="24"/>
        </w:rPr>
        <w:t>p</w:t>
      </w:r>
      <w:r w:rsidRPr="00375C7A">
        <w:rPr>
          <w:rFonts w:ascii="Times New Roman" w:hAnsi="Times New Roman" w:cs="Times New Roman"/>
          <w:sz w:val="24"/>
          <w:szCs w:val="24"/>
        </w:rPr>
        <w:t xml:space="preserve">&lt;0.05) were detected </w:t>
      </w:r>
      <w:r w:rsidRPr="00375C7A">
        <w:rPr>
          <w:rFonts w:ascii="Times New Roman" w:hAnsi="Times New Roman" w:cs="Times New Roman"/>
          <w:sz w:val="24"/>
          <w:szCs w:val="24"/>
        </w:rPr>
        <w:lastRenderedPageBreak/>
        <w:t>in the younger group (</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S2 C</w:t>
      </w:r>
      <w:r w:rsidRPr="00375C7A">
        <w:rPr>
          <w:rFonts w:ascii="Times New Roman" w:hAnsi="Times New Roman" w:cs="Times New Roman"/>
          <w:sz w:val="24"/>
          <w:szCs w:val="24"/>
        </w:rPr>
        <w:t xml:space="preserve">). </w:t>
      </w:r>
      <w:r w:rsidR="00C22FFF">
        <w:rPr>
          <w:rFonts w:ascii="Times New Roman" w:hAnsi="Times New Roman" w:cs="Times New Roman"/>
          <w:sz w:val="24"/>
          <w:szCs w:val="24"/>
        </w:rPr>
        <w:t xml:space="preserve">However, </w:t>
      </w:r>
      <w:r w:rsidRPr="00375C7A">
        <w:rPr>
          <w:rFonts w:ascii="Times New Roman" w:hAnsi="Times New Roman" w:cs="Times New Roman"/>
          <w:sz w:val="24"/>
          <w:szCs w:val="24"/>
        </w:rPr>
        <w:t>the same differences in the levels of five of these identified cytokines (IL-6, M-CSF, sCD40L, EGF, MIG) were found in HD</w:t>
      </w:r>
      <w:r w:rsidR="00C22FFF">
        <w:rPr>
          <w:rFonts w:ascii="Times New Roman" w:hAnsi="Times New Roman" w:cs="Times New Roman"/>
          <w:sz w:val="24"/>
          <w:szCs w:val="24"/>
        </w:rPr>
        <w:t xml:space="preserve"> group</w:t>
      </w:r>
      <w:r w:rsidRPr="00375C7A">
        <w:rPr>
          <w:rFonts w:ascii="Times New Roman" w:hAnsi="Times New Roman" w:cs="Times New Roman"/>
          <w:sz w:val="24"/>
          <w:szCs w:val="24"/>
        </w:rPr>
        <w:t xml:space="preserve"> when comparative analysis was performed regarding age distribution</w:t>
      </w:r>
      <w:r w:rsidR="00C22FFF">
        <w:rPr>
          <w:rFonts w:ascii="Times New Roman" w:hAnsi="Times New Roman" w:cs="Times New Roman"/>
          <w:sz w:val="24"/>
          <w:szCs w:val="24"/>
        </w:rPr>
        <w:t xml:space="preserve"> </w:t>
      </w:r>
      <w:r w:rsidR="00C22FFF" w:rsidRPr="00375C7A">
        <w:rPr>
          <w:rFonts w:ascii="Times New Roman" w:hAnsi="Times New Roman" w:cs="Times New Roman"/>
          <w:sz w:val="24"/>
          <w:szCs w:val="24"/>
        </w:rPr>
        <w:t>(</w:t>
      </w:r>
      <w:r w:rsidR="00C22FFF" w:rsidRPr="00375C7A">
        <w:rPr>
          <w:rFonts w:ascii="Times New Roman" w:hAnsi="Times New Roman" w:cs="Times New Roman"/>
          <w:b/>
          <w:sz w:val="24"/>
          <w:szCs w:val="24"/>
        </w:rPr>
        <w:t>Fig S2 D)</w:t>
      </w:r>
      <w:r w:rsidR="00C22FFF" w:rsidRPr="00375C7A">
        <w:rPr>
          <w:rFonts w:ascii="Times New Roman" w:hAnsi="Times New Roman" w:cs="Times New Roman"/>
          <w:sz w:val="24"/>
          <w:szCs w:val="24"/>
        </w:rPr>
        <w:t>.</w:t>
      </w:r>
      <w:r w:rsidRPr="00375C7A">
        <w:rPr>
          <w:rFonts w:ascii="Times New Roman" w:hAnsi="Times New Roman" w:cs="Times New Roman"/>
          <w:sz w:val="24"/>
          <w:szCs w:val="24"/>
        </w:rPr>
        <w:t xml:space="preserve"> Only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 xml:space="preserve">MDC level in COVID-19 patients &lt;60 </w:t>
      </w:r>
      <w:r w:rsidRPr="00375C7A">
        <w:rPr>
          <w:rFonts w:ascii="Times New Roman" w:eastAsia="Calibri" w:hAnsi="Times New Roman" w:cs="Times New Roman"/>
          <w:sz w:val="24"/>
          <w:szCs w:val="24"/>
        </w:rPr>
        <w:t xml:space="preserve">was not significantly different from that of the </w:t>
      </w:r>
      <w:r w:rsidRPr="00375C7A">
        <w:rPr>
          <w:rFonts w:ascii="Times New Roman" w:hAnsi="Times New Roman" w:cs="Times New Roman"/>
          <w:sz w:val="24"/>
          <w:szCs w:val="24"/>
        </w:rPr>
        <w:t xml:space="preserve">HD &lt;60 group' other cytokine levels in </w:t>
      </w:r>
      <w:r w:rsidRPr="00375C7A">
        <w:rPr>
          <w:rFonts w:ascii="Times New Roman" w:eastAsia="Calibri" w:hAnsi="Times New Roman" w:cs="Times New Roman"/>
          <w:sz w:val="24"/>
          <w:szCs w:val="24"/>
        </w:rPr>
        <w:t xml:space="preserve">the </w:t>
      </w:r>
      <w:r w:rsidRPr="00375C7A">
        <w:rPr>
          <w:rFonts w:ascii="Times New Roman" w:hAnsi="Times New Roman" w:cs="Times New Roman"/>
          <w:sz w:val="24"/>
          <w:szCs w:val="24"/>
        </w:rPr>
        <w:t>group of COVID-19 patients (&lt;60 and 60+) were significantly elevated compared to</w:t>
      </w:r>
      <w:r w:rsidRPr="00375C7A">
        <w:rPr>
          <w:rFonts w:ascii="Times New Roman" w:eastAsia="Calibri" w:hAnsi="Times New Roman" w:cs="Times New Roman"/>
          <w:sz w:val="24"/>
          <w:szCs w:val="24"/>
        </w:rPr>
        <w:t xml:space="preserve"> those in</w:t>
      </w:r>
      <w:r w:rsidRPr="00375C7A">
        <w:rPr>
          <w:rFonts w:ascii="Times New Roman" w:hAnsi="Times New Roman" w:cs="Times New Roman"/>
          <w:sz w:val="24"/>
          <w:szCs w:val="24"/>
        </w:rPr>
        <w:t xml:space="preserve"> the HD (&lt;60 and 60+) </w:t>
      </w:r>
      <w:r w:rsidRPr="00375C7A">
        <w:rPr>
          <w:rFonts w:ascii="Times New Roman" w:eastAsia="Calibri" w:hAnsi="Times New Roman" w:cs="Times New Roman"/>
          <w:sz w:val="24"/>
          <w:szCs w:val="24"/>
        </w:rPr>
        <w:t>group</w:t>
      </w:r>
      <w:r w:rsidRPr="00375C7A">
        <w:rPr>
          <w:rFonts w:ascii="Times New Roman" w:hAnsi="Times New Roman" w:cs="Times New Roman"/>
          <w:sz w:val="24"/>
          <w:szCs w:val="24"/>
        </w:rPr>
        <w:t xml:space="preserve"> (</w:t>
      </w:r>
      <w:r w:rsidRPr="00375C7A">
        <w:rPr>
          <w:rFonts w:ascii="Times New Roman" w:hAnsi="Times New Roman" w:cs="Times New Roman"/>
          <w:i/>
          <w:iCs/>
          <w:sz w:val="24"/>
          <w:szCs w:val="24"/>
        </w:rPr>
        <w:t>p</w:t>
      </w:r>
      <w:r w:rsidRPr="00375C7A">
        <w:rPr>
          <w:rFonts w:ascii="Times New Roman" w:hAnsi="Times New Roman" w:cs="Times New Roman"/>
          <w:sz w:val="24"/>
          <w:szCs w:val="24"/>
        </w:rPr>
        <w:t>&lt;0.05)</w:t>
      </w:r>
      <w:r w:rsidR="00C22FFF">
        <w:rPr>
          <w:rFonts w:ascii="Times New Roman" w:hAnsi="Times New Roman" w:cs="Times New Roman"/>
          <w:sz w:val="24"/>
          <w:szCs w:val="24"/>
        </w:rPr>
        <w:t xml:space="preserve"> respectively</w:t>
      </w:r>
      <w:r w:rsidR="00643441">
        <w:rPr>
          <w:rFonts w:ascii="Times New Roman" w:hAnsi="Times New Roman" w:cs="Times New Roman"/>
          <w:sz w:val="24"/>
          <w:szCs w:val="24"/>
        </w:rPr>
        <w:t xml:space="preserve"> (data </w:t>
      </w:r>
      <w:r w:rsidR="00C22FFF">
        <w:rPr>
          <w:rFonts w:ascii="Times New Roman" w:hAnsi="Times New Roman" w:cs="Times New Roman"/>
          <w:sz w:val="24"/>
          <w:szCs w:val="24"/>
        </w:rPr>
        <w:t>not shown).</w:t>
      </w:r>
      <w:r w:rsidRPr="00375C7A">
        <w:rPr>
          <w:rFonts w:ascii="Times New Roman" w:hAnsi="Times New Roman" w:cs="Times New Roman"/>
          <w:sz w:val="24"/>
          <w:szCs w:val="24"/>
        </w:rPr>
        <w:t xml:space="preserve"> </w:t>
      </w:r>
    </w:p>
    <w:p w14:paraId="49EC45A4" w14:textId="6A59FD1C" w:rsid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 xml:space="preserve">Among demographic parameters in COVID-19 </w:t>
      </w:r>
      <w:r w:rsidRPr="00375C7A">
        <w:rPr>
          <w:rFonts w:ascii="Times New Roman" w:eastAsia="Calibri" w:hAnsi="Times New Roman" w:cs="Times New Roman"/>
          <w:sz w:val="24"/>
          <w:szCs w:val="24"/>
        </w:rPr>
        <w:t>patient</w:t>
      </w:r>
      <w:r w:rsidRPr="00375C7A">
        <w:rPr>
          <w:rFonts w:ascii="Times New Roman" w:hAnsi="Times New Roman" w:cs="Times New Roman"/>
          <w:sz w:val="24"/>
          <w:szCs w:val="24"/>
        </w:rPr>
        <w:t xml:space="preserve"> cohort studies</w:t>
      </w:r>
      <w:r w:rsidRPr="00375C7A">
        <w:rPr>
          <w:rFonts w:ascii="Times New Roman" w:eastAsia="Calibri" w:hAnsi="Times New Roman" w:cs="Times New Roman"/>
          <w:sz w:val="24"/>
          <w:szCs w:val="24"/>
        </w:rPr>
        <w:t xml:space="preserve">, </w:t>
      </w:r>
      <w:r w:rsidRPr="00375C7A">
        <w:rPr>
          <w:rFonts w:ascii="Times New Roman" w:hAnsi="Times New Roman" w:cs="Times New Roman"/>
          <w:sz w:val="24"/>
          <w:szCs w:val="24"/>
        </w:rPr>
        <w:t xml:space="preserve">comorbidities </w:t>
      </w:r>
      <w:r w:rsidRPr="00375C7A">
        <w:rPr>
          <w:rFonts w:ascii="Times New Roman" w:eastAsia="Calibri" w:hAnsi="Times New Roman" w:cs="Times New Roman"/>
          <w:sz w:val="24"/>
          <w:szCs w:val="24"/>
        </w:rPr>
        <w:t>are</w:t>
      </w:r>
      <w:r w:rsidRPr="00375C7A">
        <w:rPr>
          <w:rFonts w:ascii="Times New Roman" w:hAnsi="Times New Roman" w:cs="Times New Roman"/>
          <w:sz w:val="24"/>
          <w:szCs w:val="24"/>
        </w:rPr>
        <w:t xml:space="preserve"> one of the main risk factors </w:t>
      </w:r>
      <w:r w:rsidRPr="00375C7A">
        <w:rPr>
          <w:rFonts w:ascii="Times New Roman" w:eastAsia="Calibri" w:hAnsi="Times New Roman" w:cs="Times New Roman"/>
          <w:sz w:val="24"/>
          <w:szCs w:val="24"/>
        </w:rPr>
        <w:t xml:space="preserve">impacting </w:t>
      </w:r>
      <w:r w:rsidRPr="00375C7A">
        <w:rPr>
          <w:rFonts w:ascii="Times New Roman" w:hAnsi="Times New Roman" w:cs="Times New Roman"/>
          <w:sz w:val="24"/>
          <w:szCs w:val="24"/>
        </w:rPr>
        <w:t>the disease course</w:t>
      </w:r>
      <w:r w:rsidRPr="00375C7A">
        <w:rPr>
          <w:rFonts w:ascii="Times New Roman" w:hAnsi="Times New Roman" w:cs="Times New Roman"/>
          <w:sz w:val="24"/>
          <w:szCs w:val="24"/>
        </w:rPr>
        <w:fldChar w:fldCharType="begin"/>
      </w:r>
      <w:r w:rsidR="006A67CE">
        <w:rPr>
          <w:rFonts w:ascii="Times New Roman" w:hAnsi="Times New Roman" w:cs="Times New Roman"/>
          <w:sz w:val="24"/>
          <w:szCs w:val="24"/>
        </w:rPr>
        <w:instrText xml:space="preserve"> ADDIN ZOTERO_ITEM CSL_CITATION {"citationID":"iOSkJWo4","properties":{"formattedCitation":"(5)","plainCitation":"(5)","noteIndex":0},"citationItems":[{"id":"AkeASnBu/Ck3MUJp2","uris":["http://zotero.org/users/7800320/items/XM9W4YIX"],"uri":["http://zotero.org/users/7800320/items/XM9W4YIX"],"itemData":{"id":78,"type":"article-journal","abstract":"Several studies have revealed that the hyper-inflammatory response induced by severe acute respiratory syndrome coronavirus 2 (SARS-CoV-2) is a major cause of disease severity and death. However, predictive biomarkers of pathogenic inflammation to help guide targetable immune pathways are critically lacking. We implemented a rapid multiplex cytokine assay to measure serum interleukin (IL)-6, IL-8, tumor necrosis factor (TNF)-α and IL-1β in hospitalized patients with coronavirus disease 2019 (COVID-19) upon admission to the Mount Sinai Health System in New York. Patients (n = 1,484) were followed up to 41 d after admission (median, 8 d), and clinical information, laboratory test results and patient outcomes were collected. We found that high serum IL-6, IL-8 and TNF-α levels at the time of hospitalization were strong and independent predictors of patient survival (P &lt; 0.0001, P = 0.0205 and P = 0.0140, respectively). Notably, when adjusting for disease severity, common laboratory inflammation markers, hypoxia and other vitals, demographics, and a range of comorbidities, IL-6 and TNF-α serum levels remained independent and significant predictors of disease severity and death. These findings were validated in a second cohort of patients (n = 231). We propose that serum IL-6 and TNF-α levels should be considered in the management and treatment of patients with COVID-19 to stratify prospective clinical trials, guide resource allocation and inform therapeutic options.","container-title":"Nature Medicine","DOI":"10.1038/s41591-020-1051-9","ISSN":"1546-170X","issue":"10","language":"en","note":"number: 10\npublisher: Nature Publishing Group","page":"1636-1643","source":"www.nature.com","title":"An inflammatory cytokine signature predicts COVID-19 severity and survival","volume":"26","author":[{"family":"Del Valle","given":"Diane Marie"},{"family":"Kim-Schulze","given":"Seunghee"},{"family":"Huang","given":"Hsin-Hui"},{"family":"Beckmann","given":"Noam D."},{"family":"Nirenberg","given":"Sharon"},{"family":"Wang","given":"Bo"},{"family":"Lavin","given":"Yonit"},{"family":"Swartz","given":"Talia H."},{"family":"Madduri","given":"Deepu"},{"family":"Stock","given":"Aryeh"},{"family":"Marron","given":"Thomas U."},{"family":"Xie","given":"Hui"},{"family":"Patel","given":"Manishkumar"},{"family":"Tuballes","given":"Kevin"},{"family":"Van Oekelen","given":"Oliver"},{"family":"Rahman","given":"Adeeb"},{"family":"Kovatch","given":"Patricia"},{"family":"Aberg","given":"Judith A."},{"family":"Schadt","given":"Eric"},{"family":"Jagannath","given":"Sundar"},{"family":"Mazumdar","given":"Madhu"},{"family":"Charney","given":"Alexander W."},{"family":"Firpo-Betancourt","given":"Adolfo"},{"family":"Mendu","given":"Damodara Rao"},{"family":"Jhang","given":"Jeffrey"},{"family":"Reich","given":"David"},{"family":"Sigel","given":"Keith"},{"family":"Cordon-Cardo","given":"Carlos"},{"family":"Feldmann","given":"Marc"},{"family":"Parekh","given":"Samir"},{"family":"Merad","given":"Miriam"},{"family":"Gnjatic","given":"Sacha"}],"issued":{"date-parts":[["2020",10]]}}}],"schema":"https://github.com/citation-style-language/schema/raw/master/csl-citation.json"} </w:instrText>
      </w:r>
      <w:r w:rsidRPr="00375C7A">
        <w:rPr>
          <w:rFonts w:ascii="Times New Roman" w:hAnsi="Times New Roman" w:cs="Times New Roman"/>
          <w:sz w:val="24"/>
          <w:szCs w:val="24"/>
        </w:rPr>
        <w:fldChar w:fldCharType="separate"/>
      </w:r>
      <w:r w:rsidR="006A67CE" w:rsidRPr="006A67CE">
        <w:rPr>
          <w:rFonts w:ascii="Times New Roman" w:hAnsi="Times New Roman" w:cs="Times New Roman"/>
          <w:sz w:val="24"/>
        </w:rPr>
        <w:t>(5)</w:t>
      </w:r>
      <w:r w:rsidRPr="00375C7A">
        <w:rPr>
          <w:rFonts w:ascii="Times New Roman" w:hAnsi="Times New Roman" w:cs="Times New Roman"/>
          <w:sz w:val="24"/>
          <w:szCs w:val="24"/>
        </w:rPr>
        <w:fldChar w:fldCharType="end"/>
      </w:r>
      <w:r w:rsidRPr="00375C7A">
        <w:rPr>
          <w:rFonts w:ascii="Times New Roman" w:hAnsi="Times New Roman" w:cs="Times New Roman"/>
          <w:sz w:val="24"/>
          <w:szCs w:val="24"/>
        </w:rPr>
        <w:t>. The proportion of patients with any comorbidities in</w:t>
      </w:r>
      <w:r w:rsidRPr="00375C7A">
        <w:rPr>
          <w:rFonts w:ascii="Times New Roman" w:eastAsia="Calibri" w:hAnsi="Times New Roman" w:cs="Times New Roman"/>
          <w:sz w:val="24"/>
          <w:szCs w:val="24"/>
        </w:rPr>
        <w:t xml:space="preserve"> the</w:t>
      </w:r>
      <w:r w:rsidRPr="00375C7A">
        <w:rPr>
          <w:rFonts w:ascii="Times New Roman" w:hAnsi="Times New Roman" w:cs="Times New Roman"/>
          <w:sz w:val="24"/>
          <w:szCs w:val="24"/>
        </w:rPr>
        <w:t xml:space="preserve"> studied general sample was 73%. Following chronic disease were recorded: cardiovascular disease (</w:t>
      </w:r>
      <w:r w:rsidRPr="00375C7A">
        <w:rPr>
          <w:rFonts w:ascii="Times New Roman" w:hAnsi="Times New Roman" w:cs="Times New Roman"/>
          <w:color w:val="000000" w:themeColor="text1"/>
          <w:sz w:val="24"/>
          <w:szCs w:val="24"/>
        </w:rPr>
        <w:t>CVD),</w:t>
      </w:r>
      <w:r w:rsidRPr="00375C7A">
        <w:rPr>
          <w:rFonts w:ascii="Times New Roman" w:hAnsi="Times New Roman" w:cs="Times New Roman"/>
          <w:sz w:val="24"/>
          <w:szCs w:val="24"/>
        </w:rPr>
        <w:t xml:space="preserve"> including hypertension - 57%; chronic obstructive pulmonary disease (COPD) - 6%; bronchial asthma (BA) - 4%; diabetes mellitus (DM) types I and II - 17%, rheumatic disease (RD) - 5%; and obesity - 6% (</w:t>
      </w:r>
      <w:r w:rsidR="00DD1CE7">
        <w:rPr>
          <w:rFonts w:ascii="Times New Roman" w:hAnsi="Times New Roman" w:cs="Times New Roman"/>
          <w:b/>
          <w:sz w:val="24"/>
          <w:szCs w:val="24"/>
        </w:rPr>
        <w:t>Table S2</w:t>
      </w:r>
      <w:r w:rsidRPr="00375C7A">
        <w:rPr>
          <w:rFonts w:ascii="Times New Roman" w:hAnsi="Times New Roman" w:cs="Times New Roman"/>
          <w:sz w:val="24"/>
          <w:szCs w:val="24"/>
        </w:rPr>
        <w:t>).</w:t>
      </w:r>
      <w:r w:rsidR="00643441" w:rsidRPr="00643441">
        <w:rPr>
          <w:rFonts w:ascii="Times New Roman" w:hAnsi="Times New Roman" w:cs="Times New Roman"/>
          <w:sz w:val="24"/>
          <w:szCs w:val="24"/>
        </w:rPr>
        <w:t xml:space="preserve"> </w:t>
      </w:r>
      <w:r w:rsidR="00643441" w:rsidRPr="00375C7A">
        <w:rPr>
          <w:rFonts w:ascii="Times New Roman" w:hAnsi="Times New Roman" w:cs="Times New Roman"/>
          <w:color w:val="000000" w:themeColor="text1"/>
          <w:sz w:val="24"/>
          <w:szCs w:val="24"/>
        </w:rPr>
        <w:t xml:space="preserve">Our cohort also included patients with cancer (n=26), liver diseases (n=12) or neurological diseases (n=12). For the first group of patients, there were no statistically significant differences in levels of cytokines compared with the </w:t>
      </w:r>
      <w:r w:rsidR="00643441" w:rsidRPr="00375C7A">
        <w:rPr>
          <w:rFonts w:ascii="Times New Roman" w:hAnsi="Times New Roman" w:cs="Times New Roman"/>
          <w:sz w:val="24"/>
          <w:szCs w:val="24"/>
        </w:rPr>
        <w:t xml:space="preserve">CM- cohort. </w:t>
      </w:r>
      <w:r w:rsidR="00643441" w:rsidRPr="00375C7A">
        <w:rPr>
          <w:rFonts w:ascii="Times New Roman" w:eastAsia="Calibri" w:hAnsi="Times New Roman" w:cs="Times New Roman"/>
          <w:color w:val="000000"/>
          <w:sz w:val="24"/>
          <w:szCs w:val="24"/>
        </w:rPr>
        <w:t xml:space="preserve">For </w:t>
      </w:r>
      <w:r w:rsidR="00643441" w:rsidRPr="00375C7A">
        <w:rPr>
          <w:rFonts w:ascii="Times New Roman" w:hAnsi="Times New Roman" w:cs="Times New Roman"/>
          <w:color w:val="000000" w:themeColor="text1"/>
          <w:sz w:val="24"/>
          <w:szCs w:val="24"/>
        </w:rPr>
        <w:t>liver diseases and neurological diseases, the number of patients was insufficient for statistical analysis.</w:t>
      </w:r>
      <w:r w:rsidR="00643441" w:rsidRPr="00375C7A">
        <w:rPr>
          <w:rFonts w:ascii="Times New Roman" w:hAnsi="Times New Roman" w:cs="Times New Roman"/>
          <w:sz w:val="24"/>
          <w:szCs w:val="24"/>
        </w:rPr>
        <w:t xml:space="preserve"> </w:t>
      </w:r>
      <w:r w:rsidRPr="00375C7A">
        <w:rPr>
          <w:rFonts w:ascii="Times New Roman" w:hAnsi="Times New Roman" w:cs="Times New Roman"/>
          <w:sz w:val="24"/>
          <w:szCs w:val="24"/>
        </w:rPr>
        <w:t xml:space="preserve"> It was notic</w:t>
      </w:r>
      <w:r w:rsidR="00643441">
        <w:rPr>
          <w:rFonts w:ascii="Times New Roman" w:hAnsi="Times New Roman" w:cs="Times New Roman"/>
          <w:sz w:val="24"/>
          <w:szCs w:val="24"/>
        </w:rPr>
        <w:t>ed that with the development of</w:t>
      </w:r>
      <w:r w:rsidRPr="00375C7A">
        <w:rPr>
          <w:rFonts w:ascii="Times New Roman" w:hAnsi="Times New Roman" w:cs="Times New Roman"/>
          <w:sz w:val="24"/>
          <w:szCs w:val="24"/>
        </w:rPr>
        <w:t xml:space="preserve"> severity, the proportion of patients with comorbidities </w:t>
      </w:r>
      <w:r w:rsidRPr="00375C7A">
        <w:rPr>
          <w:rFonts w:ascii="Times New Roman" w:eastAsia="Calibri" w:hAnsi="Times New Roman" w:cs="Times New Roman"/>
          <w:sz w:val="24"/>
          <w:szCs w:val="24"/>
        </w:rPr>
        <w:t>increased:</w:t>
      </w:r>
      <w:r w:rsidRPr="00375C7A">
        <w:rPr>
          <w:rFonts w:ascii="Times New Roman" w:hAnsi="Times New Roman" w:cs="Times New Roman"/>
          <w:sz w:val="24"/>
          <w:szCs w:val="24"/>
        </w:rPr>
        <w:t xml:space="preserve"> mild – 54%, mild-moderate – 74%, moderate – 69%, severe – 78% and ICU – 90%.</w:t>
      </w:r>
    </w:p>
    <w:p w14:paraId="62343D29" w14:textId="4254CA93" w:rsidR="00375C7A" w:rsidRPr="00375C7A" w:rsidRDefault="00375C7A" w:rsidP="00375C7A">
      <w:pPr>
        <w:spacing w:after="240" w:line="240" w:lineRule="auto"/>
        <w:jc w:val="both"/>
        <w:rPr>
          <w:rFonts w:ascii="Times New Roman" w:hAnsi="Times New Roman" w:cs="Times New Roman"/>
          <w:sz w:val="24"/>
          <w:szCs w:val="24"/>
        </w:rPr>
      </w:pPr>
      <w:r w:rsidRPr="00375C7A">
        <w:rPr>
          <w:rFonts w:ascii="Times New Roman" w:hAnsi="Times New Roman" w:cs="Times New Roman"/>
          <w:sz w:val="24"/>
          <w:szCs w:val="24"/>
        </w:rPr>
        <w:t>In</w:t>
      </w:r>
      <w:r w:rsidRPr="00375C7A">
        <w:rPr>
          <w:rFonts w:ascii="Times New Roman" w:eastAsia="Calibri" w:hAnsi="Times New Roman" w:cs="Times New Roman"/>
          <w:sz w:val="24"/>
          <w:szCs w:val="24"/>
        </w:rPr>
        <w:t xml:space="preserve"> our</w:t>
      </w:r>
      <w:r w:rsidRPr="00375C7A">
        <w:rPr>
          <w:rFonts w:ascii="Times New Roman" w:hAnsi="Times New Roman" w:cs="Times New Roman"/>
          <w:sz w:val="24"/>
          <w:szCs w:val="24"/>
        </w:rPr>
        <w:t xml:space="preserve"> cohort</w:t>
      </w:r>
      <w:r w:rsidRPr="00375C7A">
        <w:rPr>
          <w:rFonts w:ascii="Times New Roman" w:eastAsia="Calibri" w:hAnsi="Times New Roman" w:cs="Times New Roman"/>
          <w:sz w:val="24"/>
          <w:szCs w:val="24"/>
        </w:rPr>
        <w:t>,</w:t>
      </w:r>
      <w:r w:rsidRPr="00375C7A">
        <w:rPr>
          <w:rFonts w:ascii="Times New Roman" w:hAnsi="Times New Roman" w:cs="Times New Roman"/>
          <w:sz w:val="24"/>
          <w:szCs w:val="24"/>
        </w:rPr>
        <w:t xml:space="preserve"> COVID-19 patients with any comorbidities (CM+) </w:t>
      </w:r>
      <w:r w:rsidRPr="00375C7A">
        <w:rPr>
          <w:rFonts w:ascii="Times New Roman" w:eastAsia="Calibri" w:hAnsi="Times New Roman" w:cs="Times New Roman"/>
          <w:sz w:val="24"/>
          <w:szCs w:val="24"/>
        </w:rPr>
        <w:t>were</w:t>
      </w:r>
      <w:r w:rsidRPr="00375C7A">
        <w:rPr>
          <w:rFonts w:ascii="Times New Roman" w:hAnsi="Times New Roman" w:cs="Times New Roman"/>
          <w:sz w:val="24"/>
          <w:szCs w:val="24"/>
        </w:rPr>
        <w:t xml:space="preserve"> found to have elevated serum levels of IL-1RA, IL-6, IL-27, MCP-1 and MIG compared to</w:t>
      </w:r>
      <w:r w:rsidRPr="00375C7A">
        <w:rPr>
          <w:rFonts w:ascii="Times New Roman" w:eastAsia="Calibri" w:hAnsi="Times New Roman" w:cs="Times New Roman"/>
          <w:sz w:val="24"/>
          <w:szCs w:val="24"/>
        </w:rPr>
        <w:t xml:space="preserve"> the</w:t>
      </w:r>
      <w:r w:rsidRPr="00375C7A">
        <w:rPr>
          <w:rFonts w:ascii="Times New Roman" w:hAnsi="Times New Roman" w:cs="Times New Roman"/>
          <w:sz w:val="24"/>
          <w:szCs w:val="24"/>
        </w:rPr>
        <w:t xml:space="preserve"> cohort without comorbidities (CM-). In contrast, EGF, IL-13, IL-17A, TNF-β, </w:t>
      </w:r>
      <w:r w:rsidRPr="00375C7A">
        <w:rPr>
          <w:rFonts w:ascii="Times New Roman" w:eastAsia="Calibri" w:hAnsi="Times New Roman" w:cs="Times New Roman"/>
          <w:sz w:val="24"/>
          <w:szCs w:val="24"/>
        </w:rPr>
        <w:t xml:space="preserve">and </w:t>
      </w:r>
      <w:r w:rsidRPr="00375C7A">
        <w:rPr>
          <w:rFonts w:ascii="Times New Roman" w:hAnsi="Times New Roman" w:cs="Times New Roman"/>
          <w:sz w:val="24"/>
          <w:szCs w:val="24"/>
        </w:rPr>
        <w:t>VEGF-A were lower than in</w:t>
      </w:r>
      <w:r w:rsidRPr="00375C7A">
        <w:rPr>
          <w:rFonts w:cstheme="minorHAnsi"/>
          <w:sz w:val="24"/>
          <w:szCs w:val="24"/>
        </w:rPr>
        <w:t xml:space="preserve"> </w:t>
      </w:r>
      <w:r w:rsidRPr="00375C7A">
        <w:rPr>
          <w:rFonts w:ascii="Times New Roman" w:hAnsi="Times New Roman" w:cs="Times New Roman"/>
          <w:sz w:val="24"/>
          <w:szCs w:val="24"/>
        </w:rPr>
        <w:t>CM-</w:t>
      </w:r>
      <w:r w:rsidRPr="00375C7A">
        <w:rPr>
          <w:rFonts w:cstheme="minorHAnsi"/>
          <w:sz w:val="24"/>
          <w:szCs w:val="24"/>
        </w:rPr>
        <w:t xml:space="preserve"> </w:t>
      </w:r>
      <w:r w:rsidRPr="00375C7A">
        <w:rPr>
          <w:rFonts w:ascii="Times New Roman" w:hAnsi="Times New Roman" w:cs="Times New Roman"/>
          <w:sz w:val="24"/>
          <w:szCs w:val="24"/>
        </w:rPr>
        <w:t>(</w:t>
      </w:r>
      <w:r w:rsidRPr="00375C7A">
        <w:rPr>
          <w:rFonts w:ascii="Times New Roman" w:hAnsi="Times New Roman" w:cs="Times New Roman"/>
          <w:b/>
          <w:sz w:val="24"/>
          <w:szCs w:val="24"/>
        </w:rPr>
        <w:t>Fig.</w:t>
      </w:r>
      <w:r w:rsidRPr="00375C7A">
        <w:rPr>
          <w:rFonts w:ascii="Times New Roman" w:eastAsia="Calibri" w:hAnsi="Times New Roman" w:cs="Times New Roman"/>
          <w:b/>
          <w:sz w:val="24"/>
          <w:szCs w:val="24"/>
        </w:rPr>
        <w:t xml:space="preserve"> </w:t>
      </w:r>
      <w:r w:rsidRPr="00375C7A">
        <w:rPr>
          <w:rFonts w:ascii="Times New Roman" w:hAnsi="Times New Roman" w:cs="Times New Roman"/>
          <w:b/>
          <w:sz w:val="24"/>
          <w:szCs w:val="24"/>
        </w:rPr>
        <w:t>S2 B</w:t>
      </w:r>
      <w:r w:rsidRPr="00375C7A">
        <w:rPr>
          <w:rFonts w:ascii="Times New Roman" w:hAnsi="Times New Roman" w:cs="Times New Roman"/>
          <w:sz w:val="24"/>
          <w:szCs w:val="24"/>
        </w:rPr>
        <w:t>).</w:t>
      </w:r>
      <w:r w:rsidRPr="00375C7A">
        <w:rPr>
          <w:rFonts w:cstheme="minorHAnsi"/>
          <w:sz w:val="24"/>
          <w:szCs w:val="24"/>
        </w:rPr>
        <w:t xml:space="preserve"> </w:t>
      </w:r>
      <w:r w:rsidRPr="00375C7A">
        <w:rPr>
          <w:rFonts w:ascii="Times New Roman" w:hAnsi="Times New Roman" w:cs="Times New Roman"/>
          <w:sz w:val="24"/>
          <w:szCs w:val="24"/>
        </w:rPr>
        <w:t xml:space="preserve">The cytokine concentrations of both groups were </w:t>
      </w:r>
      <w:r w:rsidRPr="00375C7A">
        <w:rPr>
          <w:rFonts w:ascii="Times New Roman" w:eastAsia="Calibri" w:hAnsi="Times New Roman" w:cs="Times New Roman"/>
          <w:sz w:val="24"/>
          <w:szCs w:val="24"/>
        </w:rPr>
        <w:t>significantly</w:t>
      </w:r>
      <w:r w:rsidRPr="00375C7A">
        <w:rPr>
          <w:rFonts w:ascii="Times New Roman" w:hAnsi="Times New Roman" w:cs="Times New Roman"/>
          <w:sz w:val="24"/>
          <w:szCs w:val="24"/>
        </w:rPr>
        <w:t xml:space="preserve"> elevated (</w:t>
      </w:r>
      <w:r w:rsidRPr="00375C7A">
        <w:rPr>
          <w:rFonts w:ascii="Times New Roman" w:hAnsi="Times New Roman" w:cs="Times New Roman"/>
          <w:i/>
          <w:iCs/>
          <w:sz w:val="24"/>
          <w:szCs w:val="24"/>
        </w:rPr>
        <w:t>p</w:t>
      </w:r>
      <w:r w:rsidRPr="00375C7A">
        <w:rPr>
          <w:rFonts w:ascii="Times New Roman" w:hAnsi="Times New Roman" w:cs="Times New Roman"/>
          <w:sz w:val="24"/>
          <w:szCs w:val="24"/>
        </w:rPr>
        <w:t>&lt;0.05) compared to the healthy donor group (data not shown).</w:t>
      </w:r>
    </w:p>
    <w:p w14:paraId="5C27D0FC" w14:textId="083FEF27" w:rsidR="00375C7A" w:rsidRPr="006A67CE" w:rsidRDefault="00DD1CE7" w:rsidP="00643441">
      <w:pPr>
        <w:spacing w:after="24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Table S2</w:t>
      </w:r>
      <w:r w:rsidR="00375C7A" w:rsidRPr="00375C7A">
        <w:rPr>
          <w:rFonts w:ascii="Times New Roman" w:hAnsi="Times New Roman" w:cs="Times New Roman"/>
          <w:sz w:val="24"/>
          <w:szCs w:val="24"/>
        </w:rPr>
        <w:t xml:space="preserve"> shows the results of comparing cytokine levels for each comorbidity separately. In addition, </w:t>
      </w:r>
      <w:r w:rsidR="00375C7A" w:rsidRPr="00375C7A">
        <w:rPr>
          <w:rFonts w:ascii="Times New Roman" w:eastAsia="Calibri" w:hAnsi="Times New Roman" w:cs="Times New Roman"/>
          <w:sz w:val="24"/>
          <w:szCs w:val="24"/>
        </w:rPr>
        <w:t>representative</w:t>
      </w:r>
      <w:r w:rsidR="00375C7A" w:rsidRPr="00375C7A">
        <w:rPr>
          <w:rFonts w:ascii="Times New Roman" w:hAnsi="Times New Roman" w:cs="Times New Roman"/>
          <w:sz w:val="24"/>
          <w:szCs w:val="24"/>
        </w:rPr>
        <w:t xml:space="preserve"> literary sources confirmed the relationship of the identified cytokines with the corresponding comorbidity and their possible function. In general, the most </w:t>
      </w:r>
      <w:r w:rsidR="00375C7A" w:rsidRPr="00375C7A">
        <w:rPr>
          <w:rFonts w:ascii="Times New Roman" w:eastAsia="Calibri" w:hAnsi="Times New Roman" w:cs="Times New Roman"/>
          <w:sz w:val="24"/>
          <w:szCs w:val="24"/>
        </w:rPr>
        <w:t xml:space="preserve">frequently occurring </w:t>
      </w:r>
      <w:r w:rsidR="00375C7A" w:rsidRPr="00375C7A">
        <w:rPr>
          <w:rFonts w:ascii="Times New Roman" w:hAnsi="Times New Roman" w:cs="Times New Roman"/>
          <w:sz w:val="24"/>
          <w:szCs w:val="24"/>
        </w:rPr>
        <w:t xml:space="preserve">cytokines, with elevated serum levels in </w:t>
      </w:r>
      <w:r w:rsidR="00375C7A" w:rsidRPr="00375C7A">
        <w:rPr>
          <w:rFonts w:ascii="Times New Roman" w:eastAsia="Calibri" w:hAnsi="Times New Roman" w:cs="Times New Roman"/>
          <w:sz w:val="24"/>
          <w:szCs w:val="24"/>
        </w:rPr>
        <w:t>the CM-</w:t>
      </w:r>
      <w:r w:rsidR="00375C7A" w:rsidRPr="00375C7A">
        <w:rPr>
          <w:rFonts w:ascii="Times New Roman" w:hAnsi="Times New Roman" w:cs="Times New Roman"/>
          <w:sz w:val="24"/>
          <w:szCs w:val="24"/>
        </w:rPr>
        <w:t xml:space="preserve"> cohort, were </w:t>
      </w:r>
      <w:r w:rsidR="00375C7A" w:rsidRPr="00375C7A">
        <w:rPr>
          <w:rFonts w:ascii="Times New Roman" w:hAnsi="Times New Roman" w:cs="Times New Roman"/>
          <w:color w:val="000000" w:themeColor="text1"/>
          <w:sz w:val="24"/>
          <w:szCs w:val="24"/>
        </w:rPr>
        <w:t>EGF in CVD, BA+COPD, DM, RA,</w:t>
      </w:r>
      <w:r w:rsidR="00375C7A" w:rsidRPr="00375C7A">
        <w:rPr>
          <w:rFonts w:ascii="Times New Roman" w:eastAsia="Calibri" w:hAnsi="Times New Roman" w:cs="Times New Roman"/>
          <w:color w:val="000000"/>
          <w:sz w:val="24"/>
          <w:szCs w:val="24"/>
        </w:rPr>
        <w:t xml:space="preserve"> and obesity</w:t>
      </w:r>
      <w:r w:rsidR="00375C7A" w:rsidRPr="00375C7A">
        <w:rPr>
          <w:rFonts w:ascii="Times New Roman" w:hAnsi="Times New Roman" w:cs="Times New Roman"/>
          <w:color w:val="000000" w:themeColor="text1"/>
          <w:sz w:val="24"/>
          <w:szCs w:val="24"/>
        </w:rPr>
        <w:t xml:space="preserve"> cohort and</w:t>
      </w:r>
      <w:r w:rsidR="00375C7A" w:rsidRPr="00375C7A">
        <w:rPr>
          <w:rFonts w:ascii="Times New Roman" w:hAnsi="Times New Roman" w:cs="Times New Roman"/>
          <w:sz w:val="24"/>
          <w:szCs w:val="24"/>
        </w:rPr>
        <w:t xml:space="preserve"> </w:t>
      </w:r>
      <w:r w:rsidR="00375C7A" w:rsidRPr="00375C7A">
        <w:rPr>
          <w:rFonts w:ascii="Times New Roman" w:hAnsi="Times New Roman" w:cs="Times New Roman"/>
          <w:color w:val="000000" w:themeColor="text1"/>
          <w:sz w:val="24"/>
          <w:szCs w:val="24"/>
        </w:rPr>
        <w:t xml:space="preserve">IL-13 in CVD, COPD, BA+COPD, </w:t>
      </w:r>
      <w:r w:rsidR="00375C7A" w:rsidRPr="00375C7A">
        <w:rPr>
          <w:rFonts w:ascii="Times New Roman" w:eastAsia="Calibri" w:hAnsi="Times New Roman" w:cs="Times New Roman"/>
          <w:color w:val="000000"/>
          <w:sz w:val="24"/>
          <w:szCs w:val="24"/>
        </w:rPr>
        <w:t xml:space="preserve">and </w:t>
      </w:r>
      <w:r w:rsidR="00375C7A" w:rsidRPr="00375C7A">
        <w:rPr>
          <w:rFonts w:ascii="Times New Roman" w:hAnsi="Times New Roman" w:cs="Times New Roman"/>
          <w:color w:val="000000" w:themeColor="text1"/>
          <w:sz w:val="24"/>
          <w:szCs w:val="24"/>
        </w:rPr>
        <w:t>DM cohort comparison (</w:t>
      </w:r>
      <w:r w:rsidR="00643441">
        <w:rPr>
          <w:rFonts w:ascii="Times New Roman" w:hAnsi="Times New Roman" w:cs="Times New Roman"/>
          <w:b/>
          <w:sz w:val="24"/>
          <w:szCs w:val="24"/>
        </w:rPr>
        <w:t>Fig. S3</w:t>
      </w:r>
      <w:r w:rsidR="00643441" w:rsidRPr="006A67CE">
        <w:rPr>
          <w:rFonts w:ascii="Times New Roman" w:hAnsi="Times New Roman" w:cs="Times New Roman"/>
          <w:b/>
          <w:sz w:val="24"/>
          <w:szCs w:val="24"/>
        </w:rPr>
        <w:t>).</w:t>
      </w:r>
    </w:p>
    <w:p w14:paraId="2BC53775" w14:textId="0BD5EC8C" w:rsidR="00375C7A" w:rsidRDefault="00375C7A" w:rsidP="00890498">
      <w:pPr>
        <w:spacing w:line="240" w:lineRule="auto"/>
        <w:jc w:val="both"/>
        <w:rPr>
          <w:rFonts w:ascii="Times New Roman" w:hAnsi="Times New Roman" w:cs="Times New Roman"/>
          <w:b/>
          <w:sz w:val="28"/>
          <w:szCs w:val="28"/>
        </w:rPr>
      </w:pPr>
    </w:p>
    <w:p w14:paraId="28E0701B" w14:textId="45398CF5" w:rsidR="00891F91" w:rsidRDefault="00891F91" w:rsidP="00890498">
      <w:pPr>
        <w:spacing w:line="240" w:lineRule="auto"/>
        <w:jc w:val="both"/>
        <w:rPr>
          <w:rFonts w:ascii="Times New Roman" w:hAnsi="Times New Roman" w:cs="Times New Roman"/>
          <w:b/>
          <w:sz w:val="28"/>
          <w:szCs w:val="28"/>
        </w:rPr>
      </w:pPr>
    </w:p>
    <w:p w14:paraId="4BE161FA" w14:textId="20789EE5" w:rsidR="00891F91" w:rsidRDefault="00891F91" w:rsidP="00890498">
      <w:pPr>
        <w:spacing w:line="240" w:lineRule="auto"/>
        <w:jc w:val="both"/>
        <w:rPr>
          <w:rFonts w:ascii="Times New Roman" w:hAnsi="Times New Roman" w:cs="Times New Roman"/>
          <w:b/>
          <w:sz w:val="28"/>
          <w:szCs w:val="28"/>
        </w:rPr>
      </w:pPr>
    </w:p>
    <w:p w14:paraId="4E748052" w14:textId="666BAE6A" w:rsidR="00891F91" w:rsidRDefault="00891F91" w:rsidP="00890498">
      <w:pPr>
        <w:spacing w:line="240" w:lineRule="auto"/>
        <w:jc w:val="both"/>
        <w:rPr>
          <w:rFonts w:ascii="Times New Roman" w:hAnsi="Times New Roman" w:cs="Times New Roman"/>
          <w:b/>
          <w:sz w:val="28"/>
          <w:szCs w:val="28"/>
        </w:rPr>
      </w:pPr>
    </w:p>
    <w:p w14:paraId="4C0F1689" w14:textId="79E07389" w:rsidR="00891F91" w:rsidRDefault="00891F91" w:rsidP="00890498">
      <w:pPr>
        <w:spacing w:line="240" w:lineRule="auto"/>
        <w:jc w:val="both"/>
        <w:rPr>
          <w:rFonts w:ascii="Times New Roman" w:hAnsi="Times New Roman" w:cs="Times New Roman"/>
          <w:b/>
          <w:sz w:val="28"/>
          <w:szCs w:val="28"/>
        </w:rPr>
      </w:pPr>
    </w:p>
    <w:p w14:paraId="32BD52F2" w14:textId="2423D147" w:rsidR="00891F91" w:rsidRDefault="00891F91" w:rsidP="00890498">
      <w:pPr>
        <w:spacing w:line="240" w:lineRule="auto"/>
        <w:jc w:val="both"/>
        <w:rPr>
          <w:rFonts w:ascii="Times New Roman" w:hAnsi="Times New Roman" w:cs="Times New Roman"/>
          <w:b/>
          <w:sz w:val="28"/>
          <w:szCs w:val="28"/>
        </w:rPr>
      </w:pPr>
    </w:p>
    <w:p w14:paraId="0D204F96" w14:textId="2B99E936" w:rsidR="00891F91" w:rsidRDefault="00891F91" w:rsidP="00890498">
      <w:pPr>
        <w:spacing w:line="240" w:lineRule="auto"/>
        <w:jc w:val="both"/>
        <w:rPr>
          <w:rFonts w:ascii="Times New Roman" w:hAnsi="Times New Roman" w:cs="Times New Roman"/>
          <w:b/>
          <w:sz w:val="28"/>
          <w:szCs w:val="28"/>
        </w:rPr>
      </w:pPr>
    </w:p>
    <w:p w14:paraId="4A948D8A" w14:textId="4006C791" w:rsidR="00891F91" w:rsidRDefault="00891F91" w:rsidP="00890498">
      <w:pPr>
        <w:spacing w:line="240" w:lineRule="auto"/>
        <w:jc w:val="both"/>
        <w:rPr>
          <w:rFonts w:ascii="Times New Roman" w:hAnsi="Times New Roman" w:cs="Times New Roman"/>
          <w:b/>
          <w:sz w:val="28"/>
          <w:szCs w:val="28"/>
        </w:rPr>
      </w:pPr>
    </w:p>
    <w:p w14:paraId="5F22D6BF" w14:textId="56954BC1" w:rsidR="00891F91" w:rsidRDefault="00891F91" w:rsidP="00890498">
      <w:pPr>
        <w:spacing w:line="240" w:lineRule="auto"/>
        <w:jc w:val="both"/>
        <w:rPr>
          <w:rFonts w:ascii="Times New Roman" w:hAnsi="Times New Roman" w:cs="Times New Roman"/>
          <w:b/>
          <w:sz w:val="28"/>
          <w:szCs w:val="28"/>
        </w:rPr>
      </w:pPr>
    </w:p>
    <w:p w14:paraId="38881A4F" w14:textId="58661174" w:rsidR="00891F91" w:rsidRDefault="00891F91" w:rsidP="00890498">
      <w:pPr>
        <w:spacing w:line="240" w:lineRule="auto"/>
        <w:jc w:val="both"/>
        <w:rPr>
          <w:rFonts w:ascii="Times New Roman" w:hAnsi="Times New Roman" w:cs="Times New Roman"/>
          <w:b/>
          <w:sz w:val="28"/>
          <w:szCs w:val="28"/>
        </w:rPr>
      </w:pPr>
    </w:p>
    <w:p w14:paraId="5EB8774A" w14:textId="6D346725" w:rsidR="00891F91" w:rsidRDefault="00891F91" w:rsidP="00890498">
      <w:pPr>
        <w:spacing w:line="240" w:lineRule="auto"/>
        <w:jc w:val="both"/>
        <w:rPr>
          <w:rFonts w:ascii="Times New Roman" w:hAnsi="Times New Roman" w:cs="Times New Roman"/>
          <w:b/>
          <w:sz w:val="28"/>
          <w:szCs w:val="28"/>
        </w:rPr>
      </w:pPr>
    </w:p>
    <w:p w14:paraId="5E6DEB71" w14:textId="77777777" w:rsidR="00891F91" w:rsidRDefault="00891F91" w:rsidP="00463E55">
      <w:pPr>
        <w:spacing w:line="240" w:lineRule="auto"/>
        <w:jc w:val="center"/>
        <w:rPr>
          <w:rFonts w:ascii="Times New Roman" w:hAnsi="Times New Roman" w:cs="Times New Roman"/>
          <w:b/>
          <w:bCs/>
          <w:sz w:val="24"/>
          <w:szCs w:val="24"/>
        </w:rPr>
      </w:pPr>
    </w:p>
    <w:p w14:paraId="6F30F5B9" w14:textId="1096DD41" w:rsidR="00375C7A" w:rsidRDefault="0050626B" w:rsidP="00463E5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Supplementary </w:t>
      </w:r>
      <w:r w:rsidR="00375C7A" w:rsidRPr="00375C7A">
        <w:rPr>
          <w:rFonts w:ascii="Times New Roman" w:hAnsi="Times New Roman" w:cs="Times New Roman"/>
          <w:b/>
          <w:bCs/>
          <w:sz w:val="24"/>
          <w:szCs w:val="24"/>
        </w:rPr>
        <w:t>Figures</w:t>
      </w:r>
    </w:p>
    <w:p w14:paraId="06B2CCC0" w14:textId="06975A89" w:rsidR="00891F91" w:rsidRPr="00375C7A" w:rsidRDefault="00891F91" w:rsidP="00463E55">
      <w:pPr>
        <w:spacing w:line="240" w:lineRule="auto"/>
        <w:jc w:val="center"/>
        <w:rPr>
          <w:rFonts w:ascii="Times New Roman" w:hAnsi="Times New Roman" w:cs="Times New Roman"/>
          <w:b/>
          <w:bCs/>
          <w:sz w:val="24"/>
          <w:szCs w:val="24"/>
        </w:rPr>
      </w:pPr>
      <w:r w:rsidRPr="00891F91">
        <w:rPr>
          <w:rFonts w:ascii="Times New Roman" w:hAnsi="Times New Roman" w:cs="Times New Roman"/>
          <w:b/>
          <w:bCs/>
          <w:noProof/>
          <w:sz w:val="24"/>
          <w:szCs w:val="24"/>
          <w:lang w:val="ru-RU" w:eastAsia="ru-RU"/>
        </w:rPr>
        <w:drawing>
          <wp:inline distT="0" distB="0" distL="0" distR="0" wp14:anchorId="1F834E97" wp14:editId="568C18A2">
            <wp:extent cx="5939790" cy="5739121"/>
            <wp:effectExtent l="0" t="0" r="3810" b="0"/>
            <wp:docPr id="1" name="Рисунок 1" descr="C:\Users\Denis\Desktop\COVID\Working Draft\Immunoarticle FI\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COVID\Working Draft\Immunoarticle FI\Fig.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739121"/>
                    </a:xfrm>
                    <a:prstGeom prst="rect">
                      <a:avLst/>
                    </a:prstGeom>
                    <a:noFill/>
                    <a:ln>
                      <a:noFill/>
                    </a:ln>
                  </pic:spPr>
                </pic:pic>
              </a:graphicData>
            </a:graphic>
          </wp:inline>
        </w:drawing>
      </w:r>
    </w:p>
    <w:p w14:paraId="33EA1625" w14:textId="148F5141" w:rsidR="00375C7A" w:rsidRDefault="00375C7A" w:rsidP="00375C7A">
      <w:pPr>
        <w:jc w:val="both"/>
        <w:rPr>
          <w:rFonts w:ascii="Times New Roman" w:hAnsi="Times New Roman" w:cs="Times New Roman"/>
          <w:iCs/>
          <w:sz w:val="24"/>
          <w:szCs w:val="24"/>
        </w:rPr>
      </w:pPr>
      <w:r w:rsidRPr="00375C7A">
        <w:rPr>
          <w:rFonts w:ascii="Times New Roman" w:hAnsi="Times New Roman" w:cs="Times New Roman"/>
          <w:b/>
          <w:iCs/>
          <w:sz w:val="24"/>
          <w:szCs w:val="24"/>
        </w:rPr>
        <w:t xml:space="preserve">Fig. S1. Dynamics of anti-(N+S1) total IgM+IgA and anti-N, anti-S1, </w:t>
      </w:r>
      <w:r w:rsidRPr="00375C7A">
        <w:rPr>
          <w:rFonts w:ascii="Times New Roman" w:eastAsia="Calibri" w:hAnsi="Times New Roman" w:cs="Times New Roman"/>
          <w:b/>
          <w:iCs/>
          <w:sz w:val="24"/>
          <w:szCs w:val="24"/>
        </w:rPr>
        <w:t xml:space="preserve">and </w:t>
      </w:r>
      <w:r w:rsidRPr="00375C7A">
        <w:rPr>
          <w:rFonts w:ascii="Times New Roman" w:hAnsi="Times New Roman" w:cs="Times New Roman"/>
          <w:b/>
          <w:iCs/>
          <w:sz w:val="24"/>
          <w:szCs w:val="24"/>
        </w:rPr>
        <w:t xml:space="preserve">anti-RBD IgG in COVID-19 </w:t>
      </w:r>
      <w:r w:rsidRPr="00375C7A">
        <w:rPr>
          <w:rFonts w:ascii="Times New Roman" w:eastAsia="Calibri" w:hAnsi="Times New Roman" w:cs="Times New Roman"/>
          <w:b/>
          <w:iCs/>
          <w:sz w:val="24"/>
          <w:szCs w:val="24"/>
        </w:rPr>
        <w:t>patient</w:t>
      </w:r>
      <w:r w:rsidRPr="00375C7A">
        <w:rPr>
          <w:rFonts w:ascii="Times New Roman" w:hAnsi="Times New Roman" w:cs="Times New Roman"/>
          <w:b/>
          <w:iCs/>
          <w:sz w:val="24"/>
          <w:szCs w:val="24"/>
        </w:rPr>
        <w:t xml:space="preserve"> sera during the disease course.</w:t>
      </w:r>
      <w:r w:rsidRPr="00375C7A">
        <w:rPr>
          <w:rFonts w:ascii="Times New Roman" w:hAnsi="Times New Roman" w:cs="Times New Roman"/>
          <w:iCs/>
          <w:sz w:val="24"/>
          <w:szCs w:val="24"/>
        </w:rPr>
        <w:t xml:space="preserve"> </w:t>
      </w:r>
      <w:r w:rsidRPr="009C5EBE">
        <w:rPr>
          <w:rFonts w:ascii="Times New Roman" w:hAnsi="Times New Roman" w:cs="Times New Roman"/>
          <w:iCs/>
          <w:sz w:val="24"/>
          <w:szCs w:val="24"/>
        </w:rPr>
        <w:t xml:space="preserve">The dynamics in different severity groups of patients. All time points of sample collection were stratified into 6 (5 for ICU) periods with an interval of 5 days </w:t>
      </w:r>
      <w:r w:rsidRPr="009C5EBE">
        <w:rPr>
          <w:rFonts w:ascii="Times New Roman" w:hAnsi="Times New Roman" w:cs="Times New Roman"/>
          <w:b/>
          <w:iCs/>
          <w:sz w:val="24"/>
          <w:szCs w:val="24"/>
        </w:rPr>
        <w:t>(A-E).</w:t>
      </w:r>
      <w:r w:rsidRPr="009C5EBE">
        <w:rPr>
          <w:rFonts w:ascii="Times New Roman" w:hAnsi="Times New Roman" w:cs="Times New Roman"/>
          <w:iCs/>
          <w:sz w:val="24"/>
          <w:szCs w:val="24"/>
        </w:rPr>
        <w:t xml:space="preserve"> Comparison of maximum values of </w:t>
      </w:r>
      <w:r w:rsidRPr="009C5EBE">
        <w:rPr>
          <w:rFonts w:ascii="Times New Roman" w:eastAsia="Calibri" w:hAnsi="Times New Roman" w:cs="Times New Roman"/>
          <w:iCs/>
          <w:sz w:val="24"/>
          <w:szCs w:val="24"/>
        </w:rPr>
        <w:t>antibody</w:t>
      </w:r>
      <w:r w:rsidRPr="009C5EBE">
        <w:rPr>
          <w:rFonts w:ascii="Times New Roman" w:hAnsi="Times New Roman" w:cs="Times New Roman"/>
          <w:iCs/>
          <w:sz w:val="24"/>
          <w:szCs w:val="24"/>
        </w:rPr>
        <w:t xml:space="preserve"> measurements in each</w:t>
      </w:r>
      <w:r w:rsidRPr="009C5EBE">
        <w:rPr>
          <w:rFonts w:ascii="Times New Roman" w:eastAsia="Calibri" w:hAnsi="Times New Roman" w:cs="Times New Roman"/>
          <w:iCs/>
          <w:sz w:val="24"/>
          <w:szCs w:val="24"/>
        </w:rPr>
        <w:t xml:space="preserve"> severity</w:t>
      </w:r>
      <w:r w:rsidRPr="009C5EBE">
        <w:rPr>
          <w:rFonts w:ascii="Times New Roman" w:hAnsi="Times New Roman" w:cs="Times New Roman"/>
          <w:iCs/>
          <w:sz w:val="24"/>
          <w:szCs w:val="24"/>
        </w:rPr>
        <w:t xml:space="preserve"> group. Box and whiskers represent medians and min/max values </w:t>
      </w:r>
      <w:r w:rsidRPr="009C5EBE">
        <w:rPr>
          <w:rFonts w:ascii="Times New Roman" w:hAnsi="Times New Roman" w:cs="Times New Roman"/>
          <w:b/>
          <w:iCs/>
          <w:sz w:val="24"/>
          <w:szCs w:val="24"/>
        </w:rPr>
        <w:t>(F).</w:t>
      </w:r>
      <w:r w:rsidRPr="009C5EBE">
        <w:rPr>
          <w:rFonts w:ascii="Times New Roman" w:hAnsi="Times New Roman" w:cs="Times New Roman"/>
          <w:iCs/>
          <w:sz w:val="24"/>
          <w:szCs w:val="24"/>
        </w:rPr>
        <w:t xml:space="preserve"> IgM+IgA antibody levels are plotted along the left ordinate axis (10*S/CO) and IgG along the right (MFI).</w:t>
      </w:r>
      <w:r w:rsidRPr="009C5EBE">
        <w:rPr>
          <w:iCs/>
          <w:sz w:val="24"/>
          <w:szCs w:val="24"/>
        </w:rPr>
        <w:t xml:space="preserve"> </w:t>
      </w:r>
      <w:r w:rsidRPr="009C5EBE">
        <w:rPr>
          <w:rFonts w:ascii="Times New Roman" w:hAnsi="Times New Roman" w:cs="Times New Roman"/>
          <w:iCs/>
          <w:sz w:val="24"/>
          <w:szCs w:val="24"/>
        </w:rPr>
        <w:t>Statistical analyses were performed using the Kruskal-Wallis test with Dunn’s multiple comparison test (</w:t>
      </w:r>
      <w:r w:rsidRPr="009C5EBE">
        <w:rPr>
          <w:rFonts w:ascii="Times New Roman" w:hAnsi="Times New Roman" w:cs="Times New Roman"/>
          <w:i/>
          <w:sz w:val="24"/>
          <w:szCs w:val="24"/>
        </w:rPr>
        <w:t>* p</w:t>
      </w:r>
      <w:r w:rsidRPr="009C5EBE">
        <w:rPr>
          <w:rFonts w:ascii="Times New Roman" w:hAnsi="Times New Roman" w:cs="Times New Roman"/>
          <w:iCs/>
          <w:sz w:val="24"/>
          <w:szCs w:val="24"/>
        </w:rPr>
        <w:t>&lt;0.05,</w:t>
      </w:r>
      <w:r w:rsidRPr="009C5EBE">
        <w:rPr>
          <w:rFonts w:ascii="Times New Roman" w:hAnsi="Times New Roman" w:cs="Times New Roman"/>
          <w:i/>
          <w:sz w:val="24"/>
          <w:szCs w:val="24"/>
        </w:rPr>
        <w:t xml:space="preserve"> ** p</w:t>
      </w:r>
      <w:r w:rsidRPr="009C5EBE">
        <w:rPr>
          <w:rFonts w:ascii="Times New Roman" w:hAnsi="Times New Roman" w:cs="Times New Roman"/>
          <w:iCs/>
          <w:sz w:val="24"/>
          <w:szCs w:val="24"/>
        </w:rPr>
        <w:t>&lt;0.01,</w:t>
      </w:r>
      <w:r w:rsidRPr="009C5EBE">
        <w:rPr>
          <w:rFonts w:ascii="Times New Roman" w:hAnsi="Times New Roman" w:cs="Times New Roman"/>
          <w:i/>
          <w:sz w:val="24"/>
          <w:szCs w:val="24"/>
        </w:rPr>
        <w:t xml:space="preserve"> *** p</w:t>
      </w:r>
      <w:r w:rsidRPr="009C5EBE">
        <w:rPr>
          <w:rFonts w:ascii="Times New Roman" w:hAnsi="Times New Roman" w:cs="Times New Roman"/>
          <w:iCs/>
          <w:sz w:val="24"/>
          <w:szCs w:val="24"/>
        </w:rPr>
        <w:t>&lt;0.001,</w:t>
      </w:r>
      <w:r w:rsidRPr="009C5EBE">
        <w:rPr>
          <w:rFonts w:ascii="Times New Roman" w:hAnsi="Times New Roman" w:cs="Times New Roman"/>
          <w:i/>
          <w:sz w:val="24"/>
          <w:szCs w:val="24"/>
        </w:rPr>
        <w:t xml:space="preserve"> **** p</w:t>
      </w:r>
      <w:r w:rsidRPr="009C5EBE">
        <w:rPr>
          <w:rFonts w:ascii="Times New Roman" w:hAnsi="Times New Roman" w:cs="Times New Roman"/>
          <w:iCs/>
          <w:sz w:val="24"/>
          <w:szCs w:val="24"/>
        </w:rPr>
        <w:t>&lt;0.0001).</w:t>
      </w:r>
    </w:p>
    <w:p w14:paraId="592CEE92" w14:textId="6181F3B6" w:rsidR="00891F91" w:rsidRDefault="00891F91" w:rsidP="00375C7A">
      <w:pPr>
        <w:jc w:val="both"/>
        <w:rPr>
          <w:rFonts w:ascii="Times New Roman" w:hAnsi="Times New Roman" w:cs="Times New Roman"/>
          <w:iCs/>
          <w:sz w:val="24"/>
          <w:szCs w:val="24"/>
        </w:rPr>
      </w:pPr>
    </w:p>
    <w:p w14:paraId="516F8A79" w14:textId="2CE4ABA7" w:rsidR="00891F91" w:rsidRDefault="00891F91" w:rsidP="00375C7A">
      <w:pPr>
        <w:jc w:val="both"/>
        <w:rPr>
          <w:rFonts w:ascii="Times New Roman" w:hAnsi="Times New Roman" w:cs="Times New Roman"/>
          <w:iCs/>
          <w:sz w:val="24"/>
          <w:szCs w:val="24"/>
        </w:rPr>
      </w:pPr>
    </w:p>
    <w:p w14:paraId="5B99E13C" w14:textId="3962A426" w:rsidR="00891F91" w:rsidRDefault="00891F91" w:rsidP="00375C7A">
      <w:pPr>
        <w:jc w:val="both"/>
        <w:rPr>
          <w:rFonts w:ascii="Times New Roman" w:hAnsi="Times New Roman" w:cs="Times New Roman"/>
          <w:iCs/>
          <w:sz w:val="24"/>
          <w:szCs w:val="24"/>
        </w:rPr>
      </w:pPr>
    </w:p>
    <w:p w14:paraId="1840081E" w14:textId="6C8AB31E" w:rsidR="00891F91" w:rsidRDefault="00891F91" w:rsidP="00375C7A">
      <w:pPr>
        <w:jc w:val="both"/>
        <w:rPr>
          <w:rFonts w:ascii="Times New Roman" w:hAnsi="Times New Roman" w:cs="Times New Roman"/>
          <w:iCs/>
          <w:sz w:val="24"/>
          <w:szCs w:val="24"/>
        </w:rPr>
      </w:pPr>
    </w:p>
    <w:p w14:paraId="20066582" w14:textId="77777777" w:rsidR="00891F91" w:rsidRPr="009C5EBE" w:rsidRDefault="00891F91" w:rsidP="00375C7A">
      <w:pPr>
        <w:jc w:val="both"/>
        <w:rPr>
          <w:sz w:val="24"/>
          <w:szCs w:val="24"/>
        </w:rPr>
      </w:pPr>
    </w:p>
    <w:p w14:paraId="44DF7BFC" w14:textId="2F2F1B2A" w:rsidR="00891F91" w:rsidRDefault="00891F91" w:rsidP="00375C7A">
      <w:pPr>
        <w:spacing w:after="0" w:line="276" w:lineRule="auto"/>
        <w:jc w:val="both"/>
        <w:rPr>
          <w:rFonts w:ascii="Times New Roman" w:hAnsi="Times New Roman" w:cs="Times New Roman"/>
          <w:b/>
          <w:iCs/>
          <w:sz w:val="24"/>
          <w:szCs w:val="24"/>
        </w:rPr>
      </w:pPr>
      <w:r w:rsidRPr="00891F91">
        <w:rPr>
          <w:rFonts w:ascii="Times New Roman" w:hAnsi="Times New Roman" w:cs="Times New Roman"/>
          <w:b/>
          <w:iCs/>
          <w:noProof/>
          <w:sz w:val="24"/>
          <w:szCs w:val="24"/>
          <w:lang w:val="ru-RU" w:eastAsia="ru-RU"/>
        </w:rPr>
        <w:lastRenderedPageBreak/>
        <w:drawing>
          <wp:inline distT="0" distB="0" distL="0" distR="0" wp14:anchorId="36C51200" wp14:editId="1B38CC12">
            <wp:extent cx="5939790" cy="4563292"/>
            <wp:effectExtent l="0" t="0" r="3810" b="8890"/>
            <wp:docPr id="2" name="Рисунок 2" descr="C:\Users\Denis\Desktop\COVID\Working Draft\Immunoarticle FI\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esktop\COVID\Working Draft\Immunoarticle FI\Fig. 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563292"/>
                    </a:xfrm>
                    <a:prstGeom prst="rect">
                      <a:avLst/>
                    </a:prstGeom>
                    <a:noFill/>
                    <a:ln>
                      <a:noFill/>
                    </a:ln>
                  </pic:spPr>
                </pic:pic>
              </a:graphicData>
            </a:graphic>
          </wp:inline>
        </w:drawing>
      </w:r>
    </w:p>
    <w:p w14:paraId="6EEE6584" w14:textId="6461B74F" w:rsidR="00375C7A" w:rsidRDefault="00375C7A" w:rsidP="00375C7A">
      <w:pPr>
        <w:spacing w:after="0" w:line="276" w:lineRule="auto"/>
        <w:jc w:val="both"/>
        <w:rPr>
          <w:rFonts w:ascii="Times New Roman" w:hAnsi="Times New Roman" w:cs="Times New Roman"/>
          <w:sz w:val="24"/>
          <w:szCs w:val="24"/>
        </w:rPr>
      </w:pPr>
      <w:r w:rsidRPr="00375C7A">
        <w:rPr>
          <w:rFonts w:ascii="Times New Roman" w:hAnsi="Times New Roman" w:cs="Times New Roman"/>
          <w:b/>
          <w:iCs/>
          <w:sz w:val="24"/>
          <w:szCs w:val="24"/>
        </w:rPr>
        <w:t xml:space="preserve">Fig. S2. Comparative </w:t>
      </w:r>
      <w:r w:rsidRPr="00375C7A">
        <w:rPr>
          <w:rFonts w:ascii="Times New Roman" w:eastAsia="Calibri" w:hAnsi="Times New Roman" w:cs="Times New Roman"/>
          <w:b/>
          <w:iCs/>
          <w:sz w:val="24"/>
          <w:szCs w:val="24"/>
        </w:rPr>
        <w:t>analysis</w:t>
      </w:r>
      <w:r w:rsidRPr="00375C7A">
        <w:rPr>
          <w:rFonts w:ascii="Times New Roman" w:hAnsi="Times New Roman" w:cs="Times New Roman"/>
          <w:b/>
          <w:iCs/>
          <w:sz w:val="24"/>
          <w:szCs w:val="24"/>
        </w:rPr>
        <w:t xml:space="preserve"> of cytokine levels between COVID-19 patients regarding sex, age and chronic diseases.</w:t>
      </w:r>
      <w:r w:rsidRPr="00375C7A">
        <w:rPr>
          <w:rFonts w:ascii="Times New Roman" w:hAnsi="Times New Roman" w:cs="Times New Roman"/>
          <w:iCs/>
          <w:sz w:val="24"/>
          <w:szCs w:val="24"/>
        </w:rPr>
        <w:t xml:space="preserve"> </w:t>
      </w:r>
      <w:r w:rsidRPr="009C5EBE">
        <w:rPr>
          <w:rFonts w:ascii="Times New Roman" w:hAnsi="Times New Roman" w:cs="Times New Roman"/>
          <w:b/>
          <w:sz w:val="24"/>
          <w:szCs w:val="24"/>
        </w:rPr>
        <w:t>A.</w:t>
      </w:r>
      <w:r w:rsidRPr="009C5EBE">
        <w:rPr>
          <w:rFonts w:ascii="Times New Roman" w:hAnsi="Times New Roman" w:cs="Times New Roman"/>
          <w:sz w:val="24"/>
          <w:szCs w:val="24"/>
        </w:rPr>
        <w:t xml:space="preserve"> Sex (orange – women, blue – </w:t>
      </w:r>
      <w:r w:rsidRPr="009C5EBE">
        <w:rPr>
          <w:rFonts w:ascii="Times New Roman" w:eastAsia="Calibri" w:hAnsi="Times New Roman" w:cs="Times New Roman"/>
          <w:sz w:val="24"/>
          <w:szCs w:val="24"/>
        </w:rPr>
        <w:t>men</w:t>
      </w:r>
      <w:r w:rsidRPr="009C5EBE">
        <w:rPr>
          <w:rFonts w:ascii="Times New Roman" w:hAnsi="Times New Roman" w:cs="Times New Roman"/>
          <w:sz w:val="24"/>
          <w:szCs w:val="24"/>
        </w:rPr>
        <w:t>);</w:t>
      </w:r>
      <w:r w:rsidRPr="009C5EBE">
        <w:rPr>
          <w:sz w:val="24"/>
          <w:szCs w:val="24"/>
        </w:rPr>
        <w:t xml:space="preserve"> </w:t>
      </w:r>
      <w:r w:rsidRPr="009C5EBE">
        <w:rPr>
          <w:rFonts w:ascii="Times New Roman" w:hAnsi="Times New Roman" w:cs="Times New Roman"/>
          <w:b/>
          <w:sz w:val="24"/>
          <w:szCs w:val="24"/>
        </w:rPr>
        <w:t>B.</w:t>
      </w:r>
      <w:r w:rsidRPr="009C5EBE">
        <w:rPr>
          <w:rFonts w:ascii="Times New Roman" w:hAnsi="Times New Roman" w:cs="Times New Roman"/>
          <w:sz w:val="24"/>
          <w:szCs w:val="24"/>
        </w:rPr>
        <w:t xml:space="preserve"> </w:t>
      </w:r>
      <w:r w:rsidRPr="009C5EBE">
        <w:rPr>
          <w:rFonts w:ascii="Times New Roman" w:eastAsia="Calibri" w:hAnsi="Times New Roman" w:cs="Times New Roman"/>
          <w:sz w:val="24"/>
          <w:szCs w:val="24"/>
        </w:rPr>
        <w:t>comorbidities</w:t>
      </w:r>
      <w:r w:rsidRPr="009C5EBE">
        <w:rPr>
          <w:rFonts w:ascii="Times New Roman" w:hAnsi="Times New Roman" w:cs="Times New Roman"/>
          <w:sz w:val="24"/>
          <w:szCs w:val="24"/>
        </w:rPr>
        <w:t xml:space="preserve"> (orange – COVID-19 patients with comorbidities (CM+), blue - COVID-19 patients without comorbidities (CM-)).</w:t>
      </w:r>
      <w:r w:rsidRPr="009C5EBE">
        <w:rPr>
          <w:rFonts w:ascii="Times New Roman" w:eastAsia="Calibri" w:hAnsi="Times New Roman" w:cs="Times New Roman"/>
          <w:sz w:val="24"/>
          <w:szCs w:val="24"/>
        </w:rPr>
        <w:t xml:space="preserve"> </w:t>
      </w:r>
      <w:r w:rsidRPr="009C5EBE">
        <w:rPr>
          <w:rFonts w:ascii="Times New Roman" w:hAnsi="Times New Roman" w:cs="Times New Roman"/>
          <w:b/>
          <w:sz w:val="24"/>
          <w:szCs w:val="24"/>
        </w:rPr>
        <w:t>C.</w:t>
      </w:r>
      <w:r w:rsidRPr="009C5EBE">
        <w:rPr>
          <w:rFonts w:ascii="Times New Roman" w:hAnsi="Times New Roman" w:cs="Times New Roman"/>
          <w:sz w:val="24"/>
          <w:szCs w:val="24"/>
        </w:rPr>
        <w:t xml:space="preserve"> Age (orange – group less 60 y.o., blue – 60+ y.o. group); </w:t>
      </w:r>
      <w:r w:rsidRPr="009C5EBE">
        <w:rPr>
          <w:rFonts w:ascii="Times New Roman" w:hAnsi="Times New Roman" w:cs="Times New Roman"/>
          <w:b/>
          <w:sz w:val="24"/>
          <w:szCs w:val="24"/>
        </w:rPr>
        <w:t>D.</w:t>
      </w:r>
      <w:r w:rsidRPr="009C5EBE">
        <w:rPr>
          <w:rFonts w:ascii="Times New Roman" w:hAnsi="Times New Roman" w:cs="Times New Roman"/>
          <w:sz w:val="24"/>
          <w:szCs w:val="24"/>
        </w:rPr>
        <w:t xml:space="preserve"> comparative analysis of HD regarding age (&lt;60 and 60+). </w:t>
      </w:r>
      <w:bookmarkStart w:id="0" w:name="OLE_LINK10"/>
      <w:bookmarkStart w:id="1" w:name="OLE_LINK11"/>
      <w:r w:rsidRPr="009C5EBE">
        <w:rPr>
          <w:rFonts w:ascii="Times New Roman" w:hAnsi="Times New Roman" w:cs="Times New Roman"/>
          <w:sz w:val="24"/>
          <w:szCs w:val="24"/>
        </w:rPr>
        <w:t xml:space="preserve">The maximum cytokine concentrations during the course of the disease were analyzed. </w:t>
      </w:r>
      <w:bookmarkEnd w:id="0"/>
      <w:bookmarkEnd w:id="1"/>
      <w:r w:rsidRPr="009C5EBE">
        <w:rPr>
          <w:rFonts w:ascii="Times New Roman" w:hAnsi="Times New Roman" w:cs="Times New Roman"/>
          <w:sz w:val="24"/>
          <w:szCs w:val="24"/>
        </w:rPr>
        <w:t xml:space="preserve">Scatter plots indicating individual measurements (dots); lines represent medians with </w:t>
      </w:r>
      <w:r w:rsidRPr="009C5EBE">
        <w:rPr>
          <w:rFonts w:ascii="Times New Roman" w:eastAsia="Calibri" w:hAnsi="Times New Roman" w:cs="Times New Roman"/>
          <w:sz w:val="24"/>
          <w:szCs w:val="24"/>
        </w:rPr>
        <w:t>95% CIs</w:t>
      </w:r>
      <w:r w:rsidRPr="009C5EBE">
        <w:rPr>
          <w:rFonts w:ascii="Times New Roman" w:hAnsi="Times New Roman" w:cs="Times New Roman"/>
          <w:sz w:val="24"/>
          <w:szCs w:val="24"/>
        </w:rPr>
        <w:t xml:space="preserve">. Statistical analyses were performed using the Mann-Whitney univariate t-test </w:t>
      </w:r>
      <w:r w:rsidRPr="009C5EBE">
        <w:rPr>
          <w:rFonts w:ascii="Times New Roman" w:hAnsi="Times New Roman" w:cs="Times New Roman"/>
          <w:i/>
          <w:iCs/>
          <w:sz w:val="24"/>
          <w:szCs w:val="24"/>
        </w:rPr>
        <w:t>(* p</w:t>
      </w:r>
      <w:r w:rsidRPr="009C5EBE">
        <w:rPr>
          <w:rFonts w:ascii="Times New Roman" w:hAnsi="Times New Roman" w:cs="Times New Roman"/>
          <w:sz w:val="24"/>
          <w:szCs w:val="24"/>
        </w:rPr>
        <w:t>&lt;0.05,</w:t>
      </w:r>
      <w:r w:rsidRPr="009C5EBE">
        <w:rPr>
          <w:rFonts w:ascii="Times New Roman" w:hAnsi="Times New Roman" w:cs="Times New Roman"/>
          <w:i/>
          <w:iCs/>
          <w:sz w:val="24"/>
          <w:szCs w:val="24"/>
        </w:rPr>
        <w:t xml:space="preserve"> ** p</w:t>
      </w:r>
      <w:r w:rsidRPr="009C5EBE">
        <w:rPr>
          <w:rFonts w:ascii="Times New Roman" w:hAnsi="Times New Roman" w:cs="Times New Roman"/>
          <w:sz w:val="24"/>
          <w:szCs w:val="24"/>
        </w:rPr>
        <w:t>&lt;0.01,</w:t>
      </w:r>
      <w:r w:rsidRPr="009C5EBE">
        <w:rPr>
          <w:rFonts w:ascii="Times New Roman" w:hAnsi="Times New Roman" w:cs="Times New Roman"/>
          <w:i/>
          <w:iCs/>
          <w:sz w:val="24"/>
          <w:szCs w:val="24"/>
        </w:rPr>
        <w:t xml:space="preserve"> *** p</w:t>
      </w:r>
      <w:r w:rsidRPr="009C5EBE">
        <w:rPr>
          <w:rFonts w:ascii="Times New Roman" w:hAnsi="Times New Roman" w:cs="Times New Roman"/>
          <w:sz w:val="24"/>
          <w:szCs w:val="24"/>
        </w:rPr>
        <w:t>&lt;0.001</w:t>
      </w:r>
      <w:r w:rsidRPr="009C5EBE">
        <w:rPr>
          <w:rFonts w:ascii="Times New Roman" w:hAnsi="Times New Roman" w:cs="Times New Roman"/>
          <w:i/>
          <w:iCs/>
          <w:sz w:val="24"/>
          <w:szCs w:val="24"/>
        </w:rPr>
        <w:t>, **** p</w:t>
      </w:r>
      <w:r w:rsidRPr="009C5EBE">
        <w:rPr>
          <w:rFonts w:ascii="Times New Roman" w:hAnsi="Times New Roman" w:cs="Times New Roman"/>
          <w:sz w:val="24"/>
          <w:szCs w:val="24"/>
        </w:rPr>
        <w:t xml:space="preserve">&lt;0.0001, </w:t>
      </w:r>
      <w:r w:rsidRPr="009C5EBE">
        <w:rPr>
          <w:rFonts w:ascii="Times New Roman" w:hAnsi="Times New Roman" w:cs="Times New Roman"/>
          <w:i/>
          <w:iCs/>
          <w:sz w:val="24"/>
          <w:szCs w:val="24"/>
        </w:rPr>
        <w:t>ns-</w:t>
      </w:r>
      <w:r w:rsidRPr="009C5EBE">
        <w:rPr>
          <w:rFonts w:ascii="Times New Roman" w:hAnsi="Times New Roman" w:cs="Times New Roman"/>
          <w:sz w:val="24"/>
          <w:szCs w:val="24"/>
        </w:rPr>
        <w:t>not significant).</w:t>
      </w:r>
    </w:p>
    <w:p w14:paraId="13C235A8" w14:textId="0FD0E423" w:rsidR="00891F91" w:rsidRDefault="00891F91" w:rsidP="00375C7A">
      <w:pPr>
        <w:spacing w:after="0" w:line="276" w:lineRule="auto"/>
        <w:jc w:val="both"/>
        <w:rPr>
          <w:rFonts w:ascii="Times New Roman" w:hAnsi="Times New Roman" w:cs="Times New Roman"/>
          <w:sz w:val="24"/>
          <w:szCs w:val="24"/>
        </w:rPr>
      </w:pPr>
    </w:p>
    <w:p w14:paraId="5BCCD491" w14:textId="27E91537" w:rsidR="00891F91" w:rsidRDefault="00891F91" w:rsidP="00375C7A">
      <w:pPr>
        <w:spacing w:after="0" w:line="276" w:lineRule="auto"/>
        <w:jc w:val="both"/>
        <w:rPr>
          <w:rFonts w:ascii="Times New Roman" w:hAnsi="Times New Roman" w:cs="Times New Roman"/>
          <w:sz w:val="24"/>
          <w:szCs w:val="24"/>
        </w:rPr>
      </w:pPr>
    </w:p>
    <w:p w14:paraId="33DFAC75" w14:textId="26E7D74D" w:rsidR="00891F91" w:rsidRDefault="00891F91" w:rsidP="00375C7A">
      <w:pPr>
        <w:spacing w:after="0" w:line="276" w:lineRule="auto"/>
        <w:jc w:val="both"/>
        <w:rPr>
          <w:rFonts w:ascii="Times New Roman" w:hAnsi="Times New Roman" w:cs="Times New Roman"/>
          <w:sz w:val="24"/>
          <w:szCs w:val="24"/>
        </w:rPr>
      </w:pPr>
    </w:p>
    <w:p w14:paraId="273B73CD" w14:textId="2ED6363F" w:rsidR="00891F91" w:rsidRDefault="00891F91" w:rsidP="00375C7A">
      <w:pPr>
        <w:spacing w:after="0" w:line="276" w:lineRule="auto"/>
        <w:jc w:val="both"/>
        <w:rPr>
          <w:rFonts w:ascii="Times New Roman" w:hAnsi="Times New Roman" w:cs="Times New Roman"/>
          <w:sz w:val="24"/>
          <w:szCs w:val="24"/>
        </w:rPr>
      </w:pPr>
    </w:p>
    <w:p w14:paraId="6AEBE042" w14:textId="760727DA" w:rsidR="00891F91" w:rsidRDefault="00891F91" w:rsidP="00375C7A">
      <w:pPr>
        <w:spacing w:after="0" w:line="276" w:lineRule="auto"/>
        <w:jc w:val="both"/>
        <w:rPr>
          <w:rFonts w:ascii="Times New Roman" w:hAnsi="Times New Roman" w:cs="Times New Roman"/>
          <w:sz w:val="24"/>
          <w:szCs w:val="24"/>
        </w:rPr>
      </w:pPr>
    </w:p>
    <w:p w14:paraId="0B90DB59" w14:textId="4F3B9044" w:rsidR="00891F91" w:rsidRDefault="00891F91" w:rsidP="00375C7A">
      <w:pPr>
        <w:spacing w:after="0" w:line="276" w:lineRule="auto"/>
        <w:jc w:val="both"/>
        <w:rPr>
          <w:rFonts w:ascii="Times New Roman" w:hAnsi="Times New Roman" w:cs="Times New Roman"/>
          <w:sz w:val="24"/>
          <w:szCs w:val="24"/>
        </w:rPr>
      </w:pPr>
    </w:p>
    <w:p w14:paraId="3B1A5D9D" w14:textId="7D8632DD" w:rsidR="00891F91" w:rsidRDefault="00891F91" w:rsidP="00375C7A">
      <w:pPr>
        <w:spacing w:after="0" w:line="276" w:lineRule="auto"/>
        <w:jc w:val="both"/>
        <w:rPr>
          <w:rFonts w:ascii="Times New Roman" w:hAnsi="Times New Roman" w:cs="Times New Roman"/>
          <w:sz w:val="24"/>
          <w:szCs w:val="24"/>
        </w:rPr>
      </w:pPr>
    </w:p>
    <w:p w14:paraId="205A3888" w14:textId="403770C7" w:rsidR="00891F91" w:rsidRDefault="00891F91" w:rsidP="00375C7A">
      <w:pPr>
        <w:spacing w:after="0" w:line="276" w:lineRule="auto"/>
        <w:jc w:val="both"/>
        <w:rPr>
          <w:rFonts w:ascii="Times New Roman" w:hAnsi="Times New Roman" w:cs="Times New Roman"/>
          <w:sz w:val="24"/>
          <w:szCs w:val="24"/>
        </w:rPr>
      </w:pPr>
    </w:p>
    <w:p w14:paraId="29EE650D" w14:textId="23555280" w:rsidR="00891F91" w:rsidRDefault="00891F91" w:rsidP="00375C7A">
      <w:pPr>
        <w:spacing w:after="0" w:line="276" w:lineRule="auto"/>
        <w:jc w:val="both"/>
        <w:rPr>
          <w:rFonts w:ascii="Times New Roman" w:hAnsi="Times New Roman" w:cs="Times New Roman"/>
          <w:sz w:val="24"/>
          <w:szCs w:val="24"/>
        </w:rPr>
      </w:pPr>
    </w:p>
    <w:p w14:paraId="1B4AB9B1" w14:textId="16CE9755" w:rsidR="00891F91" w:rsidRDefault="00891F91" w:rsidP="00375C7A">
      <w:pPr>
        <w:spacing w:after="0" w:line="276" w:lineRule="auto"/>
        <w:jc w:val="both"/>
        <w:rPr>
          <w:rFonts w:ascii="Times New Roman" w:hAnsi="Times New Roman" w:cs="Times New Roman"/>
          <w:sz w:val="24"/>
          <w:szCs w:val="24"/>
        </w:rPr>
      </w:pPr>
    </w:p>
    <w:p w14:paraId="0E904FEE" w14:textId="63807D8B" w:rsidR="00891F91" w:rsidRDefault="00891F91" w:rsidP="00375C7A">
      <w:pPr>
        <w:spacing w:after="0" w:line="276" w:lineRule="auto"/>
        <w:jc w:val="both"/>
        <w:rPr>
          <w:rFonts w:ascii="Times New Roman" w:hAnsi="Times New Roman" w:cs="Times New Roman"/>
          <w:sz w:val="24"/>
          <w:szCs w:val="24"/>
        </w:rPr>
      </w:pPr>
    </w:p>
    <w:p w14:paraId="535D348E" w14:textId="65EBA535" w:rsidR="00891F91" w:rsidRDefault="00891F91" w:rsidP="00375C7A">
      <w:pPr>
        <w:spacing w:after="0" w:line="276" w:lineRule="auto"/>
        <w:jc w:val="both"/>
        <w:rPr>
          <w:rFonts w:ascii="Times New Roman" w:hAnsi="Times New Roman" w:cs="Times New Roman"/>
          <w:sz w:val="24"/>
          <w:szCs w:val="24"/>
        </w:rPr>
      </w:pPr>
    </w:p>
    <w:p w14:paraId="1C2DCBC1" w14:textId="15A156AC" w:rsidR="00891F91" w:rsidRDefault="00891F91" w:rsidP="00375C7A">
      <w:pPr>
        <w:spacing w:after="0" w:line="276" w:lineRule="auto"/>
        <w:jc w:val="both"/>
        <w:rPr>
          <w:rFonts w:ascii="Times New Roman" w:hAnsi="Times New Roman" w:cs="Times New Roman"/>
          <w:sz w:val="24"/>
          <w:szCs w:val="24"/>
        </w:rPr>
      </w:pPr>
    </w:p>
    <w:p w14:paraId="6986C6DE" w14:textId="44E1CE00" w:rsidR="00891F91" w:rsidRDefault="00891F91" w:rsidP="00375C7A">
      <w:pPr>
        <w:spacing w:after="0" w:line="276" w:lineRule="auto"/>
        <w:jc w:val="both"/>
        <w:rPr>
          <w:rFonts w:ascii="Times New Roman" w:hAnsi="Times New Roman" w:cs="Times New Roman"/>
          <w:sz w:val="24"/>
          <w:szCs w:val="24"/>
        </w:rPr>
      </w:pPr>
    </w:p>
    <w:p w14:paraId="25A8A7E6" w14:textId="3C72EEF7" w:rsidR="00891F91" w:rsidRDefault="00891F91" w:rsidP="00375C7A">
      <w:pPr>
        <w:spacing w:after="0" w:line="276" w:lineRule="auto"/>
        <w:jc w:val="both"/>
        <w:rPr>
          <w:rFonts w:ascii="Times New Roman" w:hAnsi="Times New Roman" w:cs="Times New Roman"/>
          <w:sz w:val="24"/>
          <w:szCs w:val="24"/>
        </w:rPr>
      </w:pPr>
    </w:p>
    <w:p w14:paraId="20465F5F" w14:textId="563BA0F9" w:rsidR="00891F91" w:rsidRPr="009C5EBE" w:rsidRDefault="00891F91" w:rsidP="00375C7A">
      <w:pPr>
        <w:spacing w:after="0" w:line="276" w:lineRule="auto"/>
        <w:jc w:val="both"/>
        <w:rPr>
          <w:rFonts w:ascii="Times New Roman" w:hAnsi="Times New Roman" w:cs="Times New Roman"/>
          <w:sz w:val="24"/>
          <w:szCs w:val="24"/>
        </w:rPr>
      </w:pPr>
      <w:r w:rsidRPr="00891F91">
        <w:rPr>
          <w:rFonts w:ascii="Times New Roman" w:hAnsi="Times New Roman" w:cs="Times New Roman"/>
          <w:noProof/>
          <w:sz w:val="24"/>
          <w:szCs w:val="24"/>
          <w:lang w:val="ru-RU" w:eastAsia="ru-RU"/>
        </w:rPr>
        <w:lastRenderedPageBreak/>
        <w:drawing>
          <wp:inline distT="0" distB="0" distL="0" distR="0" wp14:anchorId="4D8AF58B" wp14:editId="744F2835">
            <wp:extent cx="5939790" cy="7603358"/>
            <wp:effectExtent l="0" t="0" r="3810" b="0"/>
            <wp:docPr id="3" name="Рисунок 3" descr="C:\Users\Denis\Desktop\COVID\Working Draft\Immunoarticle FI\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Desktop\COVID\Working Draft\Immunoarticle FI\Fig. 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7603358"/>
                    </a:xfrm>
                    <a:prstGeom prst="rect">
                      <a:avLst/>
                    </a:prstGeom>
                    <a:noFill/>
                    <a:ln>
                      <a:noFill/>
                    </a:ln>
                  </pic:spPr>
                </pic:pic>
              </a:graphicData>
            </a:graphic>
          </wp:inline>
        </w:drawing>
      </w:r>
    </w:p>
    <w:p w14:paraId="1CA4602A" w14:textId="5C04FCCE" w:rsidR="00375C7A" w:rsidRDefault="00375C7A" w:rsidP="00375C7A">
      <w:pPr>
        <w:jc w:val="both"/>
        <w:rPr>
          <w:rFonts w:ascii="Times New Roman" w:hAnsi="Times New Roman" w:cs="Times New Roman"/>
          <w:sz w:val="24"/>
          <w:szCs w:val="24"/>
        </w:rPr>
      </w:pPr>
      <w:r w:rsidRPr="00375C7A">
        <w:rPr>
          <w:rFonts w:ascii="Times New Roman" w:hAnsi="Times New Roman" w:cs="Times New Roman"/>
          <w:b/>
          <w:sz w:val="24"/>
          <w:szCs w:val="24"/>
        </w:rPr>
        <w:t xml:space="preserve">Fig. S3. Comparative </w:t>
      </w:r>
      <w:r w:rsidRPr="00375C7A">
        <w:rPr>
          <w:rFonts w:ascii="Times New Roman" w:eastAsia="Calibri" w:hAnsi="Times New Roman" w:cs="Times New Roman"/>
          <w:b/>
          <w:sz w:val="24"/>
          <w:szCs w:val="24"/>
        </w:rPr>
        <w:t>analyses</w:t>
      </w:r>
      <w:r w:rsidRPr="00375C7A">
        <w:rPr>
          <w:rFonts w:ascii="Times New Roman" w:hAnsi="Times New Roman" w:cs="Times New Roman"/>
          <w:b/>
          <w:sz w:val="24"/>
          <w:szCs w:val="24"/>
        </w:rPr>
        <w:t xml:space="preserve"> of cytokine levels between COVID-19 patients regarding chronic diseases.</w:t>
      </w:r>
      <w:r w:rsidRPr="00375C7A">
        <w:rPr>
          <w:rFonts w:ascii="Times New Roman" w:hAnsi="Times New Roman" w:cs="Times New Roman"/>
          <w:sz w:val="24"/>
          <w:szCs w:val="24"/>
        </w:rPr>
        <w:t xml:space="preserve"> </w:t>
      </w:r>
      <w:r w:rsidRPr="009C5EBE">
        <w:rPr>
          <w:rFonts w:ascii="Times New Roman" w:hAnsi="Times New Roman" w:cs="Times New Roman"/>
          <w:b/>
          <w:sz w:val="24"/>
          <w:szCs w:val="24"/>
        </w:rPr>
        <w:t xml:space="preserve">A. </w:t>
      </w:r>
      <w:r w:rsidRPr="009C5EBE">
        <w:rPr>
          <w:rFonts w:ascii="Times New Roman" w:hAnsi="Times New Roman" w:cs="Times New Roman"/>
          <w:sz w:val="24"/>
          <w:szCs w:val="24"/>
        </w:rPr>
        <w:t>With or without cardiovascular diseases (</w:t>
      </w:r>
      <w:r w:rsidRPr="009C5EBE">
        <w:rPr>
          <w:rFonts w:ascii="Times New Roman" w:eastAsia="Calibri" w:hAnsi="Times New Roman" w:cs="Times New Roman"/>
          <w:sz w:val="24"/>
          <w:szCs w:val="24"/>
        </w:rPr>
        <w:t>CVDs</w:t>
      </w:r>
      <w:r w:rsidRPr="009C5EBE">
        <w:rPr>
          <w:rFonts w:ascii="Times New Roman" w:hAnsi="Times New Roman" w:cs="Times New Roman"/>
          <w:sz w:val="24"/>
          <w:szCs w:val="24"/>
        </w:rPr>
        <w:t xml:space="preserve">); </w:t>
      </w:r>
      <w:r w:rsidRPr="009C5EBE">
        <w:rPr>
          <w:rFonts w:ascii="Times New Roman" w:hAnsi="Times New Roman" w:cs="Times New Roman"/>
          <w:b/>
          <w:sz w:val="24"/>
          <w:szCs w:val="24"/>
        </w:rPr>
        <w:t>B</w:t>
      </w:r>
      <w:r w:rsidRPr="009C5EBE">
        <w:rPr>
          <w:rFonts w:ascii="Times New Roman" w:hAnsi="Times New Roman" w:cs="Times New Roman"/>
          <w:sz w:val="24"/>
          <w:szCs w:val="24"/>
        </w:rPr>
        <w:t xml:space="preserve">. </w:t>
      </w:r>
      <w:r w:rsidRPr="009C5EBE">
        <w:rPr>
          <w:rFonts w:ascii="Times New Roman" w:eastAsia="Calibri" w:hAnsi="Times New Roman" w:cs="Times New Roman"/>
          <w:sz w:val="24"/>
          <w:szCs w:val="24"/>
        </w:rPr>
        <w:t>with</w:t>
      </w:r>
      <w:r w:rsidRPr="009C5EBE">
        <w:rPr>
          <w:rFonts w:ascii="Times New Roman" w:hAnsi="Times New Roman" w:cs="Times New Roman"/>
          <w:sz w:val="24"/>
          <w:szCs w:val="24"/>
        </w:rPr>
        <w:t xml:space="preserve"> or without chronic obstructive pulmonary diseases (COPD); </w:t>
      </w:r>
      <w:r w:rsidRPr="009C5EBE">
        <w:rPr>
          <w:rFonts w:ascii="Times New Roman" w:hAnsi="Times New Roman" w:cs="Times New Roman"/>
          <w:b/>
          <w:sz w:val="24"/>
          <w:szCs w:val="24"/>
        </w:rPr>
        <w:t>C.</w:t>
      </w:r>
      <w:r w:rsidRPr="009C5EBE">
        <w:rPr>
          <w:rFonts w:ascii="Times New Roman" w:hAnsi="Times New Roman" w:cs="Times New Roman"/>
          <w:sz w:val="24"/>
          <w:szCs w:val="24"/>
        </w:rPr>
        <w:t xml:space="preserve"> </w:t>
      </w:r>
      <w:r w:rsidRPr="009C5EBE">
        <w:rPr>
          <w:rFonts w:ascii="Times New Roman" w:eastAsia="Calibri" w:hAnsi="Times New Roman" w:cs="Times New Roman"/>
          <w:sz w:val="24"/>
          <w:szCs w:val="24"/>
        </w:rPr>
        <w:t>with</w:t>
      </w:r>
      <w:r w:rsidRPr="009C5EBE">
        <w:rPr>
          <w:rFonts w:ascii="Times New Roman" w:hAnsi="Times New Roman" w:cs="Times New Roman"/>
          <w:sz w:val="24"/>
          <w:szCs w:val="24"/>
        </w:rPr>
        <w:t xml:space="preserve"> or without bronchial asthma+COPD; </w:t>
      </w:r>
      <w:r w:rsidRPr="009C5EBE">
        <w:rPr>
          <w:rFonts w:ascii="Times New Roman" w:hAnsi="Times New Roman" w:cs="Times New Roman"/>
          <w:b/>
          <w:sz w:val="24"/>
          <w:szCs w:val="24"/>
        </w:rPr>
        <w:t>D.</w:t>
      </w:r>
      <w:r w:rsidRPr="009C5EBE">
        <w:rPr>
          <w:rFonts w:ascii="Times New Roman" w:hAnsi="Times New Roman" w:cs="Times New Roman"/>
          <w:sz w:val="24"/>
          <w:szCs w:val="24"/>
        </w:rPr>
        <w:t xml:space="preserve"> </w:t>
      </w:r>
      <w:r w:rsidRPr="009C5EBE">
        <w:rPr>
          <w:rFonts w:ascii="Times New Roman" w:eastAsia="Calibri" w:hAnsi="Times New Roman" w:cs="Times New Roman"/>
          <w:sz w:val="24"/>
          <w:szCs w:val="24"/>
        </w:rPr>
        <w:t>with</w:t>
      </w:r>
      <w:r w:rsidRPr="009C5EBE">
        <w:rPr>
          <w:rFonts w:ascii="Times New Roman" w:hAnsi="Times New Roman" w:cs="Times New Roman"/>
          <w:sz w:val="24"/>
          <w:szCs w:val="24"/>
        </w:rPr>
        <w:t xml:space="preserve"> or without diabetes; </w:t>
      </w:r>
      <w:r w:rsidRPr="009C5EBE">
        <w:rPr>
          <w:rFonts w:ascii="Times New Roman" w:hAnsi="Times New Roman" w:cs="Times New Roman"/>
          <w:b/>
          <w:sz w:val="24"/>
          <w:szCs w:val="24"/>
        </w:rPr>
        <w:t xml:space="preserve">E. </w:t>
      </w:r>
      <w:r w:rsidRPr="009C5EBE">
        <w:rPr>
          <w:rFonts w:ascii="Times New Roman" w:eastAsia="Calibri" w:hAnsi="Times New Roman" w:cs="Times New Roman"/>
          <w:sz w:val="24"/>
          <w:szCs w:val="24"/>
        </w:rPr>
        <w:t>with</w:t>
      </w:r>
      <w:r w:rsidRPr="009C5EBE">
        <w:rPr>
          <w:rFonts w:ascii="Times New Roman" w:hAnsi="Times New Roman" w:cs="Times New Roman"/>
          <w:sz w:val="24"/>
          <w:szCs w:val="24"/>
        </w:rPr>
        <w:t xml:space="preserve"> or without rheumatic disease; </w:t>
      </w:r>
      <w:r w:rsidRPr="009C5EBE">
        <w:rPr>
          <w:rFonts w:ascii="Times New Roman" w:hAnsi="Times New Roman" w:cs="Times New Roman"/>
          <w:b/>
          <w:sz w:val="24"/>
          <w:szCs w:val="24"/>
        </w:rPr>
        <w:t>F.</w:t>
      </w:r>
      <w:r w:rsidRPr="009C5EBE">
        <w:rPr>
          <w:rFonts w:ascii="Times New Roman" w:hAnsi="Times New Roman" w:cs="Times New Roman"/>
          <w:sz w:val="24"/>
          <w:szCs w:val="24"/>
        </w:rPr>
        <w:t xml:space="preserve"> </w:t>
      </w:r>
      <w:r w:rsidRPr="009C5EBE">
        <w:rPr>
          <w:rFonts w:ascii="Times New Roman" w:eastAsia="Calibri" w:hAnsi="Times New Roman" w:cs="Times New Roman"/>
          <w:sz w:val="24"/>
          <w:szCs w:val="24"/>
        </w:rPr>
        <w:t>with</w:t>
      </w:r>
      <w:r w:rsidRPr="009C5EBE">
        <w:rPr>
          <w:rFonts w:ascii="Times New Roman" w:hAnsi="Times New Roman" w:cs="Times New Roman"/>
          <w:sz w:val="24"/>
          <w:szCs w:val="24"/>
        </w:rPr>
        <w:t xml:space="preserve"> or without obesity. Lines represent medians with 95%CIs. Statistical analyses were performed using the Mann-Whitney univariate t-test</w:t>
      </w:r>
      <w:r w:rsidRPr="009C5EBE">
        <w:rPr>
          <w:rFonts w:ascii="Times New Roman" w:hAnsi="Times New Roman" w:cs="Times New Roman"/>
          <w:i/>
          <w:iCs/>
          <w:sz w:val="24"/>
          <w:szCs w:val="24"/>
        </w:rPr>
        <w:t xml:space="preserve"> (* p</w:t>
      </w:r>
      <w:r w:rsidRPr="009C5EBE">
        <w:rPr>
          <w:rFonts w:ascii="Times New Roman" w:hAnsi="Times New Roman" w:cs="Times New Roman"/>
          <w:sz w:val="24"/>
          <w:szCs w:val="24"/>
        </w:rPr>
        <w:t>&lt;0.05,</w:t>
      </w:r>
      <w:r w:rsidRPr="009C5EBE">
        <w:rPr>
          <w:rFonts w:ascii="Times New Roman" w:hAnsi="Times New Roman" w:cs="Times New Roman"/>
          <w:i/>
          <w:iCs/>
          <w:sz w:val="24"/>
          <w:szCs w:val="24"/>
        </w:rPr>
        <w:t xml:space="preserve"> ** p</w:t>
      </w:r>
      <w:r w:rsidRPr="009C5EBE">
        <w:rPr>
          <w:rFonts w:ascii="Times New Roman" w:hAnsi="Times New Roman" w:cs="Times New Roman"/>
          <w:sz w:val="24"/>
          <w:szCs w:val="24"/>
        </w:rPr>
        <w:t>&lt;0.01,</w:t>
      </w:r>
      <w:r w:rsidRPr="009C5EBE">
        <w:rPr>
          <w:rFonts w:ascii="Times New Roman" w:hAnsi="Times New Roman" w:cs="Times New Roman"/>
          <w:i/>
          <w:iCs/>
          <w:sz w:val="24"/>
          <w:szCs w:val="24"/>
        </w:rPr>
        <w:t xml:space="preserve"> *** </w:t>
      </w:r>
      <w:r w:rsidRPr="009C5EBE">
        <w:rPr>
          <w:rFonts w:ascii="Times New Roman" w:hAnsi="Times New Roman" w:cs="Times New Roman"/>
          <w:sz w:val="24"/>
          <w:szCs w:val="24"/>
        </w:rPr>
        <w:t>p&lt;0.001,</w:t>
      </w:r>
      <w:r w:rsidRPr="009C5EBE">
        <w:rPr>
          <w:rFonts w:ascii="Times New Roman" w:hAnsi="Times New Roman" w:cs="Times New Roman"/>
          <w:i/>
          <w:iCs/>
          <w:sz w:val="24"/>
          <w:szCs w:val="24"/>
        </w:rPr>
        <w:t xml:space="preserve"> **** p</w:t>
      </w:r>
      <w:r w:rsidRPr="009C5EBE">
        <w:rPr>
          <w:rFonts w:ascii="Times New Roman" w:hAnsi="Times New Roman" w:cs="Times New Roman"/>
          <w:sz w:val="24"/>
          <w:szCs w:val="24"/>
        </w:rPr>
        <w:t xml:space="preserve">&lt;0.0001, </w:t>
      </w:r>
      <w:r w:rsidRPr="009C5EBE">
        <w:rPr>
          <w:rFonts w:ascii="Times New Roman" w:hAnsi="Times New Roman" w:cs="Times New Roman"/>
          <w:i/>
          <w:iCs/>
          <w:sz w:val="24"/>
          <w:szCs w:val="24"/>
        </w:rPr>
        <w:t>ns-</w:t>
      </w:r>
      <w:r w:rsidRPr="009C5EBE">
        <w:rPr>
          <w:rFonts w:ascii="Times New Roman" w:hAnsi="Times New Roman" w:cs="Times New Roman"/>
          <w:sz w:val="24"/>
          <w:szCs w:val="24"/>
        </w:rPr>
        <w:t>not significant).</w:t>
      </w:r>
    </w:p>
    <w:p w14:paraId="466351CA" w14:textId="77777777" w:rsidR="00891F91" w:rsidRPr="009C5EBE" w:rsidRDefault="00891F91" w:rsidP="00375C7A">
      <w:pPr>
        <w:jc w:val="both"/>
        <w:rPr>
          <w:rFonts w:ascii="Times New Roman" w:hAnsi="Times New Roman" w:cs="Times New Roman"/>
          <w:sz w:val="24"/>
          <w:szCs w:val="24"/>
        </w:rPr>
      </w:pPr>
    </w:p>
    <w:p w14:paraId="6F1103D8" w14:textId="2032ABAC" w:rsidR="00891F91" w:rsidRDefault="00891F91" w:rsidP="00891F91">
      <w:pPr>
        <w:spacing w:line="240" w:lineRule="auto"/>
        <w:jc w:val="center"/>
        <w:rPr>
          <w:rFonts w:ascii="Times New Roman" w:hAnsi="Times New Roman" w:cs="Times New Roman"/>
          <w:b/>
          <w:iCs/>
          <w:sz w:val="24"/>
          <w:szCs w:val="24"/>
        </w:rPr>
      </w:pPr>
      <w:r w:rsidRPr="00891F91">
        <w:rPr>
          <w:rFonts w:ascii="Times New Roman" w:hAnsi="Times New Roman" w:cs="Times New Roman"/>
          <w:b/>
          <w:iCs/>
          <w:noProof/>
          <w:sz w:val="24"/>
          <w:szCs w:val="24"/>
          <w:lang w:val="ru-RU" w:eastAsia="ru-RU"/>
        </w:rPr>
        <w:lastRenderedPageBreak/>
        <w:drawing>
          <wp:inline distT="0" distB="0" distL="0" distR="0" wp14:anchorId="2FAB2175" wp14:editId="198C656D">
            <wp:extent cx="5037901" cy="7831572"/>
            <wp:effectExtent l="0" t="0" r="0" b="0"/>
            <wp:docPr id="4" name="Рисунок 4" descr="C:\Users\Denis\Desktop\COVID\Working Draft\Immunoarticle FI\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Desktop\COVID\Working Draft\Immunoarticle FI\Fig. S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768" cy="7836029"/>
                    </a:xfrm>
                    <a:prstGeom prst="rect">
                      <a:avLst/>
                    </a:prstGeom>
                    <a:noFill/>
                    <a:ln>
                      <a:noFill/>
                    </a:ln>
                  </pic:spPr>
                </pic:pic>
              </a:graphicData>
            </a:graphic>
          </wp:inline>
        </w:drawing>
      </w:r>
    </w:p>
    <w:p w14:paraId="6F6BB0FE" w14:textId="1D7D6825" w:rsidR="00375C7A" w:rsidRPr="009C5EBE" w:rsidRDefault="00375C7A" w:rsidP="00375C7A">
      <w:pPr>
        <w:spacing w:line="240" w:lineRule="auto"/>
        <w:jc w:val="both"/>
        <w:rPr>
          <w:rFonts w:ascii="Times New Roman" w:hAnsi="Times New Roman" w:cs="Times New Roman"/>
          <w:i/>
          <w:sz w:val="24"/>
          <w:szCs w:val="24"/>
        </w:rPr>
      </w:pPr>
      <w:r w:rsidRPr="00375C7A">
        <w:rPr>
          <w:rFonts w:ascii="Times New Roman" w:hAnsi="Times New Roman" w:cs="Times New Roman"/>
          <w:b/>
          <w:iCs/>
          <w:sz w:val="24"/>
          <w:szCs w:val="24"/>
        </w:rPr>
        <w:t xml:space="preserve">Fig. S4. Dynamics of serum </w:t>
      </w:r>
      <w:r w:rsidRPr="00375C7A">
        <w:rPr>
          <w:rFonts w:ascii="Times New Roman" w:eastAsia="Calibri" w:hAnsi="Times New Roman" w:cs="Times New Roman"/>
          <w:b/>
          <w:iCs/>
          <w:sz w:val="24"/>
          <w:szCs w:val="24"/>
        </w:rPr>
        <w:t>cytokine</w:t>
      </w:r>
      <w:r w:rsidRPr="00375C7A">
        <w:rPr>
          <w:rFonts w:ascii="Times New Roman" w:hAnsi="Times New Roman" w:cs="Times New Roman"/>
          <w:b/>
          <w:iCs/>
          <w:sz w:val="24"/>
          <w:szCs w:val="24"/>
        </w:rPr>
        <w:t xml:space="preserve"> levels during the disease course in the general COVID-19</w:t>
      </w:r>
      <w:r w:rsidRPr="00375C7A">
        <w:rPr>
          <w:rFonts w:ascii="Times New Roman" w:eastAsia="Calibri" w:hAnsi="Times New Roman" w:cs="Times New Roman"/>
          <w:b/>
          <w:iCs/>
          <w:sz w:val="24"/>
          <w:szCs w:val="24"/>
        </w:rPr>
        <w:t xml:space="preserve"> patient</w:t>
      </w:r>
      <w:r w:rsidRPr="00375C7A">
        <w:rPr>
          <w:rFonts w:ascii="Times New Roman" w:hAnsi="Times New Roman" w:cs="Times New Roman"/>
          <w:b/>
          <w:iCs/>
          <w:sz w:val="24"/>
          <w:szCs w:val="24"/>
        </w:rPr>
        <w:t xml:space="preserve"> cohort. </w:t>
      </w:r>
      <w:r w:rsidRPr="009C5EBE">
        <w:rPr>
          <w:rFonts w:ascii="Times New Roman" w:hAnsi="Times New Roman" w:cs="Times New Roman"/>
          <w:iCs/>
          <w:sz w:val="24"/>
          <w:szCs w:val="24"/>
        </w:rPr>
        <w:t xml:space="preserve">Dynamics were measured in terms of days from </w:t>
      </w:r>
      <w:r w:rsidRPr="009C5EBE">
        <w:rPr>
          <w:rFonts w:ascii="Times New Roman" w:eastAsia="Calibri" w:hAnsi="Times New Roman" w:cs="Times New Roman"/>
          <w:iCs/>
          <w:sz w:val="24"/>
          <w:szCs w:val="24"/>
        </w:rPr>
        <w:t>symptom</w:t>
      </w:r>
      <w:r w:rsidRPr="009C5EBE">
        <w:rPr>
          <w:rFonts w:ascii="Times New Roman" w:hAnsi="Times New Roman" w:cs="Times New Roman"/>
          <w:iCs/>
          <w:sz w:val="24"/>
          <w:szCs w:val="24"/>
        </w:rPr>
        <w:t xml:space="preserve"> onset. All time points of sample collection from 444 patients were stratified into four intervals of 7 days starting from </w:t>
      </w:r>
      <w:r w:rsidRPr="009C5EBE">
        <w:rPr>
          <w:rFonts w:ascii="Times New Roman" w:eastAsia="Calibri" w:hAnsi="Times New Roman" w:cs="Times New Roman"/>
          <w:iCs/>
          <w:sz w:val="24"/>
          <w:szCs w:val="24"/>
        </w:rPr>
        <w:t>symptom</w:t>
      </w:r>
      <w:r w:rsidRPr="009C5EBE">
        <w:rPr>
          <w:rFonts w:ascii="Times New Roman" w:hAnsi="Times New Roman" w:cs="Times New Roman"/>
          <w:iCs/>
          <w:sz w:val="24"/>
          <w:szCs w:val="24"/>
        </w:rPr>
        <w:t xml:space="preserve"> onset. Healthy donors (HD) include 66 individuals. Dots show individual measurements</w:t>
      </w:r>
      <w:r w:rsidRPr="009C5EBE">
        <w:rPr>
          <w:rFonts w:ascii="Times New Roman" w:eastAsia="Calibri" w:hAnsi="Times New Roman" w:cs="Times New Roman"/>
          <w:iCs/>
          <w:sz w:val="24"/>
          <w:szCs w:val="24"/>
        </w:rPr>
        <w:t>;</w:t>
      </w:r>
      <w:r w:rsidRPr="009C5EBE">
        <w:rPr>
          <w:rFonts w:ascii="Times New Roman" w:hAnsi="Times New Roman" w:cs="Times New Roman"/>
          <w:iCs/>
          <w:sz w:val="24"/>
          <w:szCs w:val="24"/>
        </w:rPr>
        <w:t xml:space="preserve"> lines present medians with 95% </w:t>
      </w:r>
      <w:r w:rsidRPr="009C5EBE">
        <w:rPr>
          <w:rFonts w:ascii="Times New Roman" w:eastAsia="Calibri" w:hAnsi="Times New Roman" w:cs="Times New Roman"/>
          <w:iCs/>
          <w:sz w:val="24"/>
          <w:szCs w:val="24"/>
        </w:rPr>
        <w:t>CIs</w:t>
      </w:r>
      <w:r w:rsidRPr="009C5EBE">
        <w:rPr>
          <w:rFonts w:ascii="Times New Roman" w:hAnsi="Times New Roman" w:cs="Times New Roman"/>
          <w:iCs/>
          <w:sz w:val="24"/>
          <w:szCs w:val="24"/>
        </w:rPr>
        <w:t xml:space="preserve">. Light red </w:t>
      </w:r>
      <w:r w:rsidRPr="009C5EBE">
        <w:rPr>
          <w:rFonts w:ascii="Times New Roman" w:eastAsia="Calibri" w:hAnsi="Times New Roman" w:cs="Times New Roman"/>
          <w:iCs/>
          <w:sz w:val="24"/>
          <w:szCs w:val="24"/>
        </w:rPr>
        <w:t>indicates</w:t>
      </w:r>
      <w:r w:rsidRPr="009C5EBE">
        <w:rPr>
          <w:rFonts w:ascii="Times New Roman" w:hAnsi="Times New Roman" w:cs="Times New Roman"/>
          <w:iCs/>
          <w:sz w:val="24"/>
          <w:szCs w:val="24"/>
        </w:rPr>
        <w:t xml:space="preserve"> “early” cytokines; light blue </w:t>
      </w:r>
      <w:r w:rsidRPr="009C5EBE">
        <w:rPr>
          <w:rFonts w:ascii="Times New Roman" w:eastAsia="Calibri" w:hAnsi="Times New Roman" w:cs="Times New Roman"/>
          <w:iCs/>
          <w:sz w:val="24"/>
          <w:szCs w:val="24"/>
        </w:rPr>
        <w:t xml:space="preserve">indicates </w:t>
      </w:r>
      <w:r w:rsidRPr="009C5EBE">
        <w:rPr>
          <w:rFonts w:ascii="Times New Roman" w:hAnsi="Times New Roman" w:cs="Times New Roman"/>
          <w:iCs/>
          <w:sz w:val="24"/>
          <w:szCs w:val="24"/>
        </w:rPr>
        <w:t>“late” cytokines. Groups were compared using the Kruskal-Wallis test with Dunn’s post hoc</w:t>
      </w:r>
      <w:r w:rsidRPr="009C5EBE">
        <w:rPr>
          <w:rFonts w:ascii="Times New Roman" w:eastAsia="Calibri" w:hAnsi="Times New Roman" w:cs="Times New Roman"/>
          <w:i/>
          <w:sz w:val="24"/>
          <w:szCs w:val="24"/>
        </w:rPr>
        <w:t xml:space="preserve"> </w:t>
      </w:r>
      <w:r w:rsidRPr="009C5EBE">
        <w:rPr>
          <w:rFonts w:ascii="Times New Roman" w:eastAsia="Calibri" w:hAnsi="Times New Roman" w:cs="Times New Roman"/>
          <w:iCs/>
          <w:sz w:val="24"/>
          <w:szCs w:val="24"/>
        </w:rPr>
        <w:t>test</w:t>
      </w:r>
      <w:r w:rsidRPr="009C5EBE">
        <w:rPr>
          <w:rFonts w:ascii="Times New Roman" w:eastAsia="Calibri" w:hAnsi="Times New Roman" w:cs="Times New Roman"/>
          <w:i/>
          <w:sz w:val="24"/>
          <w:szCs w:val="24"/>
        </w:rPr>
        <w:t xml:space="preserve">. </w:t>
      </w:r>
      <w:r w:rsidRPr="009C5EBE">
        <w:rPr>
          <w:rFonts w:ascii="Times New Roman" w:hAnsi="Times New Roman" w:cs="Times New Roman"/>
          <w:i/>
          <w:sz w:val="24"/>
          <w:szCs w:val="24"/>
        </w:rPr>
        <w:t>*p&lt;</w:t>
      </w:r>
      <w:r w:rsidRPr="009C5EBE">
        <w:rPr>
          <w:rFonts w:ascii="Times New Roman" w:hAnsi="Times New Roman" w:cs="Times New Roman"/>
          <w:iCs/>
          <w:sz w:val="24"/>
          <w:szCs w:val="24"/>
        </w:rPr>
        <w:t>0.05</w:t>
      </w:r>
      <w:r w:rsidRPr="009C5EBE">
        <w:rPr>
          <w:rFonts w:ascii="Times New Roman" w:hAnsi="Times New Roman" w:cs="Times New Roman"/>
          <w:i/>
          <w:sz w:val="24"/>
          <w:szCs w:val="24"/>
        </w:rPr>
        <w:t>, **p&lt;</w:t>
      </w:r>
      <w:r w:rsidRPr="009C5EBE">
        <w:rPr>
          <w:rFonts w:ascii="Times New Roman" w:hAnsi="Times New Roman" w:cs="Times New Roman"/>
          <w:iCs/>
          <w:sz w:val="24"/>
          <w:szCs w:val="24"/>
        </w:rPr>
        <w:t>0.01</w:t>
      </w:r>
      <w:r w:rsidRPr="009C5EBE">
        <w:rPr>
          <w:rFonts w:ascii="Times New Roman" w:hAnsi="Times New Roman" w:cs="Times New Roman"/>
          <w:i/>
          <w:sz w:val="24"/>
          <w:szCs w:val="24"/>
        </w:rPr>
        <w:t>, ***p&lt;</w:t>
      </w:r>
      <w:r w:rsidRPr="009C5EBE">
        <w:rPr>
          <w:rFonts w:ascii="Times New Roman" w:hAnsi="Times New Roman" w:cs="Times New Roman"/>
          <w:iCs/>
          <w:sz w:val="24"/>
          <w:szCs w:val="24"/>
        </w:rPr>
        <w:t>0.001</w:t>
      </w:r>
      <w:r w:rsidRPr="009C5EBE">
        <w:rPr>
          <w:rFonts w:ascii="Times New Roman" w:hAnsi="Times New Roman" w:cs="Times New Roman"/>
          <w:i/>
          <w:sz w:val="24"/>
          <w:szCs w:val="24"/>
        </w:rPr>
        <w:t>, ****p&lt;</w:t>
      </w:r>
      <w:r w:rsidRPr="009C5EBE">
        <w:rPr>
          <w:rFonts w:ascii="Times New Roman" w:hAnsi="Times New Roman" w:cs="Times New Roman"/>
          <w:iCs/>
          <w:sz w:val="24"/>
          <w:szCs w:val="24"/>
        </w:rPr>
        <w:t>0.0001</w:t>
      </w:r>
      <w:r w:rsidRPr="009C5EBE">
        <w:rPr>
          <w:rFonts w:ascii="Times New Roman" w:hAnsi="Times New Roman" w:cs="Times New Roman"/>
          <w:i/>
          <w:sz w:val="24"/>
          <w:szCs w:val="24"/>
        </w:rPr>
        <w:t>.</w:t>
      </w:r>
    </w:p>
    <w:p w14:paraId="0CEB60D4" w14:textId="35C5A927" w:rsidR="00891F91" w:rsidRDefault="00891F91" w:rsidP="00375C7A">
      <w:pPr>
        <w:spacing w:line="240" w:lineRule="auto"/>
        <w:jc w:val="both"/>
        <w:rPr>
          <w:rFonts w:ascii="Times New Roman" w:hAnsi="Times New Roman" w:cs="Times New Roman"/>
          <w:b/>
          <w:sz w:val="24"/>
          <w:szCs w:val="24"/>
        </w:rPr>
      </w:pPr>
      <w:r w:rsidRPr="00891F91">
        <w:rPr>
          <w:rFonts w:ascii="Times New Roman" w:hAnsi="Times New Roman" w:cs="Times New Roman"/>
          <w:b/>
          <w:noProof/>
          <w:sz w:val="24"/>
          <w:szCs w:val="24"/>
          <w:lang w:val="ru-RU" w:eastAsia="ru-RU"/>
        </w:rPr>
        <w:lastRenderedPageBreak/>
        <w:drawing>
          <wp:inline distT="0" distB="0" distL="0" distR="0" wp14:anchorId="4AECC4C3" wp14:editId="62D73F44">
            <wp:extent cx="5939790" cy="7035052"/>
            <wp:effectExtent l="0" t="0" r="3810" b="0"/>
            <wp:docPr id="5" name="Рисунок 5" descr="C:\Users\Denis\Desktop\COVID\Working Draft\Immunoarticle FI\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Desktop\COVID\Working Draft\Immunoarticle FI\Fig. S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7035052"/>
                    </a:xfrm>
                    <a:prstGeom prst="rect">
                      <a:avLst/>
                    </a:prstGeom>
                    <a:noFill/>
                    <a:ln>
                      <a:noFill/>
                    </a:ln>
                  </pic:spPr>
                </pic:pic>
              </a:graphicData>
            </a:graphic>
          </wp:inline>
        </w:drawing>
      </w:r>
    </w:p>
    <w:p w14:paraId="487EA1D3" w14:textId="47185E6D" w:rsidR="00375C7A" w:rsidRPr="009C5EBE" w:rsidRDefault="00375C7A" w:rsidP="00375C7A">
      <w:pPr>
        <w:spacing w:line="240" w:lineRule="auto"/>
        <w:jc w:val="both"/>
        <w:rPr>
          <w:rFonts w:ascii="Times New Roman" w:hAnsi="Times New Roman" w:cs="Times New Roman"/>
          <w:i/>
          <w:sz w:val="24"/>
          <w:szCs w:val="24"/>
        </w:rPr>
      </w:pPr>
      <w:r w:rsidRPr="00375C7A">
        <w:rPr>
          <w:rFonts w:ascii="Times New Roman" w:hAnsi="Times New Roman" w:cs="Times New Roman"/>
          <w:b/>
          <w:sz w:val="24"/>
          <w:szCs w:val="24"/>
        </w:rPr>
        <w:t>Fig. S5.</w:t>
      </w:r>
      <w:r w:rsidRPr="00375C7A">
        <w:rPr>
          <w:rFonts w:ascii="Times New Roman" w:hAnsi="Times New Roman" w:cs="Times New Roman"/>
          <w:b/>
          <w:bCs/>
          <w:iCs/>
          <w:sz w:val="24"/>
          <w:szCs w:val="24"/>
        </w:rPr>
        <w:t xml:space="preserve"> Comparison of serum </w:t>
      </w:r>
      <w:r w:rsidRPr="00375C7A">
        <w:rPr>
          <w:rFonts w:ascii="Times New Roman" w:eastAsia="Calibri" w:hAnsi="Times New Roman" w:cs="Times New Roman"/>
          <w:b/>
          <w:bCs/>
          <w:iCs/>
          <w:sz w:val="24"/>
          <w:szCs w:val="24"/>
        </w:rPr>
        <w:t>cytokine</w:t>
      </w:r>
      <w:r w:rsidRPr="00375C7A">
        <w:rPr>
          <w:rFonts w:ascii="Times New Roman" w:hAnsi="Times New Roman" w:cs="Times New Roman"/>
          <w:b/>
          <w:bCs/>
          <w:iCs/>
          <w:sz w:val="24"/>
          <w:szCs w:val="24"/>
        </w:rPr>
        <w:t xml:space="preserve"> levels at admission and discharge in </w:t>
      </w:r>
      <w:r w:rsidR="00736425">
        <w:rPr>
          <w:rFonts w:ascii="Times New Roman" w:hAnsi="Times New Roman" w:cs="Times New Roman"/>
          <w:b/>
          <w:bCs/>
          <w:iCs/>
          <w:sz w:val="24"/>
          <w:szCs w:val="24"/>
        </w:rPr>
        <w:t>“</w:t>
      </w:r>
      <w:r w:rsidRPr="00375C7A">
        <w:rPr>
          <w:rFonts w:ascii="Times New Roman" w:hAnsi="Times New Roman" w:cs="Times New Roman"/>
          <w:b/>
          <w:bCs/>
          <w:iCs/>
          <w:sz w:val="24"/>
          <w:szCs w:val="24"/>
        </w:rPr>
        <w:t>SCG</w:t>
      </w:r>
      <w:r w:rsidR="00736425">
        <w:rPr>
          <w:rFonts w:ascii="Times New Roman" w:hAnsi="Times New Roman" w:cs="Times New Roman"/>
          <w:b/>
          <w:bCs/>
          <w:iCs/>
          <w:sz w:val="24"/>
          <w:szCs w:val="24"/>
        </w:rPr>
        <w:t>”</w:t>
      </w:r>
      <w:r w:rsidRPr="00375C7A">
        <w:rPr>
          <w:rFonts w:ascii="Times New Roman" w:hAnsi="Times New Roman" w:cs="Times New Roman"/>
          <w:b/>
          <w:bCs/>
          <w:iCs/>
          <w:sz w:val="24"/>
          <w:szCs w:val="24"/>
        </w:rPr>
        <w:t xml:space="preserve"> patients. </w:t>
      </w:r>
      <w:r w:rsidRPr="009C5EBE">
        <w:rPr>
          <w:rFonts w:ascii="Times New Roman" w:hAnsi="Times New Roman" w:cs="Times New Roman"/>
          <w:iCs/>
          <w:sz w:val="24"/>
          <w:szCs w:val="24"/>
        </w:rPr>
        <w:t>For comparison analysis</w:t>
      </w:r>
      <w:r w:rsidRPr="009C5EBE">
        <w:rPr>
          <w:rFonts w:ascii="Times New Roman" w:eastAsia="Calibri" w:hAnsi="Times New Roman" w:cs="Times New Roman"/>
          <w:iCs/>
          <w:sz w:val="24"/>
          <w:szCs w:val="24"/>
        </w:rPr>
        <w:t>,</w:t>
      </w:r>
      <w:r w:rsidRPr="009C5EBE">
        <w:rPr>
          <w:rFonts w:ascii="Times New Roman" w:hAnsi="Times New Roman" w:cs="Times New Roman"/>
          <w:b/>
          <w:iCs/>
          <w:sz w:val="24"/>
          <w:szCs w:val="24"/>
        </w:rPr>
        <w:t xml:space="preserve"> </w:t>
      </w:r>
      <w:r w:rsidRPr="009C5EBE">
        <w:rPr>
          <w:rFonts w:ascii="Times New Roman" w:eastAsia="Calibri" w:hAnsi="Times New Roman" w:cs="Times New Roman"/>
          <w:bCs/>
          <w:iCs/>
          <w:sz w:val="24"/>
          <w:szCs w:val="24"/>
        </w:rPr>
        <w:t xml:space="preserve">a </w:t>
      </w:r>
      <w:r w:rsidRPr="009C5EBE">
        <w:rPr>
          <w:rFonts w:ascii="Times New Roman" w:hAnsi="Times New Roman" w:cs="Times New Roman"/>
          <w:iCs/>
          <w:sz w:val="24"/>
          <w:szCs w:val="24"/>
        </w:rPr>
        <w:t>nonparametric Wilcoxon test was used,</w:t>
      </w:r>
      <w:r w:rsidRPr="009C5EBE">
        <w:rPr>
          <w:rFonts w:ascii="Times New Roman" w:hAnsi="Times New Roman" w:cs="Times New Roman"/>
          <w:i/>
          <w:sz w:val="24"/>
          <w:szCs w:val="24"/>
        </w:rPr>
        <w:t xml:space="preserve"> *p&lt;</w:t>
      </w:r>
      <w:r w:rsidRPr="009C5EBE">
        <w:rPr>
          <w:rFonts w:ascii="Times New Roman" w:hAnsi="Times New Roman" w:cs="Times New Roman"/>
          <w:iCs/>
          <w:sz w:val="24"/>
          <w:szCs w:val="24"/>
        </w:rPr>
        <w:t>0.05</w:t>
      </w:r>
      <w:r w:rsidRPr="009C5EBE">
        <w:rPr>
          <w:rFonts w:ascii="Times New Roman" w:hAnsi="Times New Roman" w:cs="Times New Roman"/>
          <w:i/>
          <w:sz w:val="24"/>
          <w:szCs w:val="24"/>
        </w:rPr>
        <w:t>, **p&lt;</w:t>
      </w:r>
      <w:r w:rsidRPr="009C5EBE">
        <w:rPr>
          <w:rFonts w:ascii="Times New Roman" w:hAnsi="Times New Roman" w:cs="Times New Roman"/>
          <w:iCs/>
          <w:sz w:val="24"/>
          <w:szCs w:val="24"/>
        </w:rPr>
        <w:t>0.01</w:t>
      </w:r>
      <w:r w:rsidRPr="009C5EBE">
        <w:rPr>
          <w:rFonts w:ascii="Times New Roman" w:hAnsi="Times New Roman" w:cs="Times New Roman"/>
          <w:i/>
          <w:sz w:val="24"/>
          <w:szCs w:val="24"/>
        </w:rPr>
        <w:t>, ***p&lt;</w:t>
      </w:r>
      <w:r w:rsidRPr="009C5EBE">
        <w:rPr>
          <w:rFonts w:ascii="Times New Roman" w:hAnsi="Times New Roman" w:cs="Times New Roman"/>
          <w:iCs/>
          <w:sz w:val="24"/>
          <w:szCs w:val="24"/>
        </w:rPr>
        <w:t>0.001</w:t>
      </w:r>
      <w:r w:rsidRPr="009C5EBE">
        <w:rPr>
          <w:rFonts w:ascii="Times New Roman" w:hAnsi="Times New Roman" w:cs="Times New Roman"/>
          <w:i/>
          <w:sz w:val="24"/>
          <w:szCs w:val="24"/>
        </w:rPr>
        <w:t>, ****p&lt;</w:t>
      </w:r>
      <w:r w:rsidRPr="009C5EBE">
        <w:rPr>
          <w:rFonts w:ascii="Times New Roman" w:hAnsi="Times New Roman" w:cs="Times New Roman"/>
          <w:iCs/>
          <w:sz w:val="24"/>
          <w:szCs w:val="24"/>
        </w:rPr>
        <w:t>0.0001</w:t>
      </w:r>
      <w:r w:rsidRPr="009C5EBE">
        <w:rPr>
          <w:rFonts w:ascii="Times New Roman" w:hAnsi="Times New Roman" w:cs="Times New Roman"/>
          <w:i/>
          <w:sz w:val="24"/>
          <w:szCs w:val="24"/>
        </w:rPr>
        <w:t>.</w:t>
      </w:r>
    </w:p>
    <w:p w14:paraId="22FE2832" w14:textId="77777777" w:rsidR="00891F91" w:rsidRDefault="00891F91" w:rsidP="00375C7A">
      <w:pPr>
        <w:spacing w:line="240" w:lineRule="auto"/>
        <w:jc w:val="both"/>
        <w:rPr>
          <w:rFonts w:ascii="Times New Roman" w:hAnsi="Times New Roman" w:cs="Times New Roman"/>
          <w:b/>
          <w:iCs/>
          <w:sz w:val="24"/>
          <w:szCs w:val="24"/>
        </w:rPr>
      </w:pPr>
    </w:p>
    <w:p w14:paraId="6A15295D" w14:textId="77777777" w:rsidR="00891F91" w:rsidRDefault="00891F91" w:rsidP="00375C7A">
      <w:pPr>
        <w:spacing w:line="240" w:lineRule="auto"/>
        <w:jc w:val="both"/>
        <w:rPr>
          <w:rFonts w:ascii="Times New Roman" w:hAnsi="Times New Roman" w:cs="Times New Roman"/>
          <w:b/>
          <w:iCs/>
          <w:sz w:val="24"/>
          <w:szCs w:val="24"/>
        </w:rPr>
      </w:pPr>
    </w:p>
    <w:p w14:paraId="70CB6872" w14:textId="77777777" w:rsidR="00891F91" w:rsidRDefault="00891F91" w:rsidP="00375C7A">
      <w:pPr>
        <w:spacing w:line="240" w:lineRule="auto"/>
        <w:jc w:val="both"/>
        <w:rPr>
          <w:rFonts w:ascii="Times New Roman" w:hAnsi="Times New Roman" w:cs="Times New Roman"/>
          <w:b/>
          <w:iCs/>
          <w:sz w:val="24"/>
          <w:szCs w:val="24"/>
        </w:rPr>
      </w:pPr>
    </w:p>
    <w:p w14:paraId="3F4B0C8B" w14:textId="77777777" w:rsidR="00891F91" w:rsidRDefault="00891F91" w:rsidP="00375C7A">
      <w:pPr>
        <w:spacing w:line="240" w:lineRule="auto"/>
        <w:jc w:val="both"/>
        <w:rPr>
          <w:rFonts w:ascii="Times New Roman" w:hAnsi="Times New Roman" w:cs="Times New Roman"/>
          <w:b/>
          <w:iCs/>
          <w:sz w:val="24"/>
          <w:szCs w:val="24"/>
        </w:rPr>
      </w:pPr>
    </w:p>
    <w:p w14:paraId="37325E6F" w14:textId="77777777" w:rsidR="00891F91" w:rsidRDefault="00891F91" w:rsidP="00375C7A">
      <w:pPr>
        <w:spacing w:line="240" w:lineRule="auto"/>
        <w:jc w:val="both"/>
        <w:rPr>
          <w:rFonts w:ascii="Times New Roman" w:hAnsi="Times New Roman" w:cs="Times New Roman"/>
          <w:b/>
          <w:iCs/>
          <w:sz w:val="24"/>
          <w:szCs w:val="24"/>
        </w:rPr>
      </w:pPr>
    </w:p>
    <w:p w14:paraId="670F118A" w14:textId="3F3F3D14" w:rsidR="00891F91" w:rsidRDefault="00891F91" w:rsidP="00375C7A">
      <w:pPr>
        <w:spacing w:line="240" w:lineRule="auto"/>
        <w:jc w:val="both"/>
        <w:rPr>
          <w:rFonts w:ascii="Times New Roman" w:hAnsi="Times New Roman" w:cs="Times New Roman"/>
          <w:b/>
          <w:iCs/>
          <w:sz w:val="24"/>
          <w:szCs w:val="24"/>
        </w:rPr>
      </w:pPr>
      <w:r w:rsidRPr="00891F91">
        <w:rPr>
          <w:rFonts w:ascii="Times New Roman" w:hAnsi="Times New Roman" w:cs="Times New Roman"/>
          <w:b/>
          <w:iCs/>
          <w:noProof/>
          <w:sz w:val="24"/>
          <w:szCs w:val="24"/>
          <w:lang w:val="ru-RU" w:eastAsia="ru-RU"/>
        </w:rPr>
        <w:lastRenderedPageBreak/>
        <w:drawing>
          <wp:inline distT="0" distB="0" distL="0" distR="0" wp14:anchorId="5FFAFB21" wp14:editId="25682676">
            <wp:extent cx="5939790" cy="5773752"/>
            <wp:effectExtent l="0" t="0" r="3810" b="0"/>
            <wp:docPr id="6" name="Рисунок 6" descr="C:\Users\Denis\Desktop\COVID\Working Draft\Immunoarticle FI\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Desktop\COVID\Working Draft\Immunoarticle FI\Fig. S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773752"/>
                    </a:xfrm>
                    <a:prstGeom prst="rect">
                      <a:avLst/>
                    </a:prstGeom>
                    <a:noFill/>
                    <a:ln>
                      <a:noFill/>
                    </a:ln>
                  </pic:spPr>
                </pic:pic>
              </a:graphicData>
            </a:graphic>
          </wp:inline>
        </w:drawing>
      </w:r>
    </w:p>
    <w:p w14:paraId="4F41A271" w14:textId="7BD09DD6" w:rsidR="009C5EBE" w:rsidRDefault="009C5EBE" w:rsidP="00375C7A">
      <w:pPr>
        <w:spacing w:line="240" w:lineRule="auto"/>
        <w:jc w:val="both"/>
        <w:rPr>
          <w:rFonts w:ascii="Times New Roman" w:hAnsi="Times New Roman" w:cs="Times New Roman"/>
          <w:sz w:val="24"/>
          <w:szCs w:val="24"/>
        </w:rPr>
      </w:pPr>
      <w:r>
        <w:rPr>
          <w:rFonts w:ascii="Times New Roman" w:hAnsi="Times New Roman" w:cs="Times New Roman"/>
          <w:b/>
          <w:iCs/>
          <w:sz w:val="24"/>
          <w:szCs w:val="24"/>
        </w:rPr>
        <w:t>Fig. S6</w:t>
      </w:r>
      <w:r w:rsidRPr="008E3403">
        <w:rPr>
          <w:rFonts w:ascii="Times New Roman" w:hAnsi="Times New Roman" w:cs="Times New Roman"/>
          <w:iCs/>
          <w:sz w:val="24"/>
          <w:szCs w:val="24"/>
        </w:rPr>
        <w:t xml:space="preserve">. </w:t>
      </w:r>
      <w:r w:rsidRPr="008E3403">
        <w:rPr>
          <w:rFonts w:ascii="Times New Roman" w:hAnsi="Times New Roman" w:cs="Times New Roman"/>
          <w:b/>
          <w:bCs/>
          <w:iCs/>
          <w:sz w:val="24"/>
          <w:szCs w:val="24"/>
        </w:rPr>
        <w:t xml:space="preserve">Results of correlation </w:t>
      </w:r>
      <w:r w:rsidRPr="008E3403">
        <w:rPr>
          <w:rFonts w:ascii="Times New Roman" w:eastAsia="Calibri" w:hAnsi="Times New Roman" w:cs="Times New Roman"/>
          <w:b/>
          <w:bCs/>
          <w:iCs/>
          <w:sz w:val="24"/>
          <w:szCs w:val="24"/>
        </w:rPr>
        <w:t>analysis of cytokine</w:t>
      </w:r>
      <w:r w:rsidRPr="008E3403">
        <w:rPr>
          <w:rFonts w:ascii="Times New Roman" w:hAnsi="Times New Roman" w:cs="Times New Roman"/>
          <w:b/>
          <w:bCs/>
          <w:iCs/>
          <w:sz w:val="24"/>
          <w:szCs w:val="24"/>
        </w:rPr>
        <w:t xml:space="preserve"> levels in </w:t>
      </w:r>
      <w:r w:rsidR="00736425">
        <w:rPr>
          <w:rFonts w:ascii="Times New Roman" w:hAnsi="Times New Roman" w:cs="Times New Roman"/>
          <w:b/>
          <w:bCs/>
          <w:iCs/>
          <w:sz w:val="24"/>
          <w:szCs w:val="24"/>
        </w:rPr>
        <w:t>“</w:t>
      </w:r>
      <w:r w:rsidRPr="008E3403">
        <w:rPr>
          <w:rFonts w:ascii="Times New Roman" w:hAnsi="Times New Roman" w:cs="Times New Roman"/>
          <w:b/>
          <w:bCs/>
          <w:iCs/>
          <w:sz w:val="24"/>
          <w:szCs w:val="24"/>
        </w:rPr>
        <w:t>SCG</w:t>
      </w:r>
      <w:r w:rsidR="00736425">
        <w:rPr>
          <w:rFonts w:ascii="Times New Roman" w:hAnsi="Times New Roman" w:cs="Times New Roman"/>
          <w:b/>
          <w:bCs/>
          <w:iCs/>
          <w:sz w:val="24"/>
          <w:szCs w:val="24"/>
        </w:rPr>
        <w:t>”</w:t>
      </w:r>
      <w:r w:rsidRPr="008E3403">
        <w:rPr>
          <w:rFonts w:ascii="Times New Roman" w:hAnsi="Times New Roman" w:cs="Times New Roman"/>
          <w:b/>
          <w:bCs/>
          <w:iCs/>
          <w:sz w:val="24"/>
          <w:szCs w:val="24"/>
        </w:rPr>
        <w:t xml:space="preserve"> patients </w:t>
      </w:r>
      <w:r w:rsidRPr="008E3403">
        <w:rPr>
          <w:rFonts w:ascii="Times New Roman" w:eastAsia="Calibri" w:hAnsi="Times New Roman" w:cs="Times New Roman"/>
          <w:b/>
          <w:bCs/>
          <w:iCs/>
          <w:sz w:val="24"/>
          <w:szCs w:val="24"/>
        </w:rPr>
        <w:t>on</w:t>
      </w:r>
      <w:r w:rsidRPr="008E3403">
        <w:rPr>
          <w:rFonts w:ascii="Times New Roman" w:hAnsi="Times New Roman" w:cs="Times New Roman"/>
          <w:b/>
          <w:bCs/>
          <w:iCs/>
          <w:sz w:val="24"/>
          <w:szCs w:val="24"/>
        </w:rPr>
        <w:t xml:space="preserve"> the admission day and the discharge day.</w:t>
      </w:r>
      <w:r w:rsidRPr="008E3403">
        <w:rPr>
          <w:rFonts w:ascii="Times New Roman" w:hAnsi="Times New Roman" w:cs="Times New Roman"/>
          <w:iCs/>
          <w:sz w:val="24"/>
          <w:szCs w:val="24"/>
        </w:rPr>
        <w:t xml:space="preserve"> </w:t>
      </w:r>
      <w:r w:rsidRPr="008E3403">
        <w:rPr>
          <w:rFonts w:ascii="Times New Roman" w:hAnsi="Times New Roman" w:cs="Times New Roman"/>
          <w:b/>
          <w:iCs/>
          <w:sz w:val="24"/>
          <w:szCs w:val="24"/>
        </w:rPr>
        <w:t>A.</w:t>
      </w:r>
      <w:r w:rsidRPr="008E3403">
        <w:rPr>
          <w:rFonts w:ascii="Times New Roman" w:hAnsi="Times New Roman" w:cs="Times New Roman"/>
          <w:iCs/>
          <w:sz w:val="24"/>
          <w:szCs w:val="24"/>
        </w:rPr>
        <w:t xml:space="preserve"> Correlation matrices for 63 patients comparing </w:t>
      </w:r>
      <w:r w:rsidRPr="008E3403">
        <w:rPr>
          <w:rFonts w:ascii="Times New Roman" w:hAnsi="Times New Roman" w:cs="Times New Roman"/>
          <w:sz w:val="24"/>
          <w:szCs w:val="24"/>
        </w:rPr>
        <w:t xml:space="preserve">cytokine patterns of </w:t>
      </w:r>
      <w:r w:rsidRPr="008E3403">
        <w:rPr>
          <w:rFonts w:ascii="Times New Roman" w:eastAsia="Calibri" w:hAnsi="Times New Roman" w:cs="Times New Roman"/>
          <w:sz w:val="24"/>
          <w:szCs w:val="24"/>
        </w:rPr>
        <w:t xml:space="preserve">the </w:t>
      </w:r>
      <w:r w:rsidRPr="008E3403">
        <w:rPr>
          <w:rFonts w:ascii="Times New Roman" w:hAnsi="Times New Roman" w:cs="Times New Roman"/>
          <w:sz w:val="24"/>
          <w:szCs w:val="24"/>
        </w:rPr>
        <w:t xml:space="preserve">acute phase (the admission day) and convalescent phase (the discharge day). Colors </w:t>
      </w:r>
      <w:r w:rsidRPr="008E3403">
        <w:rPr>
          <w:rFonts w:ascii="Times New Roman" w:eastAsia="Calibri" w:hAnsi="Times New Roman" w:cs="Times New Roman"/>
          <w:sz w:val="24"/>
          <w:szCs w:val="24"/>
        </w:rPr>
        <w:t>indicate</w:t>
      </w:r>
      <w:r w:rsidRPr="008E3403">
        <w:rPr>
          <w:rFonts w:ascii="Times New Roman" w:hAnsi="Times New Roman" w:cs="Times New Roman"/>
          <w:sz w:val="24"/>
          <w:szCs w:val="24"/>
        </w:rPr>
        <w:t xml:space="preserve"> Spearman correlation coefficients (</w:t>
      </w:r>
      <w:r w:rsidRPr="008E3403">
        <w:rPr>
          <w:rFonts w:ascii="Times New Roman" w:hAnsi="Times New Roman" w:cs="Times New Roman"/>
          <w:i/>
          <w:iCs/>
          <w:sz w:val="24"/>
          <w:szCs w:val="24"/>
        </w:rPr>
        <w:t>p&lt;</w:t>
      </w:r>
      <w:r w:rsidRPr="006223BB">
        <w:rPr>
          <w:rFonts w:ascii="Times New Roman" w:hAnsi="Times New Roman" w:cs="Times New Roman"/>
          <w:sz w:val="24"/>
          <w:szCs w:val="24"/>
        </w:rPr>
        <w:t>0.05</w:t>
      </w:r>
      <w:r w:rsidRPr="008E3403">
        <w:rPr>
          <w:rFonts w:ascii="Times New Roman" w:hAnsi="Times New Roman" w:cs="Times New Roman"/>
          <w:sz w:val="24"/>
          <w:szCs w:val="24"/>
        </w:rPr>
        <w:t>),</w:t>
      </w:r>
      <w:r w:rsidRPr="008E3403">
        <w:rPr>
          <w:rFonts w:ascii="Times New Roman" w:eastAsia="Calibri" w:hAnsi="Times New Roman" w:cs="Times New Roman"/>
          <w:sz w:val="24"/>
          <w:szCs w:val="24"/>
        </w:rPr>
        <w:t xml:space="preserve"> and</w:t>
      </w:r>
      <w:r w:rsidRPr="008E3403">
        <w:rPr>
          <w:rFonts w:ascii="Times New Roman" w:hAnsi="Times New Roman" w:cs="Times New Roman"/>
          <w:sz w:val="24"/>
          <w:szCs w:val="24"/>
        </w:rPr>
        <w:t xml:space="preserve"> colorless squares indicate ns (not significant) values. </w:t>
      </w:r>
      <w:bookmarkStart w:id="2" w:name="OLE_LINK7"/>
      <w:bookmarkStart w:id="3" w:name="OLE_LINK8"/>
    </w:p>
    <w:p w14:paraId="0D4426F0" w14:textId="6DDD3331" w:rsidR="00891F91" w:rsidRDefault="00891F91" w:rsidP="00375C7A">
      <w:pPr>
        <w:spacing w:line="240" w:lineRule="auto"/>
        <w:jc w:val="both"/>
        <w:rPr>
          <w:rFonts w:ascii="Times New Roman" w:hAnsi="Times New Roman" w:cs="Times New Roman"/>
          <w:sz w:val="24"/>
          <w:szCs w:val="24"/>
        </w:rPr>
      </w:pPr>
    </w:p>
    <w:p w14:paraId="5A01DEB4" w14:textId="14C97BA1" w:rsidR="00891F91" w:rsidRDefault="00891F91" w:rsidP="00375C7A">
      <w:pPr>
        <w:spacing w:line="240" w:lineRule="auto"/>
        <w:jc w:val="both"/>
        <w:rPr>
          <w:rFonts w:ascii="Times New Roman" w:hAnsi="Times New Roman" w:cs="Times New Roman"/>
          <w:sz w:val="24"/>
          <w:szCs w:val="24"/>
        </w:rPr>
      </w:pPr>
    </w:p>
    <w:p w14:paraId="109899F8" w14:textId="495787B3" w:rsidR="00891F91" w:rsidRDefault="00891F91" w:rsidP="00375C7A">
      <w:pPr>
        <w:spacing w:line="240" w:lineRule="auto"/>
        <w:jc w:val="both"/>
        <w:rPr>
          <w:rFonts w:ascii="Times New Roman" w:hAnsi="Times New Roman" w:cs="Times New Roman"/>
          <w:sz w:val="24"/>
          <w:szCs w:val="24"/>
        </w:rPr>
      </w:pPr>
    </w:p>
    <w:p w14:paraId="3DFDB83E" w14:textId="552C63EE" w:rsidR="00891F91" w:rsidRDefault="00891F91" w:rsidP="00375C7A">
      <w:pPr>
        <w:spacing w:line="240" w:lineRule="auto"/>
        <w:jc w:val="both"/>
        <w:rPr>
          <w:rFonts w:ascii="Times New Roman" w:hAnsi="Times New Roman" w:cs="Times New Roman"/>
          <w:sz w:val="24"/>
          <w:szCs w:val="24"/>
        </w:rPr>
      </w:pPr>
    </w:p>
    <w:p w14:paraId="23028797" w14:textId="560D83F2" w:rsidR="00891F91" w:rsidRDefault="00891F91" w:rsidP="00375C7A">
      <w:pPr>
        <w:spacing w:line="240" w:lineRule="auto"/>
        <w:jc w:val="both"/>
        <w:rPr>
          <w:rFonts w:ascii="Times New Roman" w:hAnsi="Times New Roman" w:cs="Times New Roman"/>
          <w:sz w:val="24"/>
          <w:szCs w:val="24"/>
        </w:rPr>
      </w:pPr>
    </w:p>
    <w:p w14:paraId="5F8BBC18" w14:textId="0EBBD51D" w:rsidR="00891F91" w:rsidRDefault="00891F91" w:rsidP="00375C7A">
      <w:pPr>
        <w:spacing w:line="240" w:lineRule="auto"/>
        <w:jc w:val="both"/>
        <w:rPr>
          <w:rFonts w:ascii="Times New Roman" w:hAnsi="Times New Roman" w:cs="Times New Roman"/>
          <w:sz w:val="24"/>
          <w:szCs w:val="24"/>
        </w:rPr>
      </w:pPr>
    </w:p>
    <w:p w14:paraId="56EB7EB1" w14:textId="52ADC2C7" w:rsidR="00891F91" w:rsidRDefault="00891F91" w:rsidP="00375C7A">
      <w:pPr>
        <w:spacing w:line="240" w:lineRule="auto"/>
        <w:jc w:val="both"/>
        <w:rPr>
          <w:rFonts w:ascii="Times New Roman" w:hAnsi="Times New Roman" w:cs="Times New Roman"/>
          <w:sz w:val="24"/>
          <w:szCs w:val="24"/>
        </w:rPr>
      </w:pPr>
    </w:p>
    <w:p w14:paraId="6F1621DC" w14:textId="6A81A504" w:rsidR="00891F91" w:rsidRDefault="00891F91" w:rsidP="00375C7A">
      <w:pPr>
        <w:spacing w:line="240" w:lineRule="auto"/>
        <w:jc w:val="both"/>
        <w:rPr>
          <w:rFonts w:ascii="Times New Roman" w:hAnsi="Times New Roman" w:cs="Times New Roman"/>
          <w:sz w:val="24"/>
          <w:szCs w:val="24"/>
        </w:rPr>
      </w:pPr>
    </w:p>
    <w:p w14:paraId="0AA47022" w14:textId="77777777" w:rsidR="00891F91" w:rsidRDefault="00891F91" w:rsidP="00375C7A">
      <w:pPr>
        <w:spacing w:line="240" w:lineRule="auto"/>
        <w:jc w:val="both"/>
        <w:rPr>
          <w:rFonts w:ascii="Times New Roman" w:hAnsi="Times New Roman" w:cs="Times New Roman"/>
          <w:b/>
          <w:i/>
        </w:rPr>
      </w:pPr>
    </w:p>
    <w:p w14:paraId="207F6D71" w14:textId="7218A750" w:rsidR="00891F91" w:rsidRDefault="00891F91" w:rsidP="00375C7A">
      <w:pPr>
        <w:spacing w:line="240" w:lineRule="auto"/>
        <w:jc w:val="both"/>
        <w:rPr>
          <w:rFonts w:ascii="Times New Roman" w:hAnsi="Times New Roman" w:cs="Times New Roman"/>
          <w:b/>
          <w:sz w:val="24"/>
          <w:szCs w:val="24"/>
        </w:rPr>
      </w:pPr>
      <w:r w:rsidRPr="00891F91">
        <w:rPr>
          <w:rFonts w:ascii="Times New Roman" w:hAnsi="Times New Roman" w:cs="Times New Roman"/>
          <w:b/>
          <w:noProof/>
          <w:sz w:val="24"/>
          <w:szCs w:val="24"/>
          <w:lang w:val="ru-RU" w:eastAsia="ru-RU"/>
        </w:rPr>
        <w:lastRenderedPageBreak/>
        <w:drawing>
          <wp:inline distT="0" distB="0" distL="0" distR="0" wp14:anchorId="2103F9BD" wp14:editId="227D5919">
            <wp:extent cx="5939790" cy="7422872"/>
            <wp:effectExtent l="0" t="0" r="3810" b="6985"/>
            <wp:docPr id="7" name="Рисунок 7" descr="C:\Users\Denis\Desktop\COVID\Working Draft\Immunoarticle FI\Fig.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Desktop\COVID\Working Draft\Immunoarticle FI\Fig. S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7422872"/>
                    </a:xfrm>
                    <a:prstGeom prst="rect">
                      <a:avLst/>
                    </a:prstGeom>
                    <a:noFill/>
                    <a:ln>
                      <a:noFill/>
                    </a:ln>
                  </pic:spPr>
                </pic:pic>
              </a:graphicData>
            </a:graphic>
          </wp:inline>
        </w:drawing>
      </w:r>
    </w:p>
    <w:p w14:paraId="6750BE2C" w14:textId="5811087C" w:rsidR="00375C7A" w:rsidRPr="009C5EBE" w:rsidRDefault="00375C7A" w:rsidP="00375C7A">
      <w:pPr>
        <w:spacing w:line="240" w:lineRule="auto"/>
        <w:jc w:val="both"/>
        <w:rPr>
          <w:rFonts w:ascii="Times New Roman" w:hAnsi="Times New Roman" w:cs="Times New Roman"/>
          <w:b/>
          <w:i/>
          <w:sz w:val="24"/>
          <w:szCs w:val="24"/>
        </w:rPr>
      </w:pPr>
      <w:r w:rsidRPr="006223BB">
        <w:rPr>
          <w:rFonts w:ascii="Times New Roman" w:hAnsi="Times New Roman" w:cs="Times New Roman"/>
          <w:b/>
          <w:sz w:val="24"/>
          <w:szCs w:val="24"/>
        </w:rPr>
        <w:t xml:space="preserve">Fig. </w:t>
      </w:r>
      <w:r w:rsidR="009C5EBE">
        <w:rPr>
          <w:rFonts w:ascii="Times New Roman" w:hAnsi="Times New Roman" w:cs="Times New Roman"/>
          <w:b/>
          <w:sz w:val="24"/>
          <w:szCs w:val="24"/>
        </w:rPr>
        <w:t>S7</w:t>
      </w:r>
      <w:r w:rsidRPr="006223BB">
        <w:rPr>
          <w:rFonts w:ascii="Times New Roman" w:hAnsi="Times New Roman" w:cs="Times New Roman"/>
          <w:b/>
          <w:sz w:val="24"/>
          <w:szCs w:val="24"/>
        </w:rPr>
        <w:t xml:space="preserve">. </w:t>
      </w:r>
      <w:r w:rsidR="00E36E2E" w:rsidRPr="008E3403">
        <w:rPr>
          <w:rFonts w:ascii="Times New Roman" w:hAnsi="Times New Roman" w:cs="Times New Roman"/>
          <w:b/>
          <w:iCs/>
          <w:sz w:val="24"/>
          <w:szCs w:val="24"/>
        </w:rPr>
        <w:t xml:space="preserve">Dynamics of serum </w:t>
      </w:r>
      <w:r w:rsidR="00E36E2E" w:rsidRPr="008E3403">
        <w:rPr>
          <w:rFonts w:ascii="Times New Roman" w:eastAsia="Calibri" w:hAnsi="Times New Roman" w:cs="Times New Roman"/>
          <w:b/>
          <w:iCs/>
          <w:sz w:val="24"/>
          <w:szCs w:val="24"/>
        </w:rPr>
        <w:t>cytokine</w:t>
      </w:r>
      <w:r w:rsidR="00E36E2E" w:rsidRPr="008E3403">
        <w:rPr>
          <w:rFonts w:ascii="Times New Roman" w:hAnsi="Times New Roman" w:cs="Times New Roman"/>
          <w:b/>
          <w:iCs/>
          <w:sz w:val="24"/>
          <w:szCs w:val="24"/>
        </w:rPr>
        <w:t xml:space="preserve"> levels demonstrating differences between severity groups of COVID-19 patients </w:t>
      </w:r>
      <w:r w:rsidR="00E36E2E" w:rsidRPr="008E3403">
        <w:rPr>
          <w:rFonts w:ascii="Times New Roman" w:eastAsia="Calibri" w:hAnsi="Times New Roman" w:cs="Times New Roman"/>
          <w:b/>
          <w:iCs/>
          <w:sz w:val="24"/>
          <w:szCs w:val="24"/>
        </w:rPr>
        <w:t>in</w:t>
      </w:r>
      <w:r w:rsidR="00E36E2E" w:rsidRPr="008E3403">
        <w:rPr>
          <w:rFonts w:ascii="Times New Roman" w:hAnsi="Times New Roman" w:cs="Times New Roman"/>
          <w:b/>
          <w:iCs/>
          <w:sz w:val="24"/>
          <w:szCs w:val="24"/>
        </w:rPr>
        <w:t xml:space="preserve"> the first 12 days after illness onset.</w:t>
      </w:r>
      <w:r w:rsidR="00E36E2E" w:rsidRPr="008E3403">
        <w:rPr>
          <w:rFonts w:ascii="Times New Roman" w:hAnsi="Times New Roman" w:cs="Times New Roman"/>
          <w:iCs/>
          <w:sz w:val="24"/>
          <w:szCs w:val="24"/>
        </w:rPr>
        <w:t xml:space="preserve"> </w:t>
      </w:r>
      <w:r w:rsidRPr="006223BB">
        <w:rPr>
          <w:rFonts w:ascii="Times New Roman" w:hAnsi="Times New Roman" w:cs="Times New Roman"/>
          <w:sz w:val="24"/>
          <w:szCs w:val="24"/>
        </w:rPr>
        <w:t xml:space="preserve"> </w:t>
      </w:r>
      <w:r w:rsidRPr="009C5EBE">
        <w:rPr>
          <w:rFonts w:ascii="Times New Roman" w:hAnsi="Times New Roman" w:cs="Times New Roman"/>
          <w:b/>
          <w:sz w:val="24"/>
          <w:szCs w:val="24"/>
        </w:rPr>
        <w:t>A-F</w:t>
      </w:r>
      <w:r w:rsidRPr="009C5EBE">
        <w:rPr>
          <w:rFonts w:ascii="Times New Roman" w:hAnsi="Times New Roman" w:cs="Times New Roman"/>
          <w:sz w:val="24"/>
          <w:szCs w:val="24"/>
        </w:rPr>
        <w:t xml:space="preserve"> </w:t>
      </w:r>
      <w:r w:rsidR="00E36E2E" w:rsidRPr="008E3403">
        <w:rPr>
          <w:rFonts w:ascii="Times New Roman" w:hAnsi="Times New Roman" w:cs="Times New Roman"/>
          <w:iCs/>
          <w:sz w:val="24"/>
          <w:szCs w:val="24"/>
        </w:rPr>
        <w:t xml:space="preserve">show serum levels of </w:t>
      </w:r>
      <w:r w:rsidR="00E36E2E" w:rsidRPr="009C5EBE">
        <w:rPr>
          <w:rFonts w:ascii="Times New Roman" w:hAnsi="Times New Roman" w:cs="Times New Roman"/>
          <w:sz w:val="24"/>
          <w:szCs w:val="24"/>
        </w:rPr>
        <w:t>IL-1RA, GRO</w:t>
      </w:r>
      <w:r w:rsidR="00E36E2E">
        <w:rPr>
          <w:rFonts w:ascii="Times New Roman" w:hAnsi="Times New Roman" w:cs="Times New Roman"/>
          <w:sz w:val="24"/>
          <w:szCs w:val="24"/>
        </w:rPr>
        <w:t>-</w:t>
      </w:r>
      <w:r w:rsidR="00E36E2E" w:rsidRPr="00DF6BF7">
        <w:rPr>
          <w:rFonts w:ascii="Times New Roman" w:eastAsia="Times New Roman" w:hAnsi="Times New Roman" w:cs="Times New Roman"/>
          <w:b/>
          <w:bCs/>
          <w:color w:val="000000"/>
          <w:lang w:val="ru-RU" w:eastAsia="ru-RU"/>
        </w:rPr>
        <w:t>α</w:t>
      </w:r>
      <w:r w:rsidR="00E36E2E" w:rsidRPr="009C5EBE">
        <w:rPr>
          <w:rFonts w:ascii="Times New Roman" w:hAnsi="Times New Roman" w:cs="Times New Roman"/>
          <w:sz w:val="24"/>
          <w:szCs w:val="24"/>
        </w:rPr>
        <w:t xml:space="preserve">, MCP-3, MCP-1, IL-15, </w:t>
      </w:r>
      <w:r w:rsidR="00E36E2E" w:rsidRPr="009C5EBE">
        <w:rPr>
          <w:rFonts w:ascii="Times New Roman" w:eastAsia="Calibri" w:hAnsi="Times New Roman" w:cs="Times New Roman"/>
          <w:sz w:val="24"/>
          <w:szCs w:val="24"/>
        </w:rPr>
        <w:t xml:space="preserve">and </w:t>
      </w:r>
      <w:r w:rsidR="00E36E2E" w:rsidRPr="009C5EBE">
        <w:rPr>
          <w:rFonts w:ascii="Times New Roman" w:hAnsi="Times New Roman" w:cs="Times New Roman"/>
          <w:sz w:val="24"/>
          <w:szCs w:val="24"/>
        </w:rPr>
        <w:t>IFN-g</w:t>
      </w:r>
      <w:r w:rsidR="00E36E2E">
        <w:rPr>
          <w:rFonts w:ascii="Times New Roman" w:hAnsi="Times New Roman" w:cs="Times New Roman"/>
          <w:iCs/>
          <w:sz w:val="24"/>
          <w:szCs w:val="24"/>
        </w:rPr>
        <w:t xml:space="preserve"> </w:t>
      </w:r>
      <w:r w:rsidR="00E36E2E" w:rsidRPr="008E3403">
        <w:rPr>
          <w:rFonts w:ascii="Times New Roman" w:hAnsi="Times New Roman" w:cs="Times New Roman"/>
          <w:iCs/>
          <w:sz w:val="24"/>
          <w:szCs w:val="24"/>
        </w:rPr>
        <w:t>in patients with different COVID-19</w:t>
      </w:r>
      <w:r w:rsidR="00E36E2E" w:rsidRPr="005452FC">
        <w:rPr>
          <w:rFonts w:ascii="Times New Roman" w:hAnsi="Times New Roman" w:cs="Times New Roman"/>
          <w:iCs/>
          <w:sz w:val="24"/>
          <w:szCs w:val="24"/>
        </w:rPr>
        <w:t xml:space="preserve"> </w:t>
      </w:r>
      <w:r w:rsidR="00E36E2E" w:rsidRPr="008E3403">
        <w:rPr>
          <w:rFonts w:ascii="Times New Roman" w:eastAsia="Calibri" w:hAnsi="Times New Roman" w:cs="Times New Roman"/>
          <w:iCs/>
          <w:sz w:val="24"/>
          <w:szCs w:val="24"/>
        </w:rPr>
        <w:t>severities</w:t>
      </w:r>
      <w:r w:rsidR="00E36E2E">
        <w:rPr>
          <w:rFonts w:ascii="Times New Roman" w:hAnsi="Times New Roman" w:cs="Times New Roman"/>
          <w:iCs/>
          <w:sz w:val="24"/>
          <w:szCs w:val="24"/>
        </w:rPr>
        <w:t xml:space="preserve"> </w:t>
      </w:r>
      <w:r w:rsidR="00E36E2E" w:rsidRPr="008E3403">
        <w:rPr>
          <w:rFonts w:ascii="Times New Roman" w:hAnsi="Times New Roman" w:cs="Times New Roman"/>
          <w:iCs/>
          <w:sz w:val="24"/>
          <w:szCs w:val="24"/>
        </w:rPr>
        <w:t>at days 0–3, 4–6, 7-9,</w:t>
      </w:r>
      <w:r w:rsidR="00E36E2E" w:rsidRPr="008E3403">
        <w:rPr>
          <w:rFonts w:ascii="Times New Roman" w:eastAsia="Calibri" w:hAnsi="Times New Roman" w:cs="Times New Roman"/>
          <w:iCs/>
          <w:sz w:val="24"/>
          <w:szCs w:val="24"/>
        </w:rPr>
        <w:t xml:space="preserve"> and</w:t>
      </w:r>
      <w:r w:rsidR="00E36E2E" w:rsidRPr="008E3403">
        <w:rPr>
          <w:rFonts w:ascii="Times New Roman" w:hAnsi="Times New Roman" w:cs="Times New Roman"/>
          <w:iCs/>
          <w:sz w:val="24"/>
          <w:szCs w:val="24"/>
        </w:rPr>
        <w:t xml:space="preserve"> 10-12 DfSO. Dots show individual measurements</w:t>
      </w:r>
      <w:r w:rsidR="00E36E2E" w:rsidRPr="008E3403">
        <w:rPr>
          <w:rFonts w:ascii="Times New Roman" w:eastAsia="Calibri" w:hAnsi="Times New Roman" w:cs="Times New Roman"/>
          <w:iCs/>
          <w:sz w:val="24"/>
          <w:szCs w:val="24"/>
        </w:rPr>
        <w:t>,</w:t>
      </w:r>
      <w:r w:rsidR="00E36E2E" w:rsidRPr="008E3403">
        <w:rPr>
          <w:rFonts w:ascii="Times New Roman" w:hAnsi="Times New Roman" w:cs="Times New Roman"/>
          <w:iCs/>
          <w:sz w:val="24"/>
          <w:szCs w:val="24"/>
        </w:rPr>
        <w:t xml:space="preserve"> and lines </w:t>
      </w:r>
      <w:r w:rsidR="00E36E2E">
        <w:rPr>
          <w:rFonts w:ascii="Times New Roman" w:hAnsi="Times New Roman" w:cs="Times New Roman"/>
          <w:iCs/>
          <w:sz w:val="24"/>
          <w:szCs w:val="24"/>
        </w:rPr>
        <w:t>re</w:t>
      </w:r>
      <w:r w:rsidR="00E36E2E" w:rsidRPr="008E3403">
        <w:rPr>
          <w:rFonts w:ascii="Times New Roman" w:hAnsi="Times New Roman" w:cs="Times New Roman"/>
          <w:iCs/>
          <w:sz w:val="24"/>
          <w:szCs w:val="24"/>
        </w:rPr>
        <w:t xml:space="preserve">present medians with 95% </w:t>
      </w:r>
      <w:r w:rsidR="00E36E2E" w:rsidRPr="008E3403">
        <w:rPr>
          <w:rFonts w:ascii="Times New Roman" w:eastAsia="Calibri" w:hAnsi="Times New Roman" w:cs="Times New Roman"/>
          <w:iCs/>
          <w:sz w:val="24"/>
          <w:szCs w:val="24"/>
        </w:rPr>
        <w:t>CIs</w:t>
      </w:r>
      <w:r w:rsidR="00E36E2E" w:rsidRPr="008E3403">
        <w:rPr>
          <w:rFonts w:ascii="Times New Roman" w:hAnsi="Times New Roman" w:cs="Times New Roman"/>
          <w:iCs/>
          <w:sz w:val="24"/>
          <w:szCs w:val="24"/>
        </w:rPr>
        <w:t xml:space="preserve">. Statistical analyses were performed </w:t>
      </w:r>
      <w:r w:rsidR="00E36E2E">
        <w:rPr>
          <w:rFonts w:ascii="Times New Roman" w:hAnsi="Times New Roman" w:cs="Times New Roman"/>
          <w:iCs/>
          <w:sz w:val="24"/>
          <w:szCs w:val="24"/>
        </w:rPr>
        <w:t>with</w:t>
      </w:r>
      <w:r w:rsidR="00E36E2E" w:rsidRPr="008E3403">
        <w:rPr>
          <w:rFonts w:ascii="Times New Roman" w:hAnsi="Times New Roman" w:cs="Times New Roman"/>
          <w:iCs/>
          <w:sz w:val="24"/>
          <w:szCs w:val="24"/>
        </w:rPr>
        <w:t xml:space="preserve"> a two-tailed Mann–Whitney U-test for nonparametric comparison.</w:t>
      </w:r>
      <w:r w:rsidR="00E36E2E" w:rsidRPr="008E3403">
        <w:rPr>
          <w:rFonts w:ascii="Times New Roman" w:eastAsia="Calibri" w:hAnsi="Times New Roman" w:cs="Times New Roman"/>
          <w:i/>
          <w:sz w:val="24"/>
          <w:szCs w:val="24"/>
        </w:rPr>
        <w:t xml:space="preserve"> </w:t>
      </w:r>
      <w:r w:rsidR="00E36E2E" w:rsidRPr="008E3403">
        <w:rPr>
          <w:rFonts w:ascii="Times New Roman" w:hAnsi="Times New Roman" w:cs="Times New Roman"/>
          <w:i/>
          <w:sz w:val="24"/>
          <w:szCs w:val="24"/>
        </w:rPr>
        <w:t>*p&lt;</w:t>
      </w:r>
      <w:r w:rsidR="00E36E2E" w:rsidRPr="006223BB">
        <w:rPr>
          <w:rFonts w:ascii="Times New Roman" w:hAnsi="Times New Roman" w:cs="Times New Roman"/>
          <w:iCs/>
          <w:sz w:val="24"/>
          <w:szCs w:val="24"/>
        </w:rPr>
        <w:t>0.05</w:t>
      </w:r>
      <w:r w:rsidR="00E36E2E" w:rsidRPr="008E3403">
        <w:rPr>
          <w:rFonts w:ascii="Times New Roman" w:hAnsi="Times New Roman" w:cs="Times New Roman"/>
          <w:i/>
          <w:sz w:val="24"/>
          <w:szCs w:val="24"/>
        </w:rPr>
        <w:t>, **p&lt;</w:t>
      </w:r>
      <w:r w:rsidR="00E36E2E" w:rsidRPr="006223BB">
        <w:rPr>
          <w:rFonts w:ascii="Times New Roman" w:hAnsi="Times New Roman" w:cs="Times New Roman"/>
          <w:iCs/>
          <w:sz w:val="24"/>
          <w:szCs w:val="24"/>
        </w:rPr>
        <w:t>0.01</w:t>
      </w:r>
      <w:r w:rsidR="00E36E2E" w:rsidRPr="008E3403">
        <w:rPr>
          <w:rFonts w:ascii="Times New Roman" w:hAnsi="Times New Roman" w:cs="Times New Roman"/>
          <w:i/>
          <w:sz w:val="24"/>
          <w:szCs w:val="24"/>
        </w:rPr>
        <w:t>, ***p&lt;</w:t>
      </w:r>
      <w:r w:rsidR="00E36E2E" w:rsidRPr="006223BB">
        <w:rPr>
          <w:rFonts w:ascii="Times New Roman" w:hAnsi="Times New Roman" w:cs="Times New Roman"/>
          <w:iCs/>
          <w:sz w:val="24"/>
          <w:szCs w:val="24"/>
        </w:rPr>
        <w:t>0.001</w:t>
      </w:r>
      <w:r w:rsidR="00E36E2E" w:rsidRPr="008E3403">
        <w:rPr>
          <w:rFonts w:ascii="Times New Roman" w:hAnsi="Times New Roman" w:cs="Times New Roman"/>
          <w:i/>
          <w:sz w:val="24"/>
          <w:szCs w:val="24"/>
        </w:rPr>
        <w:t>, ****p&lt;</w:t>
      </w:r>
      <w:r w:rsidR="00E36E2E" w:rsidRPr="006223BB">
        <w:rPr>
          <w:rFonts w:ascii="Times New Roman" w:hAnsi="Times New Roman" w:cs="Times New Roman"/>
          <w:iCs/>
          <w:sz w:val="24"/>
          <w:szCs w:val="24"/>
        </w:rPr>
        <w:t>0.0001</w:t>
      </w:r>
      <w:r w:rsidR="00E36E2E" w:rsidRPr="008E3403">
        <w:rPr>
          <w:rFonts w:ascii="Times New Roman" w:hAnsi="Times New Roman" w:cs="Times New Roman"/>
          <w:i/>
          <w:sz w:val="24"/>
          <w:szCs w:val="24"/>
        </w:rPr>
        <w:t>,</w:t>
      </w:r>
      <w:r w:rsidR="00E36E2E" w:rsidRPr="008E3403">
        <w:rPr>
          <w:rFonts w:ascii="Times New Roman" w:hAnsi="Times New Roman" w:cs="Times New Roman"/>
          <w:iCs/>
          <w:sz w:val="24"/>
          <w:szCs w:val="24"/>
        </w:rPr>
        <w:t xml:space="preserve"> </w:t>
      </w:r>
      <w:r w:rsidR="00E36E2E" w:rsidRPr="008E3403">
        <w:rPr>
          <w:rFonts w:ascii="Times New Roman" w:hAnsi="Times New Roman" w:cs="Times New Roman"/>
          <w:i/>
          <w:sz w:val="24"/>
          <w:szCs w:val="24"/>
        </w:rPr>
        <w:t xml:space="preserve">ns - </w:t>
      </w:r>
      <w:r w:rsidR="00E36E2E" w:rsidRPr="006223BB">
        <w:rPr>
          <w:rFonts w:ascii="Times New Roman" w:hAnsi="Times New Roman" w:cs="Times New Roman"/>
          <w:iCs/>
          <w:sz w:val="24"/>
          <w:szCs w:val="24"/>
        </w:rPr>
        <w:t>not significant</w:t>
      </w:r>
      <w:r w:rsidR="00E36E2E" w:rsidRPr="008E3403">
        <w:rPr>
          <w:rFonts w:ascii="Times New Roman" w:hAnsi="Times New Roman" w:cs="Times New Roman"/>
          <w:iCs/>
          <w:sz w:val="24"/>
          <w:szCs w:val="24"/>
        </w:rPr>
        <w:t xml:space="preserve">. </w:t>
      </w:r>
      <w:bookmarkEnd w:id="2"/>
      <w:bookmarkEnd w:id="3"/>
    </w:p>
    <w:p w14:paraId="01EA91E5" w14:textId="3AD3691B" w:rsidR="00375C7A" w:rsidRDefault="00375C7A" w:rsidP="00375C7A">
      <w:pPr>
        <w:spacing w:line="240" w:lineRule="auto"/>
        <w:jc w:val="both"/>
        <w:rPr>
          <w:rFonts w:ascii="Times New Roman" w:hAnsi="Times New Roman" w:cs="Times New Roman"/>
          <w:sz w:val="24"/>
          <w:szCs w:val="24"/>
        </w:rPr>
      </w:pPr>
    </w:p>
    <w:p w14:paraId="74174080" w14:textId="77777777" w:rsidR="009C5EBE" w:rsidRDefault="009C5EBE" w:rsidP="00375C7A">
      <w:pPr>
        <w:spacing w:line="240" w:lineRule="auto"/>
        <w:jc w:val="both"/>
        <w:rPr>
          <w:rFonts w:ascii="Times New Roman" w:hAnsi="Times New Roman" w:cs="Times New Roman"/>
          <w:b/>
          <w:sz w:val="24"/>
          <w:szCs w:val="24"/>
        </w:rPr>
        <w:sectPr w:rsidR="009C5EBE" w:rsidSect="00375C7A">
          <w:pgSz w:w="11906" w:h="16838"/>
          <w:pgMar w:top="1134" w:right="851" w:bottom="1134" w:left="1701" w:header="709" w:footer="709" w:gutter="0"/>
          <w:cols w:space="708"/>
          <w:docGrid w:linePitch="360"/>
        </w:sectPr>
      </w:pPr>
      <w:bookmarkStart w:id="4" w:name="_GoBack"/>
      <w:bookmarkEnd w:id="4"/>
    </w:p>
    <w:p w14:paraId="7DA318EC" w14:textId="636F9CF0" w:rsidR="00E36E2E" w:rsidRDefault="00E36E2E" w:rsidP="00E36E2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w:t>
      </w:r>
      <w:r w:rsidRPr="00375C7A">
        <w:rPr>
          <w:rFonts w:ascii="Times New Roman" w:hAnsi="Times New Roman" w:cs="Times New Roman"/>
          <w:b/>
          <w:sz w:val="24"/>
          <w:szCs w:val="24"/>
        </w:rPr>
        <w:t>Tables</w:t>
      </w:r>
    </w:p>
    <w:p w14:paraId="2A1C6529" w14:textId="0F10413A" w:rsidR="009C5EBE" w:rsidRPr="009C5EBE" w:rsidRDefault="009C5EBE" w:rsidP="009C5EBE">
      <w:pPr>
        <w:rPr>
          <w:rFonts w:ascii="Times New Roman" w:hAnsi="Times New Roman" w:cs="Times New Roman"/>
          <w:sz w:val="24"/>
          <w:szCs w:val="24"/>
        </w:rPr>
      </w:pPr>
      <w:r w:rsidRPr="009C5EBE">
        <w:rPr>
          <w:rFonts w:ascii="Times New Roman" w:hAnsi="Times New Roman" w:cs="Times New Roman"/>
          <w:b/>
          <w:sz w:val="24"/>
          <w:szCs w:val="24"/>
        </w:rPr>
        <w:t>Table S1.</w:t>
      </w:r>
      <w:r w:rsidRPr="009C5EBE">
        <w:rPr>
          <w:rFonts w:ascii="Times New Roman" w:hAnsi="Times New Roman" w:cs="Times New Roman"/>
          <w:sz w:val="24"/>
          <w:szCs w:val="24"/>
        </w:rPr>
        <w:t xml:space="preserve"> Basic demographic of cohort of 444 COVID-19 patients.</w:t>
      </w:r>
    </w:p>
    <w:tbl>
      <w:tblPr>
        <w:tblStyle w:val="110"/>
        <w:tblW w:w="0" w:type="auto"/>
        <w:tblLook w:val="04A0" w:firstRow="1" w:lastRow="0" w:firstColumn="1" w:lastColumn="0" w:noHBand="0" w:noVBand="1"/>
      </w:tblPr>
      <w:tblGrid>
        <w:gridCol w:w="2696"/>
        <w:gridCol w:w="1657"/>
        <w:gridCol w:w="1740"/>
        <w:gridCol w:w="1580"/>
        <w:gridCol w:w="1805"/>
        <w:gridCol w:w="1762"/>
        <w:gridCol w:w="1800"/>
        <w:gridCol w:w="1520"/>
      </w:tblGrid>
      <w:tr w:rsidR="009C5EBE" w:rsidRPr="00375C7A" w14:paraId="2BFDA566" w14:textId="77777777" w:rsidTr="000B6A0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vMerge w:val="restart"/>
            <w:hideMark/>
          </w:tcPr>
          <w:p w14:paraId="1E61AB78"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Characteristics</w:t>
            </w:r>
          </w:p>
        </w:tc>
        <w:tc>
          <w:tcPr>
            <w:tcW w:w="1657" w:type="dxa"/>
            <w:vMerge w:val="restart"/>
            <w:hideMark/>
          </w:tcPr>
          <w:p w14:paraId="23FBCF58" w14:textId="77777777" w:rsidR="009C5EBE" w:rsidRPr="00375C7A" w:rsidRDefault="009C5EBE" w:rsidP="000B6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Healthy donors</w:t>
            </w:r>
          </w:p>
        </w:tc>
        <w:tc>
          <w:tcPr>
            <w:tcW w:w="1740" w:type="dxa"/>
            <w:vMerge w:val="restart"/>
            <w:noWrap/>
            <w:hideMark/>
          </w:tcPr>
          <w:p w14:paraId="0E4E3804" w14:textId="77777777" w:rsidR="009C5EBE" w:rsidRPr="00375C7A" w:rsidRDefault="009C5EBE" w:rsidP="000B6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All patients</w:t>
            </w:r>
          </w:p>
        </w:tc>
        <w:tc>
          <w:tcPr>
            <w:tcW w:w="8467" w:type="dxa"/>
            <w:gridSpan w:val="5"/>
            <w:noWrap/>
            <w:hideMark/>
          </w:tcPr>
          <w:p w14:paraId="69C7AB25" w14:textId="77777777" w:rsidR="009C5EBE" w:rsidRPr="00375C7A" w:rsidRDefault="009C5EBE" w:rsidP="000B6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Disease severity</w:t>
            </w:r>
          </w:p>
        </w:tc>
      </w:tr>
      <w:tr w:rsidR="009C5EBE" w:rsidRPr="00375C7A" w14:paraId="74502000"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vMerge/>
            <w:hideMark/>
          </w:tcPr>
          <w:p w14:paraId="3CBF16AB" w14:textId="77777777" w:rsidR="009C5EBE" w:rsidRPr="00375C7A" w:rsidRDefault="009C5EBE" w:rsidP="000B6A01">
            <w:pPr>
              <w:rPr>
                <w:rFonts w:ascii="Times New Roman" w:hAnsi="Times New Roman" w:cs="Times New Roman"/>
                <w:sz w:val="20"/>
                <w:szCs w:val="20"/>
              </w:rPr>
            </w:pPr>
          </w:p>
        </w:tc>
        <w:tc>
          <w:tcPr>
            <w:tcW w:w="1657" w:type="dxa"/>
            <w:vMerge/>
            <w:hideMark/>
          </w:tcPr>
          <w:p w14:paraId="09D5651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740" w:type="dxa"/>
            <w:vMerge/>
            <w:hideMark/>
          </w:tcPr>
          <w:p w14:paraId="5A938AA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580" w:type="dxa"/>
            <w:noWrap/>
            <w:hideMark/>
          </w:tcPr>
          <w:p w14:paraId="693A1E9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5C7A">
              <w:rPr>
                <w:rFonts w:ascii="Times New Roman" w:hAnsi="Times New Roman" w:cs="Times New Roman"/>
                <w:b/>
                <w:bCs/>
                <w:sz w:val="20"/>
                <w:szCs w:val="20"/>
              </w:rPr>
              <w:t>Mild</w:t>
            </w:r>
          </w:p>
        </w:tc>
        <w:tc>
          <w:tcPr>
            <w:tcW w:w="1805" w:type="dxa"/>
            <w:noWrap/>
            <w:hideMark/>
          </w:tcPr>
          <w:p w14:paraId="75B3D04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5C7A">
              <w:rPr>
                <w:rFonts w:ascii="Times New Roman" w:hAnsi="Times New Roman" w:cs="Times New Roman"/>
                <w:b/>
                <w:bCs/>
                <w:sz w:val="20"/>
                <w:szCs w:val="20"/>
              </w:rPr>
              <w:t>Mild-moderate</w:t>
            </w:r>
          </w:p>
        </w:tc>
        <w:tc>
          <w:tcPr>
            <w:tcW w:w="1762" w:type="dxa"/>
            <w:noWrap/>
            <w:hideMark/>
          </w:tcPr>
          <w:p w14:paraId="0E4B378D"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5C7A">
              <w:rPr>
                <w:rFonts w:ascii="Times New Roman" w:hAnsi="Times New Roman" w:cs="Times New Roman"/>
                <w:b/>
                <w:bCs/>
                <w:sz w:val="20"/>
                <w:szCs w:val="20"/>
              </w:rPr>
              <w:t>Moderate</w:t>
            </w:r>
          </w:p>
        </w:tc>
        <w:tc>
          <w:tcPr>
            <w:tcW w:w="1800" w:type="dxa"/>
            <w:noWrap/>
            <w:hideMark/>
          </w:tcPr>
          <w:p w14:paraId="769ECF6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5C7A">
              <w:rPr>
                <w:rFonts w:ascii="Times New Roman" w:hAnsi="Times New Roman" w:cs="Times New Roman"/>
                <w:b/>
                <w:bCs/>
                <w:sz w:val="20"/>
                <w:szCs w:val="20"/>
              </w:rPr>
              <w:t>Severe</w:t>
            </w:r>
          </w:p>
        </w:tc>
        <w:tc>
          <w:tcPr>
            <w:tcW w:w="1520" w:type="dxa"/>
            <w:noWrap/>
            <w:hideMark/>
          </w:tcPr>
          <w:p w14:paraId="4587583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5C7A">
              <w:rPr>
                <w:rFonts w:ascii="Times New Roman" w:hAnsi="Times New Roman" w:cs="Times New Roman"/>
                <w:b/>
                <w:bCs/>
                <w:sz w:val="20"/>
                <w:szCs w:val="20"/>
              </w:rPr>
              <w:t>ICU</w:t>
            </w:r>
          </w:p>
        </w:tc>
      </w:tr>
      <w:tr w:rsidR="009C5EBE" w:rsidRPr="00375C7A" w14:paraId="27B49EC0"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0E8A107" w14:textId="77777777" w:rsidR="009C5EBE" w:rsidRPr="00375C7A" w:rsidRDefault="009C5EBE" w:rsidP="000B6A01">
            <w:pPr>
              <w:rPr>
                <w:rFonts w:ascii="Times New Roman" w:hAnsi="Times New Roman" w:cs="Times New Roman"/>
                <w:sz w:val="20"/>
                <w:szCs w:val="20"/>
              </w:rPr>
            </w:pPr>
          </w:p>
        </w:tc>
        <w:tc>
          <w:tcPr>
            <w:tcW w:w="1657" w:type="dxa"/>
            <w:hideMark/>
          </w:tcPr>
          <w:p w14:paraId="37765B4A"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N=66</w:t>
            </w:r>
          </w:p>
        </w:tc>
        <w:tc>
          <w:tcPr>
            <w:tcW w:w="1740" w:type="dxa"/>
            <w:hideMark/>
          </w:tcPr>
          <w:p w14:paraId="5299063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N=444</w:t>
            </w:r>
          </w:p>
        </w:tc>
        <w:tc>
          <w:tcPr>
            <w:tcW w:w="1580" w:type="dxa"/>
            <w:hideMark/>
          </w:tcPr>
          <w:p w14:paraId="539142A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N=41</w:t>
            </w:r>
          </w:p>
        </w:tc>
        <w:tc>
          <w:tcPr>
            <w:tcW w:w="1805" w:type="dxa"/>
            <w:hideMark/>
          </w:tcPr>
          <w:p w14:paraId="06B5E69F"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N=98</w:t>
            </w:r>
          </w:p>
        </w:tc>
        <w:tc>
          <w:tcPr>
            <w:tcW w:w="1762" w:type="dxa"/>
            <w:hideMark/>
          </w:tcPr>
          <w:p w14:paraId="0B5D03D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N=137</w:t>
            </w:r>
          </w:p>
        </w:tc>
        <w:tc>
          <w:tcPr>
            <w:tcW w:w="1800" w:type="dxa"/>
            <w:hideMark/>
          </w:tcPr>
          <w:p w14:paraId="0A69B4D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N=129</w:t>
            </w:r>
          </w:p>
        </w:tc>
        <w:tc>
          <w:tcPr>
            <w:tcW w:w="1520" w:type="dxa"/>
            <w:hideMark/>
          </w:tcPr>
          <w:p w14:paraId="144B4C2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N=39</w:t>
            </w:r>
          </w:p>
        </w:tc>
      </w:tr>
      <w:tr w:rsidR="009C5EBE" w:rsidRPr="00375C7A" w14:paraId="58D38DEA"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573B02E4"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Percent of total</w:t>
            </w:r>
          </w:p>
        </w:tc>
        <w:tc>
          <w:tcPr>
            <w:tcW w:w="1657" w:type="dxa"/>
            <w:noWrap/>
            <w:hideMark/>
          </w:tcPr>
          <w:p w14:paraId="0DEAC830" w14:textId="7188B9C4"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7C9F">
              <w:rPr>
                <w:rFonts w:ascii="Times New Roman" w:hAnsi="Times New Roman" w:cs="Times New Roman"/>
                <w:sz w:val="20"/>
                <w:szCs w:val="20"/>
              </w:rPr>
              <w:t>NA</w:t>
            </w:r>
            <w:r w:rsidR="002D7C9F">
              <w:rPr>
                <w:rFonts w:ascii="Times New Roman" w:hAnsi="Times New Roman" w:cs="Times New Roman"/>
                <w:sz w:val="20"/>
                <w:szCs w:val="20"/>
              </w:rPr>
              <w:t>*</w:t>
            </w:r>
          </w:p>
        </w:tc>
        <w:tc>
          <w:tcPr>
            <w:tcW w:w="1740" w:type="dxa"/>
            <w:noWrap/>
            <w:hideMark/>
          </w:tcPr>
          <w:p w14:paraId="030E875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100%</w:t>
            </w:r>
          </w:p>
        </w:tc>
        <w:tc>
          <w:tcPr>
            <w:tcW w:w="1580" w:type="dxa"/>
            <w:noWrap/>
            <w:hideMark/>
          </w:tcPr>
          <w:p w14:paraId="5F6C084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w:t>
            </w:r>
          </w:p>
        </w:tc>
        <w:tc>
          <w:tcPr>
            <w:tcW w:w="1805" w:type="dxa"/>
            <w:noWrap/>
            <w:hideMark/>
          </w:tcPr>
          <w:p w14:paraId="4E8556B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22%</w:t>
            </w:r>
          </w:p>
        </w:tc>
        <w:tc>
          <w:tcPr>
            <w:tcW w:w="1762" w:type="dxa"/>
            <w:noWrap/>
            <w:hideMark/>
          </w:tcPr>
          <w:p w14:paraId="6C5BB42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31%</w:t>
            </w:r>
          </w:p>
        </w:tc>
        <w:tc>
          <w:tcPr>
            <w:tcW w:w="1800" w:type="dxa"/>
            <w:noWrap/>
            <w:hideMark/>
          </w:tcPr>
          <w:p w14:paraId="151BB6B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29%</w:t>
            </w:r>
          </w:p>
        </w:tc>
        <w:tc>
          <w:tcPr>
            <w:tcW w:w="1520" w:type="dxa"/>
            <w:noWrap/>
            <w:hideMark/>
          </w:tcPr>
          <w:p w14:paraId="633DE6F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w:t>
            </w:r>
          </w:p>
        </w:tc>
      </w:tr>
      <w:tr w:rsidR="009C5EBE" w:rsidRPr="00375C7A" w14:paraId="1389A155" w14:textId="77777777" w:rsidTr="000B6A01">
        <w:trPr>
          <w:trHeight w:val="630"/>
        </w:trPr>
        <w:tc>
          <w:tcPr>
            <w:cnfStyle w:val="001000000000" w:firstRow="0" w:lastRow="0" w:firstColumn="1" w:lastColumn="0" w:oddVBand="0" w:evenVBand="0" w:oddHBand="0" w:evenHBand="0" w:firstRowFirstColumn="0" w:firstRowLastColumn="0" w:lastRowFirstColumn="0" w:lastRowLastColumn="0"/>
            <w:tcW w:w="2696" w:type="dxa"/>
            <w:hideMark/>
          </w:tcPr>
          <w:p w14:paraId="46F83C93"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Median age (95% CI), years</w:t>
            </w:r>
          </w:p>
        </w:tc>
        <w:tc>
          <w:tcPr>
            <w:tcW w:w="1657" w:type="dxa"/>
            <w:noWrap/>
            <w:hideMark/>
          </w:tcPr>
          <w:p w14:paraId="3C38A2D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59,5 (30 - 74,3)</w:t>
            </w:r>
          </w:p>
        </w:tc>
        <w:tc>
          <w:tcPr>
            <w:tcW w:w="1740" w:type="dxa"/>
            <w:noWrap/>
            <w:hideMark/>
          </w:tcPr>
          <w:p w14:paraId="63CB672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60 (28 - 85,23)</w:t>
            </w:r>
          </w:p>
        </w:tc>
        <w:tc>
          <w:tcPr>
            <w:tcW w:w="1580" w:type="dxa"/>
            <w:noWrap/>
            <w:hideMark/>
          </w:tcPr>
          <w:p w14:paraId="0D41D9C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48 (26,1 - 84,4)</w:t>
            </w:r>
          </w:p>
        </w:tc>
        <w:tc>
          <w:tcPr>
            <w:tcW w:w="1805" w:type="dxa"/>
            <w:noWrap/>
            <w:hideMark/>
          </w:tcPr>
          <w:p w14:paraId="324B81A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61 (30,38 - 88,05)</w:t>
            </w:r>
          </w:p>
        </w:tc>
        <w:tc>
          <w:tcPr>
            <w:tcW w:w="1762" w:type="dxa"/>
            <w:noWrap/>
            <w:hideMark/>
          </w:tcPr>
          <w:p w14:paraId="15B8C00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57 (20,45 - 82)</w:t>
            </w:r>
          </w:p>
        </w:tc>
        <w:tc>
          <w:tcPr>
            <w:tcW w:w="1800" w:type="dxa"/>
            <w:noWrap/>
            <w:hideMark/>
          </w:tcPr>
          <w:p w14:paraId="6BAB8B68"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62 (36,25 - 89,25)</w:t>
            </w:r>
          </w:p>
        </w:tc>
        <w:tc>
          <w:tcPr>
            <w:tcW w:w="1520" w:type="dxa"/>
            <w:noWrap/>
            <w:hideMark/>
          </w:tcPr>
          <w:p w14:paraId="2F0FFDD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69 (24 - 93)</w:t>
            </w:r>
          </w:p>
        </w:tc>
      </w:tr>
      <w:tr w:rsidR="009C5EBE" w:rsidRPr="00375C7A" w14:paraId="7E84443F" w14:textId="77777777" w:rsidTr="000B6A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96" w:type="dxa"/>
            <w:hideMark/>
          </w:tcPr>
          <w:p w14:paraId="21FF0243"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Sex, female/male, no. (%)</w:t>
            </w:r>
          </w:p>
        </w:tc>
        <w:tc>
          <w:tcPr>
            <w:tcW w:w="1657" w:type="dxa"/>
            <w:noWrap/>
            <w:hideMark/>
          </w:tcPr>
          <w:p w14:paraId="4F0689A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58 (88)/8 (12)</w:t>
            </w:r>
          </w:p>
        </w:tc>
        <w:tc>
          <w:tcPr>
            <w:tcW w:w="1740" w:type="dxa"/>
            <w:noWrap/>
            <w:hideMark/>
          </w:tcPr>
          <w:p w14:paraId="48DB7FD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247 (56)/197 (44)</w:t>
            </w:r>
          </w:p>
        </w:tc>
        <w:tc>
          <w:tcPr>
            <w:tcW w:w="1580" w:type="dxa"/>
            <w:noWrap/>
            <w:hideMark/>
          </w:tcPr>
          <w:p w14:paraId="27C35EF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24 (60)/16 (40)</w:t>
            </w:r>
          </w:p>
        </w:tc>
        <w:tc>
          <w:tcPr>
            <w:tcW w:w="1805" w:type="dxa"/>
            <w:noWrap/>
            <w:hideMark/>
          </w:tcPr>
          <w:p w14:paraId="0D1E6AF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59 (60)/40 (40)</w:t>
            </w:r>
          </w:p>
        </w:tc>
        <w:tc>
          <w:tcPr>
            <w:tcW w:w="1762" w:type="dxa"/>
            <w:noWrap/>
            <w:hideMark/>
          </w:tcPr>
          <w:p w14:paraId="62F9712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74 (54)/63 (46)</w:t>
            </w:r>
          </w:p>
        </w:tc>
        <w:tc>
          <w:tcPr>
            <w:tcW w:w="1800" w:type="dxa"/>
            <w:noWrap/>
            <w:hideMark/>
          </w:tcPr>
          <w:p w14:paraId="1676913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69 (53)/59 (47)</w:t>
            </w:r>
          </w:p>
        </w:tc>
        <w:tc>
          <w:tcPr>
            <w:tcW w:w="1520" w:type="dxa"/>
            <w:noWrap/>
            <w:hideMark/>
          </w:tcPr>
          <w:p w14:paraId="5DAE306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20 (51)/19 (49)</w:t>
            </w:r>
          </w:p>
        </w:tc>
      </w:tr>
      <w:tr w:rsidR="009C5EBE" w:rsidRPr="00375C7A" w14:paraId="64834CB6" w14:textId="77777777" w:rsidTr="000B6A01">
        <w:trPr>
          <w:trHeight w:val="645"/>
        </w:trPr>
        <w:tc>
          <w:tcPr>
            <w:cnfStyle w:val="001000000000" w:firstRow="0" w:lastRow="0" w:firstColumn="1" w:lastColumn="0" w:oddVBand="0" w:evenVBand="0" w:oddHBand="0" w:evenHBand="0" w:firstRowFirstColumn="0" w:firstRowLastColumn="0" w:lastRowFirstColumn="0" w:lastRowLastColumn="0"/>
            <w:tcW w:w="2696" w:type="dxa"/>
            <w:hideMark/>
          </w:tcPr>
          <w:p w14:paraId="333B1AC0"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Median interval from symptoms onset on admission (95% CI), days</w:t>
            </w:r>
          </w:p>
        </w:tc>
        <w:tc>
          <w:tcPr>
            <w:tcW w:w="1657" w:type="dxa"/>
            <w:noWrap/>
            <w:hideMark/>
          </w:tcPr>
          <w:p w14:paraId="7D7E06F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66DD71E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(0 - 29,8)</w:t>
            </w:r>
          </w:p>
        </w:tc>
        <w:tc>
          <w:tcPr>
            <w:tcW w:w="1580" w:type="dxa"/>
            <w:noWrap/>
            <w:hideMark/>
          </w:tcPr>
          <w:p w14:paraId="58671AF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 (0 - 20)</w:t>
            </w:r>
          </w:p>
        </w:tc>
        <w:tc>
          <w:tcPr>
            <w:tcW w:w="1805" w:type="dxa"/>
            <w:noWrap/>
            <w:hideMark/>
          </w:tcPr>
          <w:p w14:paraId="06820EC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(9 - 31,05)</w:t>
            </w:r>
          </w:p>
        </w:tc>
        <w:tc>
          <w:tcPr>
            <w:tcW w:w="1762" w:type="dxa"/>
            <w:noWrap/>
            <w:hideMark/>
          </w:tcPr>
          <w:p w14:paraId="467CF59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 (0 - 28,75)</w:t>
            </w:r>
          </w:p>
        </w:tc>
        <w:tc>
          <w:tcPr>
            <w:tcW w:w="1800" w:type="dxa"/>
            <w:noWrap/>
            <w:hideMark/>
          </w:tcPr>
          <w:p w14:paraId="42E6051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(0 - 30,33)</w:t>
            </w:r>
          </w:p>
        </w:tc>
        <w:tc>
          <w:tcPr>
            <w:tcW w:w="1520" w:type="dxa"/>
            <w:noWrap/>
            <w:hideMark/>
          </w:tcPr>
          <w:p w14:paraId="0D5DDA1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(0 -31)</w:t>
            </w:r>
          </w:p>
        </w:tc>
      </w:tr>
      <w:tr w:rsidR="009C5EBE" w:rsidRPr="00375C7A" w14:paraId="5CEB1827" w14:textId="77777777" w:rsidTr="000B6A0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696" w:type="dxa"/>
            <w:hideMark/>
          </w:tcPr>
          <w:p w14:paraId="1C22C51A"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Median days of hospitalization (95% CI), days</w:t>
            </w:r>
          </w:p>
        </w:tc>
        <w:tc>
          <w:tcPr>
            <w:tcW w:w="1657" w:type="dxa"/>
            <w:noWrap/>
            <w:hideMark/>
          </w:tcPr>
          <w:p w14:paraId="7CF027E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43777E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12,5 (4 - 27)</w:t>
            </w:r>
          </w:p>
        </w:tc>
        <w:tc>
          <w:tcPr>
            <w:tcW w:w="1580" w:type="dxa"/>
            <w:noWrap/>
            <w:hideMark/>
          </w:tcPr>
          <w:p w14:paraId="7EFF883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11 (3 - 23,7)</w:t>
            </w:r>
          </w:p>
        </w:tc>
        <w:tc>
          <w:tcPr>
            <w:tcW w:w="1805" w:type="dxa"/>
            <w:noWrap/>
            <w:hideMark/>
          </w:tcPr>
          <w:p w14:paraId="2C18D79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 (2 - 21)</w:t>
            </w:r>
          </w:p>
        </w:tc>
        <w:tc>
          <w:tcPr>
            <w:tcW w:w="1762" w:type="dxa"/>
            <w:noWrap/>
            <w:hideMark/>
          </w:tcPr>
          <w:p w14:paraId="50142F7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(2,35 - 24,55)</w:t>
            </w:r>
          </w:p>
        </w:tc>
        <w:tc>
          <w:tcPr>
            <w:tcW w:w="1800" w:type="dxa"/>
            <w:noWrap/>
            <w:hideMark/>
          </w:tcPr>
          <w:p w14:paraId="316D15F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(5,25 - 37,75)</w:t>
            </w:r>
          </w:p>
        </w:tc>
        <w:tc>
          <w:tcPr>
            <w:tcW w:w="1520" w:type="dxa"/>
            <w:noWrap/>
            <w:hideMark/>
          </w:tcPr>
          <w:p w14:paraId="40F0474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(4 - 41)</w:t>
            </w:r>
          </w:p>
        </w:tc>
      </w:tr>
      <w:tr w:rsidR="009C5EBE" w:rsidRPr="00375C7A" w14:paraId="4D618464" w14:textId="77777777" w:rsidTr="000B6A01">
        <w:trPr>
          <w:trHeight w:val="615"/>
        </w:trPr>
        <w:tc>
          <w:tcPr>
            <w:cnfStyle w:val="001000000000" w:firstRow="0" w:lastRow="0" w:firstColumn="1" w:lastColumn="0" w:oddVBand="0" w:evenVBand="0" w:oddHBand="0" w:evenHBand="0" w:firstRowFirstColumn="0" w:firstRowLastColumn="0" w:lastRowFirstColumn="0" w:lastRowLastColumn="0"/>
            <w:tcW w:w="2696" w:type="dxa"/>
            <w:hideMark/>
          </w:tcPr>
          <w:p w14:paraId="420A7433"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SARS-CoV-2 PCR positive patients, no. (%)</w:t>
            </w:r>
          </w:p>
        </w:tc>
        <w:tc>
          <w:tcPr>
            <w:tcW w:w="1657" w:type="dxa"/>
            <w:noWrap/>
            <w:hideMark/>
          </w:tcPr>
          <w:p w14:paraId="26188ED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172B8394" w14:textId="66D6E902"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29</w:t>
            </w:r>
            <w:r w:rsidR="00172F90">
              <w:rPr>
                <w:rFonts w:ascii="Times New Roman" w:hAnsi="Times New Roman" w:cs="Times New Roman"/>
                <w:sz w:val="20"/>
                <w:szCs w:val="20"/>
              </w:rPr>
              <w:t>8</w:t>
            </w:r>
            <w:r w:rsidRPr="00375C7A">
              <w:rPr>
                <w:rFonts w:ascii="Times New Roman" w:hAnsi="Times New Roman" w:cs="Times New Roman"/>
                <w:sz w:val="20"/>
                <w:szCs w:val="20"/>
              </w:rPr>
              <w:t xml:space="preserve"> (58)</w:t>
            </w:r>
          </w:p>
        </w:tc>
        <w:tc>
          <w:tcPr>
            <w:tcW w:w="1580" w:type="dxa"/>
            <w:noWrap/>
            <w:hideMark/>
          </w:tcPr>
          <w:p w14:paraId="7B637936" w14:textId="6CC379DF" w:rsidR="009C5EBE" w:rsidRPr="00375C7A" w:rsidRDefault="009C5EBE" w:rsidP="00172F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w:t>
            </w:r>
            <w:r w:rsidR="00172F90">
              <w:rPr>
                <w:rFonts w:ascii="Times New Roman" w:hAnsi="Times New Roman" w:cs="Times New Roman"/>
                <w:sz w:val="20"/>
                <w:szCs w:val="20"/>
              </w:rPr>
              <w:t>5</w:t>
            </w:r>
            <w:r w:rsidRPr="00375C7A">
              <w:rPr>
                <w:rFonts w:ascii="Times New Roman" w:hAnsi="Times New Roman" w:cs="Times New Roman"/>
                <w:sz w:val="20"/>
                <w:szCs w:val="20"/>
              </w:rPr>
              <w:t xml:space="preserve"> (</w:t>
            </w:r>
            <w:r w:rsidR="00172F90">
              <w:rPr>
                <w:rFonts w:ascii="Times New Roman" w:hAnsi="Times New Roman" w:cs="Times New Roman"/>
                <w:sz w:val="20"/>
                <w:szCs w:val="20"/>
              </w:rPr>
              <w:t>60</w:t>
            </w:r>
            <w:r w:rsidRPr="00375C7A">
              <w:rPr>
                <w:rFonts w:ascii="Times New Roman" w:hAnsi="Times New Roman" w:cs="Times New Roman"/>
                <w:sz w:val="20"/>
                <w:szCs w:val="20"/>
              </w:rPr>
              <w:t>)</w:t>
            </w:r>
          </w:p>
        </w:tc>
        <w:tc>
          <w:tcPr>
            <w:tcW w:w="1805" w:type="dxa"/>
            <w:noWrap/>
            <w:hideMark/>
          </w:tcPr>
          <w:p w14:paraId="322E128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60 (61)</w:t>
            </w:r>
          </w:p>
        </w:tc>
        <w:tc>
          <w:tcPr>
            <w:tcW w:w="1762" w:type="dxa"/>
            <w:noWrap/>
            <w:hideMark/>
          </w:tcPr>
          <w:p w14:paraId="2C891C3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95 (69)</w:t>
            </w:r>
          </w:p>
        </w:tc>
        <w:tc>
          <w:tcPr>
            <w:tcW w:w="1800" w:type="dxa"/>
            <w:noWrap/>
            <w:hideMark/>
          </w:tcPr>
          <w:p w14:paraId="230BF75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87 (67)</w:t>
            </w:r>
          </w:p>
        </w:tc>
        <w:tc>
          <w:tcPr>
            <w:tcW w:w="1520" w:type="dxa"/>
            <w:noWrap/>
            <w:hideMark/>
          </w:tcPr>
          <w:p w14:paraId="1D1BC50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31 (79)</w:t>
            </w:r>
          </w:p>
        </w:tc>
      </w:tr>
      <w:tr w:rsidR="009C5EBE" w:rsidRPr="00375C7A" w14:paraId="296385C6"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120BFAE"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Oxygen therapy, no. (%)</w:t>
            </w:r>
          </w:p>
        </w:tc>
        <w:tc>
          <w:tcPr>
            <w:tcW w:w="1657" w:type="dxa"/>
            <w:noWrap/>
            <w:hideMark/>
          </w:tcPr>
          <w:p w14:paraId="5066376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7C681EF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232 (52)</w:t>
            </w:r>
          </w:p>
        </w:tc>
        <w:tc>
          <w:tcPr>
            <w:tcW w:w="1580" w:type="dxa"/>
            <w:noWrap/>
            <w:hideMark/>
          </w:tcPr>
          <w:p w14:paraId="4177EA0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(2)</w:t>
            </w:r>
          </w:p>
        </w:tc>
        <w:tc>
          <w:tcPr>
            <w:tcW w:w="1805" w:type="dxa"/>
            <w:noWrap/>
            <w:hideMark/>
          </w:tcPr>
          <w:p w14:paraId="305AE12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33 (34)</w:t>
            </w:r>
          </w:p>
        </w:tc>
        <w:tc>
          <w:tcPr>
            <w:tcW w:w="1762" w:type="dxa"/>
            <w:noWrap/>
            <w:hideMark/>
          </w:tcPr>
          <w:p w14:paraId="297C1BE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63 (46)</w:t>
            </w:r>
          </w:p>
        </w:tc>
        <w:tc>
          <w:tcPr>
            <w:tcW w:w="1800" w:type="dxa"/>
            <w:noWrap/>
            <w:hideMark/>
          </w:tcPr>
          <w:p w14:paraId="1947A0D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100 (78)</w:t>
            </w:r>
          </w:p>
        </w:tc>
        <w:tc>
          <w:tcPr>
            <w:tcW w:w="1520" w:type="dxa"/>
            <w:noWrap/>
            <w:hideMark/>
          </w:tcPr>
          <w:p w14:paraId="6BF176B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35 (90)</w:t>
            </w:r>
          </w:p>
        </w:tc>
      </w:tr>
      <w:tr w:rsidR="009C5EBE" w:rsidRPr="00375C7A" w14:paraId="6497CB73"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6A0FC130"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Comorbidities, no. (%)</w:t>
            </w:r>
          </w:p>
        </w:tc>
        <w:tc>
          <w:tcPr>
            <w:tcW w:w="1657" w:type="dxa"/>
            <w:noWrap/>
            <w:hideMark/>
          </w:tcPr>
          <w:p w14:paraId="79733A7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54977E0A"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325 (73)</w:t>
            </w:r>
          </w:p>
        </w:tc>
        <w:tc>
          <w:tcPr>
            <w:tcW w:w="1580" w:type="dxa"/>
            <w:noWrap/>
            <w:hideMark/>
          </w:tcPr>
          <w:p w14:paraId="52CB1B2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22 (54)</w:t>
            </w:r>
          </w:p>
        </w:tc>
        <w:tc>
          <w:tcPr>
            <w:tcW w:w="1805" w:type="dxa"/>
            <w:noWrap/>
            <w:hideMark/>
          </w:tcPr>
          <w:p w14:paraId="54DC7E2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73 (74)</w:t>
            </w:r>
          </w:p>
        </w:tc>
        <w:tc>
          <w:tcPr>
            <w:tcW w:w="1762" w:type="dxa"/>
            <w:noWrap/>
            <w:hideMark/>
          </w:tcPr>
          <w:p w14:paraId="29DF9A39"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95 (69)</w:t>
            </w:r>
          </w:p>
        </w:tc>
        <w:tc>
          <w:tcPr>
            <w:tcW w:w="1800" w:type="dxa"/>
            <w:noWrap/>
            <w:hideMark/>
          </w:tcPr>
          <w:p w14:paraId="022C353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100 (78)</w:t>
            </w:r>
          </w:p>
        </w:tc>
        <w:tc>
          <w:tcPr>
            <w:tcW w:w="1520" w:type="dxa"/>
            <w:noWrap/>
            <w:hideMark/>
          </w:tcPr>
          <w:p w14:paraId="7501E41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35 (90)</w:t>
            </w:r>
          </w:p>
        </w:tc>
      </w:tr>
      <w:tr w:rsidR="009C5EBE" w:rsidRPr="00375C7A" w14:paraId="7549DBC7"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E64F92F"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In-hospital mortality, no (%)</w:t>
            </w:r>
          </w:p>
        </w:tc>
        <w:tc>
          <w:tcPr>
            <w:tcW w:w="1657" w:type="dxa"/>
            <w:noWrap/>
            <w:hideMark/>
          </w:tcPr>
          <w:p w14:paraId="72B843F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213FD9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28 (6)</w:t>
            </w:r>
          </w:p>
        </w:tc>
        <w:tc>
          <w:tcPr>
            <w:tcW w:w="1580" w:type="dxa"/>
            <w:noWrap/>
            <w:hideMark/>
          </w:tcPr>
          <w:p w14:paraId="73F3B5B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678EE1A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762" w:type="dxa"/>
            <w:noWrap/>
            <w:hideMark/>
          </w:tcPr>
          <w:p w14:paraId="6F72C78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0" w:type="dxa"/>
            <w:noWrap/>
            <w:hideMark/>
          </w:tcPr>
          <w:p w14:paraId="215CC74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(0,8)</w:t>
            </w:r>
          </w:p>
        </w:tc>
        <w:tc>
          <w:tcPr>
            <w:tcW w:w="1520" w:type="dxa"/>
            <w:noWrap/>
            <w:hideMark/>
          </w:tcPr>
          <w:p w14:paraId="7F54DA5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27 (69)</w:t>
            </w:r>
          </w:p>
        </w:tc>
      </w:tr>
      <w:tr w:rsidR="009C5EBE" w:rsidRPr="00375C7A" w14:paraId="7C683444"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D8151E9" w14:textId="77777777" w:rsidR="009C5EBE" w:rsidRPr="00375C7A" w:rsidRDefault="009C5EBE" w:rsidP="000B6A01">
            <w:pPr>
              <w:rPr>
                <w:rFonts w:ascii="Times New Roman" w:hAnsi="Times New Roman" w:cs="Times New Roman"/>
                <w:sz w:val="20"/>
                <w:szCs w:val="20"/>
              </w:rPr>
            </w:pPr>
          </w:p>
        </w:tc>
        <w:tc>
          <w:tcPr>
            <w:tcW w:w="1657" w:type="dxa"/>
            <w:noWrap/>
            <w:hideMark/>
          </w:tcPr>
          <w:p w14:paraId="553031C8"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40" w:type="dxa"/>
            <w:noWrap/>
            <w:hideMark/>
          </w:tcPr>
          <w:p w14:paraId="34F2B33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5DD19AC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4D2C53D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3898F669"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5F31E06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177B9DFA"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C5EBE" w:rsidRPr="00375C7A" w14:paraId="4CCB5033" w14:textId="77777777" w:rsidTr="000B6A01">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560" w:type="dxa"/>
            <w:gridSpan w:val="8"/>
            <w:hideMark/>
          </w:tcPr>
          <w:p w14:paraId="44AA1A9A" w14:textId="77777777" w:rsidR="009C5EBE" w:rsidRPr="00375C7A" w:rsidRDefault="009C5EBE" w:rsidP="000B6A01">
            <w:pPr>
              <w:jc w:val="center"/>
              <w:rPr>
                <w:rFonts w:ascii="Times New Roman" w:hAnsi="Times New Roman" w:cs="Times New Roman"/>
                <w:sz w:val="20"/>
                <w:szCs w:val="20"/>
              </w:rPr>
            </w:pPr>
            <w:r w:rsidRPr="00375C7A">
              <w:rPr>
                <w:rFonts w:ascii="Times New Roman" w:hAnsi="Times New Roman" w:cs="Times New Roman"/>
                <w:sz w:val="20"/>
                <w:szCs w:val="20"/>
              </w:rPr>
              <w:t>Differentiation criteria of severity</w:t>
            </w:r>
          </w:p>
        </w:tc>
      </w:tr>
      <w:tr w:rsidR="009C5EBE" w:rsidRPr="00375C7A" w14:paraId="07B0EF59" w14:textId="77777777" w:rsidTr="000B6A01">
        <w:trPr>
          <w:trHeight w:val="337"/>
        </w:trPr>
        <w:tc>
          <w:tcPr>
            <w:cnfStyle w:val="001000000000" w:firstRow="0" w:lastRow="0" w:firstColumn="1" w:lastColumn="0" w:oddVBand="0" w:evenVBand="0" w:oddHBand="0" w:evenHBand="0" w:firstRowFirstColumn="0" w:firstRowLastColumn="0" w:lastRowFirstColumn="0" w:lastRowLastColumn="0"/>
            <w:tcW w:w="2696" w:type="dxa"/>
            <w:hideMark/>
          </w:tcPr>
          <w:p w14:paraId="2ED08E98"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Chest CT findings on admission</w:t>
            </w:r>
          </w:p>
        </w:tc>
        <w:tc>
          <w:tcPr>
            <w:tcW w:w="1657" w:type="dxa"/>
            <w:noWrap/>
            <w:hideMark/>
          </w:tcPr>
          <w:p w14:paraId="11FB1D6F"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740" w:type="dxa"/>
            <w:noWrap/>
            <w:hideMark/>
          </w:tcPr>
          <w:p w14:paraId="69A4F859"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78D8640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2082E18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581392E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01F74FA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07B6B7A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C5EBE" w:rsidRPr="00375C7A" w14:paraId="6BAFF891"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9DAD3BC"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Abnormal results, no. (%)</w:t>
            </w:r>
          </w:p>
        </w:tc>
        <w:tc>
          <w:tcPr>
            <w:tcW w:w="1657" w:type="dxa"/>
            <w:noWrap/>
            <w:hideMark/>
          </w:tcPr>
          <w:p w14:paraId="4AF9968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6410E46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405 (91)</w:t>
            </w:r>
          </w:p>
        </w:tc>
        <w:tc>
          <w:tcPr>
            <w:tcW w:w="1580" w:type="dxa"/>
            <w:noWrap/>
            <w:hideMark/>
          </w:tcPr>
          <w:p w14:paraId="77172D1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32 (78)</w:t>
            </w:r>
          </w:p>
        </w:tc>
        <w:tc>
          <w:tcPr>
            <w:tcW w:w="1805" w:type="dxa"/>
            <w:noWrap/>
            <w:hideMark/>
          </w:tcPr>
          <w:p w14:paraId="4F28C35C"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86 (88)</w:t>
            </w:r>
          </w:p>
        </w:tc>
        <w:tc>
          <w:tcPr>
            <w:tcW w:w="1762" w:type="dxa"/>
            <w:noWrap/>
            <w:hideMark/>
          </w:tcPr>
          <w:p w14:paraId="69DB86B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125 (91)</w:t>
            </w:r>
          </w:p>
        </w:tc>
        <w:tc>
          <w:tcPr>
            <w:tcW w:w="1800" w:type="dxa"/>
            <w:noWrap/>
            <w:hideMark/>
          </w:tcPr>
          <w:p w14:paraId="25CB588C"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128 (99)</w:t>
            </w:r>
          </w:p>
        </w:tc>
        <w:tc>
          <w:tcPr>
            <w:tcW w:w="1520" w:type="dxa"/>
            <w:noWrap/>
            <w:hideMark/>
          </w:tcPr>
          <w:p w14:paraId="0510AC5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34 (87)</w:t>
            </w:r>
          </w:p>
        </w:tc>
      </w:tr>
      <w:tr w:rsidR="009C5EBE" w:rsidRPr="00375C7A" w14:paraId="0686A387"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58DFBBA6"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no CT changes</w:t>
            </w:r>
          </w:p>
        </w:tc>
        <w:tc>
          <w:tcPr>
            <w:tcW w:w="1657" w:type="dxa"/>
            <w:noWrap/>
            <w:hideMark/>
          </w:tcPr>
          <w:p w14:paraId="1A2EBB9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0DDEE24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26 (6)</w:t>
            </w:r>
          </w:p>
        </w:tc>
        <w:tc>
          <w:tcPr>
            <w:tcW w:w="1580" w:type="dxa"/>
            <w:noWrap/>
            <w:hideMark/>
          </w:tcPr>
          <w:p w14:paraId="3A9C6D0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(17)</w:t>
            </w:r>
          </w:p>
        </w:tc>
        <w:tc>
          <w:tcPr>
            <w:tcW w:w="1805" w:type="dxa"/>
            <w:noWrap/>
            <w:hideMark/>
          </w:tcPr>
          <w:p w14:paraId="1E0F833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(6)</w:t>
            </w:r>
          </w:p>
        </w:tc>
        <w:tc>
          <w:tcPr>
            <w:tcW w:w="1762" w:type="dxa"/>
            <w:noWrap/>
            <w:hideMark/>
          </w:tcPr>
          <w:p w14:paraId="54293DA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 (7)</w:t>
            </w:r>
          </w:p>
        </w:tc>
        <w:tc>
          <w:tcPr>
            <w:tcW w:w="1800" w:type="dxa"/>
            <w:noWrap/>
            <w:hideMark/>
          </w:tcPr>
          <w:p w14:paraId="4D30033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520" w:type="dxa"/>
            <w:noWrap/>
            <w:hideMark/>
          </w:tcPr>
          <w:p w14:paraId="45F942D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 (8)</w:t>
            </w:r>
          </w:p>
        </w:tc>
      </w:tr>
      <w:tr w:rsidR="009C5EBE" w:rsidRPr="00375C7A" w14:paraId="7FD01A12" w14:textId="77777777" w:rsidTr="000B6A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6" w:type="dxa"/>
            <w:hideMark/>
          </w:tcPr>
          <w:p w14:paraId="763C2EF5"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no information</w:t>
            </w:r>
          </w:p>
        </w:tc>
        <w:tc>
          <w:tcPr>
            <w:tcW w:w="1657" w:type="dxa"/>
            <w:noWrap/>
            <w:hideMark/>
          </w:tcPr>
          <w:p w14:paraId="7DE260B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70A4518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(3)</w:t>
            </w:r>
          </w:p>
        </w:tc>
        <w:tc>
          <w:tcPr>
            <w:tcW w:w="1580" w:type="dxa"/>
            <w:noWrap/>
            <w:hideMark/>
          </w:tcPr>
          <w:p w14:paraId="6AD858D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c>
          <w:tcPr>
            <w:tcW w:w="1805" w:type="dxa"/>
            <w:noWrap/>
            <w:hideMark/>
          </w:tcPr>
          <w:p w14:paraId="08D453B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(6)</w:t>
            </w:r>
          </w:p>
        </w:tc>
        <w:tc>
          <w:tcPr>
            <w:tcW w:w="1762" w:type="dxa"/>
            <w:noWrap/>
            <w:hideMark/>
          </w:tcPr>
          <w:p w14:paraId="549C952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(1)</w:t>
            </w:r>
          </w:p>
        </w:tc>
        <w:tc>
          <w:tcPr>
            <w:tcW w:w="1800" w:type="dxa"/>
            <w:noWrap/>
            <w:hideMark/>
          </w:tcPr>
          <w:p w14:paraId="1613EFA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(1)</w:t>
            </w:r>
          </w:p>
        </w:tc>
        <w:tc>
          <w:tcPr>
            <w:tcW w:w="1520" w:type="dxa"/>
            <w:noWrap/>
            <w:hideMark/>
          </w:tcPr>
          <w:p w14:paraId="15DDFA18"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r>
      <w:tr w:rsidR="009C5EBE" w:rsidRPr="00375C7A" w14:paraId="5B7DF0C2" w14:textId="77777777" w:rsidTr="000B6A01">
        <w:trPr>
          <w:trHeight w:val="345"/>
        </w:trPr>
        <w:tc>
          <w:tcPr>
            <w:cnfStyle w:val="001000000000" w:firstRow="0" w:lastRow="0" w:firstColumn="1" w:lastColumn="0" w:oddVBand="0" w:evenVBand="0" w:oddHBand="0" w:evenHBand="0" w:firstRowFirstColumn="0" w:firstRowLastColumn="0" w:lastRowFirstColumn="0" w:lastRowLastColumn="0"/>
            <w:tcW w:w="2696" w:type="dxa"/>
            <w:hideMark/>
          </w:tcPr>
          <w:p w14:paraId="6D851CF2"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Degree of involvement, no. (%)</w:t>
            </w:r>
          </w:p>
        </w:tc>
        <w:tc>
          <w:tcPr>
            <w:tcW w:w="1657" w:type="dxa"/>
            <w:noWrap/>
            <w:hideMark/>
          </w:tcPr>
          <w:p w14:paraId="26B46C39" w14:textId="77777777" w:rsidR="009C5EBE" w:rsidRPr="00375C7A" w:rsidRDefault="009C5EBE" w:rsidP="000B6A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40" w:type="dxa"/>
            <w:noWrap/>
            <w:hideMark/>
          </w:tcPr>
          <w:p w14:paraId="72A8875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465E17F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22CAFBAF"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602639F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3589DCC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04E8367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C5EBE" w:rsidRPr="00375C7A" w14:paraId="660A9CC2"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098A1C8B"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lastRenderedPageBreak/>
              <w:t>≤ 50% (CT score 1-2)</w:t>
            </w:r>
          </w:p>
        </w:tc>
        <w:tc>
          <w:tcPr>
            <w:tcW w:w="1657" w:type="dxa"/>
            <w:noWrap/>
            <w:hideMark/>
          </w:tcPr>
          <w:p w14:paraId="1275C0B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4A6ED32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267 (60)</w:t>
            </w:r>
          </w:p>
        </w:tc>
        <w:tc>
          <w:tcPr>
            <w:tcW w:w="1580" w:type="dxa"/>
            <w:noWrap/>
            <w:hideMark/>
          </w:tcPr>
          <w:p w14:paraId="18A701C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26 (63)</w:t>
            </w:r>
          </w:p>
        </w:tc>
        <w:tc>
          <w:tcPr>
            <w:tcW w:w="1805" w:type="dxa"/>
            <w:noWrap/>
            <w:hideMark/>
          </w:tcPr>
          <w:p w14:paraId="59FC89E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71 (72)</w:t>
            </w:r>
          </w:p>
        </w:tc>
        <w:tc>
          <w:tcPr>
            <w:tcW w:w="1762" w:type="dxa"/>
            <w:noWrap/>
            <w:hideMark/>
          </w:tcPr>
          <w:p w14:paraId="484470B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98 (72)</w:t>
            </w:r>
          </w:p>
        </w:tc>
        <w:tc>
          <w:tcPr>
            <w:tcW w:w="1800" w:type="dxa"/>
            <w:noWrap/>
            <w:hideMark/>
          </w:tcPr>
          <w:p w14:paraId="04A4DC9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56 (43)</w:t>
            </w:r>
          </w:p>
        </w:tc>
        <w:tc>
          <w:tcPr>
            <w:tcW w:w="1520" w:type="dxa"/>
            <w:noWrap/>
            <w:hideMark/>
          </w:tcPr>
          <w:p w14:paraId="43B085D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16 (41)</w:t>
            </w:r>
          </w:p>
        </w:tc>
      </w:tr>
      <w:tr w:rsidR="009C5EBE" w:rsidRPr="00375C7A" w14:paraId="1E5E8F54"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02CA5A7"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&gt; 50% (CT score 3-4)</w:t>
            </w:r>
          </w:p>
        </w:tc>
        <w:tc>
          <w:tcPr>
            <w:tcW w:w="1657" w:type="dxa"/>
            <w:noWrap/>
            <w:hideMark/>
          </w:tcPr>
          <w:p w14:paraId="0BDBD61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0BB0920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73 (16)</w:t>
            </w:r>
          </w:p>
        </w:tc>
        <w:tc>
          <w:tcPr>
            <w:tcW w:w="1580" w:type="dxa"/>
            <w:noWrap/>
            <w:hideMark/>
          </w:tcPr>
          <w:p w14:paraId="0FDE414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5C7AFF8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762" w:type="dxa"/>
            <w:noWrap/>
            <w:hideMark/>
          </w:tcPr>
          <w:p w14:paraId="75A8F95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0" w:type="dxa"/>
            <w:noWrap/>
            <w:hideMark/>
          </w:tcPr>
          <w:p w14:paraId="6E7253A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59 (46)</w:t>
            </w:r>
          </w:p>
        </w:tc>
        <w:tc>
          <w:tcPr>
            <w:tcW w:w="1520" w:type="dxa"/>
            <w:noWrap/>
            <w:hideMark/>
          </w:tcPr>
          <w:p w14:paraId="32FFE77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14 (36)</w:t>
            </w:r>
          </w:p>
        </w:tc>
      </w:tr>
      <w:tr w:rsidR="009C5EBE" w:rsidRPr="00375C7A" w14:paraId="4BF9C314"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CAD429D"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score unknown</w:t>
            </w:r>
          </w:p>
        </w:tc>
        <w:tc>
          <w:tcPr>
            <w:tcW w:w="1657" w:type="dxa"/>
            <w:noWrap/>
            <w:hideMark/>
          </w:tcPr>
          <w:p w14:paraId="0DE1444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1603FC1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65 (15)</w:t>
            </w:r>
          </w:p>
        </w:tc>
        <w:tc>
          <w:tcPr>
            <w:tcW w:w="1580" w:type="dxa"/>
            <w:noWrap/>
            <w:hideMark/>
          </w:tcPr>
          <w:p w14:paraId="31EB5BC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(15)</w:t>
            </w:r>
          </w:p>
        </w:tc>
        <w:tc>
          <w:tcPr>
            <w:tcW w:w="1805" w:type="dxa"/>
            <w:noWrap/>
            <w:hideMark/>
          </w:tcPr>
          <w:p w14:paraId="2D2C64B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15 (15)</w:t>
            </w:r>
          </w:p>
        </w:tc>
        <w:tc>
          <w:tcPr>
            <w:tcW w:w="1762" w:type="dxa"/>
            <w:noWrap/>
            <w:hideMark/>
          </w:tcPr>
          <w:p w14:paraId="1B218E24"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27 (20)</w:t>
            </w:r>
          </w:p>
        </w:tc>
        <w:tc>
          <w:tcPr>
            <w:tcW w:w="1800" w:type="dxa"/>
            <w:noWrap/>
            <w:hideMark/>
          </w:tcPr>
          <w:p w14:paraId="7156A8A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(10)</w:t>
            </w:r>
          </w:p>
        </w:tc>
        <w:tc>
          <w:tcPr>
            <w:tcW w:w="1520" w:type="dxa"/>
            <w:noWrap/>
            <w:hideMark/>
          </w:tcPr>
          <w:p w14:paraId="2490397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 (10)</w:t>
            </w:r>
          </w:p>
        </w:tc>
      </w:tr>
      <w:tr w:rsidR="009C5EBE" w:rsidRPr="00375C7A" w14:paraId="5345AC49"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7BDB43A"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Saturation of oxygen (SpO</w:t>
            </w:r>
            <w:r w:rsidRPr="00375C7A">
              <w:rPr>
                <w:rFonts w:ascii="Times New Roman" w:hAnsi="Times New Roman" w:cs="Times New Roman"/>
                <w:sz w:val="20"/>
                <w:szCs w:val="20"/>
                <w:vertAlign w:val="subscript"/>
              </w:rPr>
              <w:t>2</w:t>
            </w:r>
            <w:r w:rsidRPr="00375C7A">
              <w:rPr>
                <w:rFonts w:ascii="Times New Roman" w:hAnsi="Times New Roman" w:cs="Times New Roman"/>
                <w:sz w:val="20"/>
                <w:szCs w:val="20"/>
              </w:rPr>
              <w:t>), no. (%)</w:t>
            </w:r>
          </w:p>
        </w:tc>
        <w:tc>
          <w:tcPr>
            <w:tcW w:w="1657" w:type="dxa"/>
            <w:noWrap/>
            <w:hideMark/>
          </w:tcPr>
          <w:p w14:paraId="53B7E65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740" w:type="dxa"/>
            <w:noWrap/>
            <w:hideMark/>
          </w:tcPr>
          <w:p w14:paraId="510D810F"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0E1CFF48"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097A370A"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309E31D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3FEB736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46B61B6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C5EBE" w:rsidRPr="00375C7A" w14:paraId="0BDB63FD"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2EF4802"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&gt;93%</w:t>
            </w:r>
          </w:p>
        </w:tc>
        <w:tc>
          <w:tcPr>
            <w:tcW w:w="1657" w:type="dxa"/>
            <w:noWrap/>
            <w:hideMark/>
          </w:tcPr>
          <w:p w14:paraId="20AA464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3F55D0B4"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330 (74)</w:t>
            </w:r>
          </w:p>
        </w:tc>
        <w:tc>
          <w:tcPr>
            <w:tcW w:w="1580" w:type="dxa"/>
            <w:noWrap/>
            <w:hideMark/>
          </w:tcPr>
          <w:p w14:paraId="5A345FD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41 (100)</w:t>
            </w:r>
          </w:p>
        </w:tc>
        <w:tc>
          <w:tcPr>
            <w:tcW w:w="1805" w:type="dxa"/>
            <w:noWrap/>
            <w:hideMark/>
          </w:tcPr>
          <w:p w14:paraId="264E45ED"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97(99)</w:t>
            </w:r>
          </w:p>
        </w:tc>
        <w:tc>
          <w:tcPr>
            <w:tcW w:w="1762" w:type="dxa"/>
            <w:noWrap/>
            <w:hideMark/>
          </w:tcPr>
          <w:p w14:paraId="23DD681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132 (96)</w:t>
            </w:r>
          </w:p>
        </w:tc>
        <w:tc>
          <w:tcPr>
            <w:tcW w:w="1800" w:type="dxa"/>
            <w:noWrap/>
            <w:hideMark/>
          </w:tcPr>
          <w:p w14:paraId="7FF02AA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41 (32)</w:t>
            </w:r>
          </w:p>
        </w:tc>
        <w:tc>
          <w:tcPr>
            <w:tcW w:w="1520" w:type="dxa"/>
            <w:noWrap/>
            <w:hideMark/>
          </w:tcPr>
          <w:p w14:paraId="3BA0334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19 (49)</w:t>
            </w:r>
          </w:p>
        </w:tc>
      </w:tr>
      <w:tr w:rsidR="009C5EBE" w:rsidRPr="00375C7A" w14:paraId="04070CA8"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7A97A1CB"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≤93%</w:t>
            </w:r>
          </w:p>
        </w:tc>
        <w:tc>
          <w:tcPr>
            <w:tcW w:w="1657" w:type="dxa"/>
            <w:noWrap/>
            <w:hideMark/>
          </w:tcPr>
          <w:p w14:paraId="2626F47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3F7E301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105 (24)</w:t>
            </w:r>
          </w:p>
        </w:tc>
        <w:tc>
          <w:tcPr>
            <w:tcW w:w="1580" w:type="dxa"/>
            <w:noWrap/>
            <w:hideMark/>
          </w:tcPr>
          <w:p w14:paraId="67086DB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4965497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762" w:type="dxa"/>
            <w:noWrap/>
            <w:hideMark/>
          </w:tcPr>
          <w:p w14:paraId="4DC0211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0" w:type="dxa"/>
            <w:noWrap/>
            <w:hideMark/>
          </w:tcPr>
          <w:p w14:paraId="5EC328E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87 (67)</w:t>
            </w:r>
          </w:p>
        </w:tc>
        <w:tc>
          <w:tcPr>
            <w:tcW w:w="1520" w:type="dxa"/>
            <w:noWrap/>
            <w:hideMark/>
          </w:tcPr>
          <w:p w14:paraId="000612A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18 (46)</w:t>
            </w:r>
          </w:p>
        </w:tc>
      </w:tr>
      <w:tr w:rsidR="009C5EBE" w:rsidRPr="00375C7A" w14:paraId="2AB68603"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1D7D370B"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unknown</w:t>
            </w:r>
          </w:p>
        </w:tc>
        <w:tc>
          <w:tcPr>
            <w:tcW w:w="1657" w:type="dxa"/>
            <w:noWrap/>
            <w:hideMark/>
          </w:tcPr>
          <w:p w14:paraId="67B54FF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31CAB75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 (2)</w:t>
            </w:r>
          </w:p>
        </w:tc>
        <w:tc>
          <w:tcPr>
            <w:tcW w:w="1580" w:type="dxa"/>
            <w:noWrap/>
            <w:hideMark/>
          </w:tcPr>
          <w:p w14:paraId="48E845F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11D0176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(1)</w:t>
            </w:r>
          </w:p>
        </w:tc>
        <w:tc>
          <w:tcPr>
            <w:tcW w:w="1762" w:type="dxa"/>
            <w:noWrap/>
            <w:hideMark/>
          </w:tcPr>
          <w:p w14:paraId="771D9C2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 (4)</w:t>
            </w:r>
          </w:p>
        </w:tc>
        <w:tc>
          <w:tcPr>
            <w:tcW w:w="1800" w:type="dxa"/>
            <w:noWrap/>
            <w:hideMark/>
          </w:tcPr>
          <w:p w14:paraId="45FBB18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(0,7)</w:t>
            </w:r>
          </w:p>
        </w:tc>
        <w:tc>
          <w:tcPr>
            <w:tcW w:w="1520" w:type="dxa"/>
            <w:noWrap/>
            <w:hideMark/>
          </w:tcPr>
          <w:p w14:paraId="63D62E2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r>
      <w:tr w:rsidR="009C5EBE" w:rsidRPr="00375C7A" w14:paraId="3A5A5991"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73FD8C3"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Respiratory rate, breaths per min (bpm), no. (%)</w:t>
            </w:r>
          </w:p>
        </w:tc>
        <w:tc>
          <w:tcPr>
            <w:tcW w:w="1657" w:type="dxa"/>
            <w:noWrap/>
            <w:hideMark/>
          </w:tcPr>
          <w:p w14:paraId="276B891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740" w:type="dxa"/>
            <w:noWrap/>
            <w:hideMark/>
          </w:tcPr>
          <w:p w14:paraId="6377A999"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00B235C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4FC64CB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057ADE0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55A3AE8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036AFC3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C5EBE" w:rsidRPr="00375C7A" w14:paraId="4A30BD5D"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72AE120"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≤22 bpm</w:t>
            </w:r>
          </w:p>
        </w:tc>
        <w:tc>
          <w:tcPr>
            <w:tcW w:w="1657" w:type="dxa"/>
            <w:noWrap/>
            <w:hideMark/>
          </w:tcPr>
          <w:p w14:paraId="030B4D1D"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639A05C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174 (39)</w:t>
            </w:r>
          </w:p>
        </w:tc>
        <w:tc>
          <w:tcPr>
            <w:tcW w:w="1580" w:type="dxa"/>
            <w:noWrap/>
            <w:hideMark/>
          </w:tcPr>
          <w:p w14:paraId="26DBD47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41 (100)</w:t>
            </w:r>
          </w:p>
        </w:tc>
        <w:tc>
          <w:tcPr>
            <w:tcW w:w="1805" w:type="dxa"/>
            <w:noWrap/>
            <w:hideMark/>
          </w:tcPr>
          <w:p w14:paraId="5A72ED2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97 (99)</w:t>
            </w:r>
          </w:p>
        </w:tc>
        <w:tc>
          <w:tcPr>
            <w:tcW w:w="1762" w:type="dxa"/>
            <w:noWrap/>
            <w:hideMark/>
          </w:tcPr>
          <w:p w14:paraId="060046FD"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(1)</w:t>
            </w:r>
          </w:p>
        </w:tc>
        <w:tc>
          <w:tcPr>
            <w:tcW w:w="1800" w:type="dxa"/>
            <w:noWrap/>
            <w:hideMark/>
          </w:tcPr>
          <w:p w14:paraId="53B0014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25 (19)</w:t>
            </w:r>
          </w:p>
        </w:tc>
        <w:tc>
          <w:tcPr>
            <w:tcW w:w="1520" w:type="dxa"/>
            <w:noWrap/>
            <w:hideMark/>
          </w:tcPr>
          <w:p w14:paraId="222D981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 (23)</w:t>
            </w:r>
          </w:p>
        </w:tc>
      </w:tr>
      <w:tr w:rsidR="009C5EBE" w:rsidRPr="00375C7A" w14:paraId="0F7F7821"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ADD8129"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&gt;22 bpm</w:t>
            </w:r>
          </w:p>
        </w:tc>
        <w:tc>
          <w:tcPr>
            <w:tcW w:w="1657" w:type="dxa"/>
            <w:noWrap/>
            <w:hideMark/>
          </w:tcPr>
          <w:p w14:paraId="2EB0DCB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520FEB49"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269 (61)</w:t>
            </w:r>
          </w:p>
        </w:tc>
        <w:tc>
          <w:tcPr>
            <w:tcW w:w="1580" w:type="dxa"/>
            <w:noWrap/>
            <w:hideMark/>
          </w:tcPr>
          <w:p w14:paraId="47C2401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022078E9"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(1)</w:t>
            </w:r>
          </w:p>
        </w:tc>
        <w:tc>
          <w:tcPr>
            <w:tcW w:w="1762" w:type="dxa"/>
            <w:noWrap/>
            <w:hideMark/>
          </w:tcPr>
          <w:p w14:paraId="32CB46F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135 (99)</w:t>
            </w:r>
          </w:p>
        </w:tc>
        <w:tc>
          <w:tcPr>
            <w:tcW w:w="1800" w:type="dxa"/>
            <w:noWrap/>
            <w:hideMark/>
          </w:tcPr>
          <w:p w14:paraId="3B6ED7D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103 (80)</w:t>
            </w:r>
          </w:p>
        </w:tc>
        <w:tc>
          <w:tcPr>
            <w:tcW w:w="1520" w:type="dxa"/>
            <w:noWrap/>
            <w:hideMark/>
          </w:tcPr>
          <w:p w14:paraId="265B169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30 (70)</w:t>
            </w:r>
          </w:p>
        </w:tc>
      </w:tr>
      <w:tr w:rsidR="009C5EBE" w:rsidRPr="00375C7A" w14:paraId="0C2C87EB"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8303D77"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unknown</w:t>
            </w:r>
          </w:p>
        </w:tc>
        <w:tc>
          <w:tcPr>
            <w:tcW w:w="1657" w:type="dxa"/>
            <w:noWrap/>
            <w:hideMark/>
          </w:tcPr>
          <w:p w14:paraId="5DB2CFE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FDEAA4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(0,2)</w:t>
            </w:r>
          </w:p>
        </w:tc>
        <w:tc>
          <w:tcPr>
            <w:tcW w:w="1580" w:type="dxa"/>
            <w:noWrap/>
            <w:hideMark/>
          </w:tcPr>
          <w:p w14:paraId="0C3866E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6AD15DD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762" w:type="dxa"/>
            <w:noWrap/>
            <w:hideMark/>
          </w:tcPr>
          <w:p w14:paraId="7D0A402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0" w:type="dxa"/>
            <w:noWrap/>
            <w:hideMark/>
          </w:tcPr>
          <w:p w14:paraId="0D4CB90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(0,7)</w:t>
            </w:r>
          </w:p>
        </w:tc>
        <w:tc>
          <w:tcPr>
            <w:tcW w:w="1520" w:type="dxa"/>
            <w:noWrap/>
            <w:hideMark/>
          </w:tcPr>
          <w:p w14:paraId="5362B0FC"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r>
      <w:tr w:rsidR="009C5EBE" w:rsidRPr="00375C7A" w14:paraId="02A5D751"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3670A14"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Fever, no. (%)</w:t>
            </w:r>
          </w:p>
        </w:tc>
        <w:tc>
          <w:tcPr>
            <w:tcW w:w="1657" w:type="dxa"/>
            <w:noWrap/>
            <w:hideMark/>
          </w:tcPr>
          <w:p w14:paraId="42FA749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740" w:type="dxa"/>
            <w:noWrap/>
            <w:hideMark/>
          </w:tcPr>
          <w:p w14:paraId="1D5777B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3F99279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7190797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4E917BA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3E41042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5F48B07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C5EBE" w:rsidRPr="00375C7A" w14:paraId="3B67C462"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F41DFFF"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no fever</w:t>
            </w:r>
          </w:p>
        </w:tc>
        <w:tc>
          <w:tcPr>
            <w:tcW w:w="1657" w:type="dxa"/>
            <w:noWrap/>
            <w:hideMark/>
          </w:tcPr>
          <w:p w14:paraId="0D3AFB8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ACF416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17 (4)</w:t>
            </w:r>
          </w:p>
        </w:tc>
        <w:tc>
          <w:tcPr>
            <w:tcW w:w="1580" w:type="dxa"/>
            <w:noWrap/>
            <w:hideMark/>
          </w:tcPr>
          <w:p w14:paraId="6C0C04F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2426A88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(6)</w:t>
            </w:r>
          </w:p>
        </w:tc>
        <w:tc>
          <w:tcPr>
            <w:tcW w:w="1762" w:type="dxa"/>
            <w:noWrap/>
            <w:hideMark/>
          </w:tcPr>
          <w:p w14:paraId="7A1C438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 (3)</w:t>
            </w:r>
          </w:p>
        </w:tc>
        <w:tc>
          <w:tcPr>
            <w:tcW w:w="1800" w:type="dxa"/>
            <w:noWrap/>
            <w:hideMark/>
          </w:tcPr>
          <w:p w14:paraId="2958190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(5)</w:t>
            </w:r>
          </w:p>
        </w:tc>
        <w:tc>
          <w:tcPr>
            <w:tcW w:w="1520" w:type="dxa"/>
            <w:noWrap/>
            <w:hideMark/>
          </w:tcPr>
          <w:p w14:paraId="33C5840D"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(0)</w:t>
            </w:r>
          </w:p>
        </w:tc>
      </w:tr>
      <w:tr w:rsidR="009C5EBE" w:rsidRPr="00375C7A" w14:paraId="3116973C"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16E5BF64"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37-38°C</w:t>
            </w:r>
          </w:p>
        </w:tc>
        <w:tc>
          <w:tcPr>
            <w:tcW w:w="1657" w:type="dxa"/>
            <w:noWrap/>
            <w:hideMark/>
          </w:tcPr>
          <w:p w14:paraId="06EC265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C8878C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167 (38)</w:t>
            </w:r>
          </w:p>
        </w:tc>
        <w:tc>
          <w:tcPr>
            <w:tcW w:w="1580" w:type="dxa"/>
            <w:noWrap/>
            <w:hideMark/>
          </w:tcPr>
          <w:p w14:paraId="0A8D5C1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41 (100)</w:t>
            </w:r>
          </w:p>
        </w:tc>
        <w:tc>
          <w:tcPr>
            <w:tcW w:w="1805" w:type="dxa"/>
            <w:noWrap/>
            <w:hideMark/>
          </w:tcPr>
          <w:p w14:paraId="6C124E8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31 (32)</w:t>
            </w:r>
          </w:p>
        </w:tc>
        <w:tc>
          <w:tcPr>
            <w:tcW w:w="1762" w:type="dxa"/>
            <w:noWrap/>
            <w:hideMark/>
          </w:tcPr>
          <w:p w14:paraId="155C1E3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40 (29)</w:t>
            </w:r>
          </w:p>
        </w:tc>
        <w:tc>
          <w:tcPr>
            <w:tcW w:w="1800" w:type="dxa"/>
            <w:noWrap/>
            <w:hideMark/>
          </w:tcPr>
          <w:p w14:paraId="09FEDC4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45 (35)</w:t>
            </w:r>
          </w:p>
        </w:tc>
        <w:tc>
          <w:tcPr>
            <w:tcW w:w="1520" w:type="dxa"/>
            <w:noWrap/>
            <w:hideMark/>
          </w:tcPr>
          <w:p w14:paraId="115626A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10 (26)</w:t>
            </w:r>
          </w:p>
        </w:tc>
      </w:tr>
      <w:tr w:rsidR="009C5EBE" w:rsidRPr="00375C7A" w14:paraId="692E96C6"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AB4B136"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≥38 °C</w:t>
            </w:r>
          </w:p>
        </w:tc>
        <w:tc>
          <w:tcPr>
            <w:tcW w:w="1657" w:type="dxa"/>
            <w:noWrap/>
            <w:hideMark/>
          </w:tcPr>
          <w:p w14:paraId="10FF4B5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CFA49E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247 (56)</w:t>
            </w:r>
          </w:p>
        </w:tc>
        <w:tc>
          <w:tcPr>
            <w:tcW w:w="1580" w:type="dxa"/>
            <w:noWrap/>
            <w:hideMark/>
          </w:tcPr>
          <w:p w14:paraId="18F31CE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41A9BEC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57 (58)</w:t>
            </w:r>
          </w:p>
        </w:tc>
        <w:tc>
          <w:tcPr>
            <w:tcW w:w="1762" w:type="dxa"/>
            <w:noWrap/>
            <w:hideMark/>
          </w:tcPr>
          <w:p w14:paraId="280812B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92 (67)</w:t>
            </w:r>
          </w:p>
        </w:tc>
        <w:tc>
          <w:tcPr>
            <w:tcW w:w="1800" w:type="dxa"/>
            <w:noWrap/>
            <w:hideMark/>
          </w:tcPr>
          <w:p w14:paraId="58C1A73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72 (56)</w:t>
            </w:r>
          </w:p>
        </w:tc>
        <w:tc>
          <w:tcPr>
            <w:tcW w:w="1520" w:type="dxa"/>
            <w:noWrap/>
            <w:hideMark/>
          </w:tcPr>
          <w:p w14:paraId="18394C3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26 (67)</w:t>
            </w:r>
          </w:p>
        </w:tc>
      </w:tr>
      <w:tr w:rsidR="009C5EBE" w:rsidRPr="00375C7A" w14:paraId="29F10204"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B5B293C" w14:textId="77777777" w:rsidR="009C5EBE" w:rsidRPr="00375C7A" w:rsidRDefault="009C5EBE" w:rsidP="000B6A01">
            <w:pPr>
              <w:jc w:val="right"/>
              <w:rPr>
                <w:rFonts w:ascii="Times New Roman" w:hAnsi="Times New Roman" w:cs="Times New Roman"/>
                <w:sz w:val="20"/>
                <w:szCs w:val="20"/>
              </w:rPr>
            </w:pPr>
            <w:r w:rsidRPr="00375C7A">
              <w:rPr>
                <w:rFonts w:ascii="Times New Roman" w:hAnsi="Times New Roman" w:cs="Times New Roman"/>
                <w:sz w:val="20"/>
                <w:szCs w:val="20"/>
              </w:rPr>
              <w:t>value unknown</w:t>
            </w:r>
          </w:p>
        </w:tc>
        <w:tc>
          <w:tcPr>
            <w:tcW w:w="1657" w:type="dxa"/>
            <w:noWrap/>
            <w:hideMark/>
          </w:tcPr>
          <w:p w14:paraId="3349AD9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C94C4E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(3)</w:t>
            </w:r>
          </w:p>
        </w:tc>
        <w:tc>
          <w:tcPr>
            <w:tcW w:w="1580" w:type="dxa"/>
            <w:noWrap/>
            <w:hideMark/>
          </w:tcPr>
          <w:p w14:paraId="6251DBD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796B4A0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 (4)</w:t>
            </w:r>
          </w:p>
        </w:tc>
        <w:tc>
          <w:tcPr>
            <w:tcW w:w="1762" w:type="dxa"/>
            <w:noWrap/>
            <w:hideMark/>
          </w:tcPr>
          <w:p w14:paraId="2403CB9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(1)</w:t>
            </w:r>
          </w:p>
        </w:tc>
        <w:tc>
          <w:tcPr>
            <w:tcW w:w="1800" w:type="dxa"/>
            <w:noWrap/>
            <w:hideMark/>
          </w:tcPr>
          <w:p w14:paraId="40A6C3D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(5)</w:t>
            </w:r>
          </w:p>
        </w:tc>
        <w:tc>
          <w:tcPr>
            <w:tcW w:w="1520" w:type="dxa"/>
            <w:noWrap/>
            <w:hideMark/>
          </w:tcPr>
          <w:p w14:paraId="58B4C4D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r>
      <w:tr w:rsidR="009C5EBE" w:rsidRPr="00375C7A" w14:paraId="2E3646E2"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1DE721FB" w14:textId="77777777" w:rsidR="009C5EBE" w:rsidRPr="00375C7A" w:rsidRDefault="009C5EBE" w:rsidP="000B6A01">
            <w:pPr>
              <w:rPr>
                <w:rFonts w:ascii="Times New Roman" w:hAnsi="Times New Roman" w:cs="Times New Roman"/>
                <w:sz w:val="20"/>
                <w:szCs w:val="20"/>
              </w:rPr>
            </w:pPr>
          </w:p>
        </w:tc>
        <w:tc>
          <w:tcPr>
            <w:tcW w:w="1657" w:type="dxa"/>
            <w:noWrap/>
            <w:hideMark/>
          </w:tcPr>
          <w:p w14:paraId="470F5B7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40" w:type="dxa"/>
            <w:noWrap/>
            <w:hideMark/>
          </w:tcPr>
          <w:p w14:paraId="33340646"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80" w:type="dxa"/>
            <w:noWrap/>
            <w:hideMark/>
          </w:tcPr>
          <w:p w14:paraId="6DE1677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05" w:type="dxa"/>
            <w:noWrap/>
            <w:hideMark/>
          </w:tcPr>
          <w:p w14:paraId="7B4A6D3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62" w:type="dxa"/>
            <w:noWrap/>
            <w:hideMark/>
          </w:tcPr>
          <w:p w14:paraId="714C809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00" w:type="dxa"/>
            <w:noWrap/>
            <w:hideMark/>
          </w:tcPr>
          <w:p w14:paraId="1EED0D5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20" w:type="dxa"/>
            <w:noWrap/>
            <w:hideMark/>
          </w:tcPr>
          <w:p w14:paraId="0724EA1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C5EBE" w:rsidRPr="00375C7A" w14:paraId="7C9EB73D"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14560" w:type="dxa"/>
            <w:gridSpan w:val="8"/>
            <w:hideMark/>
          </w:tcPr>
          <w:p w14:paraId="734A189A" w14:textId="77777777" w:rsidR="009C5EBE" w:rsidRPr="00375C7A" w:rsidRDefault="009C5EBE" w:rsidP="000B6A01">
            <w:pPr>
              <w:jc w:val="center"/>
              <w:rPr>
                <w:rFonts w:ascii="Times New Roman" w:hAnsi="Times New Roman" w:cs="Times New Roman"/>
                <w:sz w:val="20"/>
                <w:szCs w:val="20"/>
              </w:rPr>
            </w:pPr>
            <w:r w:rsidRPr="00375C7A">
              <w:rPr>
                <w:rFonts w:ascii="Times New Roman" w:hAnsi="Times New Roman" w:cs="Times New Roman"/>
                <w:sz w:val="20"/>
                <w:szCs w:val="20"/>
              </w:rPr>
              <w:t>Symptoms on admission, no. (%)</w:t>
            </w:r>
          </w:p>
        </w:tc>
      </w:tr>
      <w:tr w:rsidR="009C5EBE" w:rsidRPr="00375C7A" w14:paraId="5A9927AB"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6FE8A38E"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Fatigue</w:t>
            </w:r>
          </w:p>
        </w:tc>
        <w:tc>
          <w:tcPr>
            <w:tcW w:w="1657" w:type="dxa"/>
            <w:noWrap/>
            <w:hideMark/>
          </w:tcPr>
          <w:p w14:paraId="4AD77D4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47EE5FB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399 (90)</w:t>
            </w:r>
          </w:p>
        </w:tc>
        <w:tc>
          <w:tcPr>
            <w:tcW w:w="1580" w:type="dxa"/>
            <w:noWrap/>
            <w:hideMark/>
          </w:tcPr>
          <w:p w14:paraId="1EDAD58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33 (80)</w:t>
            </w:r>
          </w:p>
        </w:tc>
        <w:tc>
          <w:tcPr>
            <w:tcW w:w="1805" w:type="dxa"/>
            <w:noWrap/>
            <w:hideMark/>
          </w:tcPr>
          <w:p w14:paraId="4C3EAB6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81 (83)</w:t>
            </w:r>
          </w:p>
        </w:tc>
        <w:tc>
          <w:tcPr>
            <w:tcW w:w="1762" w:type="dxa"/>
            <w:noWrap/>
            <w:hideMark/>
          </w:tcPr>
          <w:p w14:paraId="1B41947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131 (96)</w:t>
            </w:r>
          </w:p>
        </w:tc>
        <w:tc>
          <w:tcPr>
            <w:tcW w:w="1800" w:type="dxa"/>
            <w:noWrap/>
            <w:hideMark/>
          </w:tcPr>
          <w:p w14:paraId="3DE84B4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120 (93)</w:t>
            </w:r>
          </w:p>
        </w:tc>
        <w:tc>
          <w:tcPr>
            <w:tcW w:w="1520" w:type="dxa"/>
            <w:noWrap/>
            <w:hideMark/>
          </w:tcPr>
          <w:p w14:paraId="139BC9C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34 (87)</w:t>
            </w:r>
          </w:p>
        </w:tc>
      </w:tr>
      <w:tr w:rsidR="009C5EBE" w:rsidRPr="00375C7A" w14:paraId="44E52031"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093AA6E"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Headache</w:t>
            </w:r>
          </w:p>
        </w:tc>
        <w:tc>
          <w:tcPr>
            <w:tcW w:w="1657" w:type="dxa"/>
            <w:noWrap/>
            <w:hideMark/>
          </w:tcPr>
          <w:p w14:paraId="7BFE1998"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5E28E20A"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60 (14)</w:t>
            </w:r>
          </w:p>
        </w:tc>
        <w:tc>
          <w:tcPr>
            <w:tcW w:w="1580" w:type="dxa"/>
            <w:noWrap/>
            <w:hideMark/>
          </w:tcPr>
          <w:p w14:paraId="6174835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 (12)</w:t>
            </w:r>
          </w:p>
        </w:tc>
        <w:tc>
          <w:tcPr>
            <w:tcW w:w="1805" w:type="dxa"/>
            <w:noWrap/>
            <w:hideMark/>
          </w:tcPr>
          <w:p w14:paraId="4DE01F3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15 (15)</w:t>
            </w:r>
          </w:p>
        </w:tc>
        <w:tc>
          <w:tcPr>
            <w:tcW w:w="1762" w:type="dxa"/>
            <w:noWrap/>
            <w:hideMark/>
          </w:tcPr>
          <w:p w14:paraId="2A1A3CB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24 (18)</w:t>
            </w:r>
          </w:p>
        </w:tc>
        <w:tc>
          <w:tcPr>
            <w:tcW w:w="1800" w:type="dxa"/>
            <w:noWrap/>
            <w:hideMark/>
          </w:tcPr>
          <w:p w14:paraId="4B976FF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14 (11)</w:t>
            </w:r>
          </w:p>
        </w:tc>
        <w:tc>
          <w:tcPr>
            <w:tcW w:w="1520" w:type="dxa"/>
            <w:noWrap/>
            <w:hideMark/>
          </w:tcPr>
          <w:p w14:paraId="0BAE9DB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r>
      <w:tr w:rsidR="009C5EBE" w:rsidRPr="00375C7A" w14:paraId="1369076C"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2510BFCF"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Muscle pain</w:t>
            </w:r>
          </w:p>
        </w:tc>
        <w:tc>
          <w:tcPr>
            <w:tcW w:w="1657" w:type="dxa"/>
            <w:noWrap/>
            <w:hideMark/>
          </w:tcPr>
          <w:p w14:paraId="0E9B3108"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72B4C8A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61 (14)</w:t>
            </w:r>
          </w:p>
        </w:tc>
        <w:tc>
          <w:tcPr>
            <w:tcW w:w="1580" w:type="dxa"/>
            <w:noWrap/>
            <w:hideMark/>
          </w:tcPr>
          <w:p w14:paraId="1C82E38C"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c>
          <w:tcPr>
            <w:tcW w:w="1805" w:type="dxa"/>
            <w:noWrap/>
            <w:hideMark/>
          </w:tcPr>
          <w:p w14:paraId="646037E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15 (15)</w:t>
            </w:r>
          </w:p>
        </w:tc>
        <w:tc>
          <w:tcPr>
            <w:tcW w:w="1762" w:type="dxa"/>
            <w:noWrap/>
            <w:hideMark/>
          </w:tcPr>
          <w:p w14:paraId="5A4E05D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27 (20)</w:t>
            </w:r>
          </w:p>
        </w:tc>
        <w:tc>
          <w:tcPr>
            <w:tcW w:w="1800" w:type="dxa"/>
            <w:noWrap/>
            <w:hideMark/>
          </w:tcPr>
          <w:p w14:paraId="7E42F047"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16 (12)</w:t>
            </w:r>
          </w:p>
        </w:tc>
        <w:tc>
          <w:tcPr>
            <w:tcW w:w="1520" w:type="dxa"/>
            <w:noWrap/>
            <w:hideMark/>
          </w:tcPr>
          <w:p w14:paraId="6908D89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(3)</w:t>
            </w:r>
          </w:p>
        </w:tc>
      </w:tr>
      <w:tr w:rsidR="009C5EBE" w:rsidRPr="00375C7A" w14:paraId="522180CD"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F4E7E6B"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Cough</w:t>
            </w:r>
          </w:p>
        </w:tc>
        <w:tc>
          <w:tcPr>
            <w:tcW w:w="1657" w:type="dxa"/>
            <w:noWrap/>
            <w:hideMark/>
          </w:tcPr>
          <w:p w14:paraId="4154B3F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69884C6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397 (89)</w:t>
            </w:r>
          </w:p>
        </w:tc>
        <w:tc>
          <w:tcPr>
            <w:tcW w:w="1580" w:type="dxa"/>
            <w:noWrap/>
            <w:hideMark/>
          </w:tcPr>
          <w:p w14:paraId="2CE76D6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26 (63)</w:t>
            </w:r>
          </w:p>
        </w:tc>
        <w:tc>
          <w:tcPr>
            <w:tcW w:w="1805" w:type="dxa"/>
            <w:noWrap/>
            <w:hideMark/>
          </w:tcPr>
          <w:p w14:paraId="455BB59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93 (95)</w:t>
            </w:r>
          </w:p>
        </w:tc>
        <w:tc>
          <w:tcPr>
            <w:tcW w:w="1762" w:type="dxa"/>
            <w:noWrap/>
            <w:hideMark/>
          </w:tcPr>
          <w:p w14:paraId="6A5176A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125 (91)</w:t>
            </w:r>
          </w:p>
        </w:tc>
        <w:tc>
          <w:tcPr>
            <w:tcW w:w="1800" w:type="dxa"/>
            <w:noWrap/>
            <w:hideMark/>
          </w:tcPr>
          <w:p w14:paraId="5241017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118 (91)</w:t>
            </w:r>
          </w:p>
        </w:tc>
        <w:tc>
          <w:tcPr>
            <w:tcW w:w="1520" w:type="dxa"/>
            <w:noWrap/>
            <w:hideMark/>
          </w:tcPr>
          <w:p w14:paraId="22E1F93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35 (90)</w:t>
            </w:r>
          </w:p>
        </w:tc>
      </w:tr>
      <w:tr w:rsidR="009C5EBE" w:rsidRPr="00375C7A" w14:paraId="2EF6969E"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6A57148F"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Pharyngalgia</w:t>
            </w:r>
          </w:p>
        </w:tc>
        <w:tc>
          <w:tcPr>
            <w:tcW w:w="1657" w:type="dxa"/>
            <w:noWrap/>
            <w:hideMark/>
          </w:tcPr>
          <w:p w14:paraId="29BC94D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42A76668"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77 (17)</w:t>
            </w:r>
          </w:p>
        </w:tc>
        <w:tc>
          <w:tcPr>
            <w:tcW w:w="1580" w:type="dxa"/>
            <w:noWrap/>
            <w:hideMark/>
          </w:tcPr>
          <w:p w14:paraId="2B107D3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11 (27)</w:t>
            </w:r>
          </w:p>
        </w:tc>
        <w:tc>
          <w:tcPr>
            <w:tcW w:w="1805" w:type="dxa"/>
            <w:noWrap/>
            <w:hideMark/>
          </w:tcPr>
          <w:p w14:paraId="32A1AF1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19 (19)</w:t>
            </w:r>
          </w:p>
        </w:tc>
        <w:tc>
          <w:tcPr>
            <w:tcW w:w="1762" w:type="dxa"/>
            <w:noWrap/>
            <w:hideMark/>
          </w:tcPr>
          <w:p w14:paraId="7FC6804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20 (15)</w:t>
            </w:r>
          </w:p>
        </w:tc>
        <w:tc>
          <w:tcPr>
            <w:tcW w:w="1800" w:type="dxa"/>
            <w:noWrap/>
            <w:hideMark/>
          </w:tcPr>
          <w:p w14:paraId="7D3356B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20 (16)</w:t>
            </w:r>
          </w:p>
        </w:tc>
        <w:tc>
          <w:tcPr>
            <w:tcW w:w="1520" w:type="dxa"/>
            <w:noWrap/>
            <w:hideMark/>
          </w:tcPr>
          <w:p w14:paraId="3591A1BD"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(18)</w:t>
            </w:r>
          </w:p>
        </w:tc>
      </w:tr>
      <w:tr w:rsidR="009C5EBE" w:rsidRPr="00375C7A" w14:paraId="10837B87"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44FD05C3"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Dyspnea</w:t>
            </w:r>
          </w:p>
        </w:tc>
        <w:tc>
          <w:tcPr>
            <w:tcW w:w="1657" w:type="dxa"/>
            <w:noWrap/>
            <w:hideMark/>
          </w:tcPr>
          <w:p w14:paraId="39D2E5E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6ACB980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291 (66)</w:t>
            </w:r>
          </w:p>
        </w:tc>
        <w:tc>
          <w:tcPr>
            <w:tcW w:w="1580" w:type="dxa"/>
            <w:noWrap/>
            <w:hideMark/>
          </w:tcPr>
          <w:p w14:paraId="1F932F3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c>
          <w:tcPr>
            <w:tcW w:w="1805" w:type="dxa"/>
            <w:noWrap/>
            <w:hideMark/>
          </w:tcPr>
          <w:p w14:paraId="6C87042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64 (65)</w:t>
            </w:r>
          </w:p>
        </w:tc>
        <w:tc>
          <w:tcPr>
            <w:tcW w:w="1762" w:type="dxa"/>
            <w:noWrap/>
            <w:hideMark/>
          </w:tcPr>
          <w:p w14:paraId="12B74EB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97 (71)</w:t>
            </w:r>
          </w:p>
        </w:tc>
        <w:tc>
          <w:tcPr>
            <w:tcW w:w="1800" w:type="dxa"/>
            <w:noWrap/>
            <w:hideMark/>
          </w:tcPr>
          <w:p w14:paraId="1D52C65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98 (76)</w:t>
            </w:r>
          </w:p>
        </w:tc>
        <w:tc>
          <w:tcPr>
            <w:tcW w:w="1520" w:type="dxa"/>
            <w:noWrap/>
            <w:hideMark/>
          </w:tcPr>
          <w:p w14:paraId="0B8F38D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32 (82)</w:t>
            </w:r>
          </w:p>
        </w:tc>
      </w:tr>
      <w:tr w:rsidR="009C5EBE" w:rsidRPr="00375C7A" w14:paraId="7AD298F9"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1F26961A"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Nasal congestion</w:t>
            </w:r>
          </w:p>
        </w:tc>
        <w:tc>
          <w:tcPr>
            <w:tcW w:w="1657" w:type="dxa"/>
            <w:noWrap/>
            <w:hideMark/>
          </w:tcPr>
          <w:p w14:paraId="265935CB"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4771782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30 (7)</w:t>
            </w:r>
          </w:p>
        </w:tc>
        <w:tc>
          <w:tcPr>
            <w:tcW w:w="1580" w:type="dxa"/>
            <w:noWrap/>
            <w:hideMark/>
          </w:tcPr>
          <w:p w14:paraId="671A331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(17)</w:t>
            </w:r>
          </w:p>
        </w:tc>
        <w:tc>
          <w:tcPr>
            <w:tcW w:w="1805" w:type="dxa"/>
            <w:noWrap/>
            <w:hideMark/>
          </w:tcPr>
          <w:p w14:paraId="732821BF"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 (5)</w:t>
            </w:r>
          </w:p>
        </w:tc>
        <w:tc>
          <w:tcPr>
            <w:tcW w:w="1762" w:type="dxa"/>
            <w:noWrap/>
            <w:hideMark/>
          </w:tcPr>
          <w:p w14:paraId="65A3956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12 (9)</w:t>
            </w:r>
          </w:p>
        </w:tc>
        <w:tc>
          <w:tcPr>
            <w:tcW w:w="1800" w:type="dxa"/>
            <w:noWrap/>
            <w:hideMark/>
          </w:tcPr>
          <w:p w14:paraId="4FA72B04"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 (2)</w:t>
            </w:r>
          </w:p>
        </w:tc>
        <w:tc>
          <w:tcPr>
            <w:tcW w:w="1520" w:type="dxa"/>
            <w:noWrap/>
            <w:hideMark/>
          </w:tcPr>
          <w:p w14:paraId="5B2A24CC"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 (8)</w:t>
            </w:r>
          </w:p>
        </w:tc>
      </w:tr>
      <w:tr w:rsidR="009C5EBE" w:rsidRPr="00375C7A" w14:paraId="7AB5ED78"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7C4373C0"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Dizziness</w:t>
            </w:r>
          </w:p>
        </w:tc>
        <w:tc>
          <w:tcPr>
            <w:tcW w:w="1657" w:type="dxa"/>
            <w:noWrap/>
            <w:hideMark/>
          </w:tcPr>
          <w:p w14:paraId="42BC912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5719372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37 (8)</w:t>
            </w:r>
          </w:p>
        </w:tc>
        <w:tc>
          <w:tcPr>
            <w:tcW w:w="1580" w:type="dxa"/>
            <w:noWrap/>
            <w:hideMark/>
          </w:tcPr>
          <w:p w14:paraId="7D65663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(2)</w:t>
            </w:r>
          </w:p>
        </w:tc>
        <w:tc>
          <w:tcPr>
            <w:tcW w:w="1805" w:type="dxa"/>
            <w:noWrap/>
            <w:hideMark/>
          </w:tcPr>
          <w:p w14:paraId="360E919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(13)</w:t>
            </w:r>
          </w:p>
        </w:tc>
        <w:tc>
          <w:tcPr>
            <w:tcW w:w="1762" w:type="dxa"/>
            <w:noWrap/>
            <w:hideMark/>
          </w:tcPr>
          <w:p w14:paraId="67F4FAD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 (6)</w:t>
            </w:r>
          </w:p>
        </w:tc>
        <w:tc>
          <w:tcPr>
            <w:tcW w:w="1800" w:type="dxa"/>
            <w:noWrap/>
            <w:hideMark/>
          </w:tcPr>
          <w:p w14:paraId="3C47FCE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(10)</w:t>
            </w:r>
          </w:p>
        </w:tc>
        <w:tc>
          <w:tcPr>
            <w:tcW w:w="1520" w:type="dxa"/>
            <w:noWrap/>
            <w:hideMark/>
          </w:tcPr>
          <w:p w14:paraId="30BDC18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r>
      <w:tr w:rsidR="009C5EBE" w:rsidRPr="00375C7A" w14:paraId="0F144EE7"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06412D9"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Loss of smell</w:t>
            </w:r>
          </w:p>
        </w:tc>
        <w:tc>
          <w:tcPr>
            <w:tcW w:w="1657" w:type="dxa"/>
            <w:noWrap/>
            <w:hideMark/>
          </w:tcPr>
          <w:p w14:paraId="0A33EB3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04D39BC3"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55 (12)</w:t>
            </w:r>
          </w:p>
        </w:tc>
        <w:tc>
          <w:tcPr>
            <w:tcW w:w="1580" w:type="dxa"/>
            <w:noWrap/>
            <w:hideMark/>
          </w:tcPr>
          <w:p w14:paraId="450B4834"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(15)</w:t>
            </w:r>
          </w:p>
        </w:tc>
        <w:tc>
          <w:tcPr>
            <w:tcW w:w="1805" w:type="dxa"/>
            <w:noWrap/>
            <w:hideMark/>
          </w:tcPr>
          <w:p w14:paraId="5CDDCDD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11 (11)</w:t>
            </w:r>
          </w:p>
        </w:tc>
        <w:tc>
          <w:tcPr>
            <w:tcW w:w="1762" w:type="dxa"/>
            <w:noWrap/>
            <w:hideMark/>
          </w:tcPr>
          <w:p w14:paraId="442F11AA"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24 (18)</w:t>
            </w:r>
          </w:p>
        </w:tc>
        <w:tc>
          <w:tcPr>
            <w:tcW w:w="1800" w:type="dxa"/>
            <w:noWrap/>
            <w:hideMark/>
          </w:tcPr>
          <w:p w14:paraId="5CC58F0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13 (10)</w:t>
            </w:r>
          </w:p>
        </w:tc>
        <w:tc>
          <w:tcPr>
            <w:tcW w:w="1520" w:type="dxa"/>
            <w:noWrap/>
            <w:hideMark/>
          </w:tcPr>
          <w:p w14:paraId="220E064C"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(3)</w:t>
            </w:r>
          </w:p>
        </w:tc>
      </w:tr>
      <w:tr w:rsidR="009C5EBE" w:rsidRPr="00375C7A" w14:paraId="1BF4C2B3"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1923BDBA"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lastRenderedPageBreak/>
              <w:t>Loss of taste</w:t>
            </w:r>
          </w:p>
        </w:tc>
        <w:tc>
          <w:tcPr>
            <w:tcW w:w="1657" w:type="dxa"/>
            <w:noWrap/>
            <w:hideMark/>
          </w:tcPr>
          <w:p w14:paraId="0B3238D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20BACF98"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28 (6)</w:t>
            </w:r>
          </w:p>
        </w:tc>
        <w:tc>
          <w:tcPr>
            <w:tcW w:w="1580" w:type="dxa"/>
            <w:noWrap/>
            <w:hideMark/>
          </w:tcPr>
          <w:p w14:paraId="39BAC4FF"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 (7)</w:t>
            </w:r>
          </w:p>
        </w:tc>
        <w:tc>
          <w:tcPr>
            <w:tcW w:w="1805" w:type="dxa"/>
            <w:noWrap/>
            <w:hideMark/>
          </w:tcPr>
          <w:p w14:paraId="4D244F1D"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 (3)</w:t>
            </w:r>
          </w:p>
        </w:tc>
        <w:tc>
          <w:tcPr>
            <w:tcW w:w="1762" w:type="dxa"/>
            <w:noWrap/>
            <w:hideMark/>
          </w:tcPr>
          <w:p w14:paraId="04FBFBA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 (6)</w:t>
            </w:r>
          </w:p>
        </w:tc>
        <w:tc>
          <w:tcPr>
            <w:tcW w:w="1800" w:type="dxa"/>
            <w:noWrap/>
            <w:hideMark/>
          </w:tcPr>
          <w:p w14:paraId="51F11F2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14 (11)</w:t>
            </w:r>
          </w:p>
        </w:tc>
        <w:tc>
          <w:tcPr>
            <w:tcW w:w="1520" w:type="dxa"/>
            <w:noWrap/>
            <w:hideMark/>
          </w:tcPr>
          <w:p w14:paraId="2A445EC7"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0 (0)</w:t>
            </w:r>
          </w:p>
        </w:tc>
      </w:tr>
      <w:tr w:rsidR="009C5EBE" w:rsidRPr="00375C7A" w14:paraId="09849559"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17DE0EAB"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Stomachache</w:t>
            </w:r>
          </w:p>
        </w:tc>
        <w:tc>
          <w:tcPr>
            <w:tcW w:w="1657" w:type="dxa"/>
            <w:noWrap/>
            <w:hideMark/>
          </w:tcPr>
          <w:p w14:paraId="3CE56E18"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48BD5C7E"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28 (6)</w:t>
            </w:r>
          </w:p>
        </w:tc>
        <w:tc>
          <w:tcPr>
            <w:tcW w:w="1580" w:type="dxa"/>
            <w:noWrap/>
            <w:hideMark/>
          </w:tcPr>
          <w:p w14:paraId="23923C7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4 (10)</w:t>
            </w:r>
          </w:p>
        </w:tc>
        <w:tc>
          <w:tcPr>
            <w:tcW w:w="1805" w:type="dxa"/>
            <w:noWrap/>
            <w:hideMark/>
          </w:tcPr>
          <w:p w14:paraId="3C259FC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8 (8)</w:t>
            </w:r>
          </w:p>
        </w:tc>
        <w:tc>
          <w:tcPr>
            <w:tcW w:w="1762" w:type="dxa"/>
            <w:noWrap/>
            <w:hideMark/>
          </w:tcPr>
          <w:p w14:paraId="0A6E8DC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9 (7)</w:t>
            </w:r>
          </w:p>
        </w:tc>
        <w:tc>
          <w:tcPr>
            <w:tcW w:w="1800" w:type="dxa"/>
            <w:noWrap/>
            <w:hideMark/>
          </w:tcPr>
          <w:p w14:paraId="4E40C20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(5)</w:t>
            </w:r>
          </w:p>
        </w:tc>
        <w:tc>
          <w:tcPr>
            <w:tcW w:w="1520" w:type="dxa"/>
            <w:noWrap/>
            <w:hideMark/>
          </w:tcPr>
          <w:p w14:paraId="2560B17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 (3)</w:t>
            </w:r>
          </w:p>
        </w:tc>
      </w:tr>
      <w:tr w:rsidR="009C5EBE" w:rsidRPr="00375C7A" w14:paraId="2595D5E4"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3E622184"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Diarrhea</w:t>
            </w:r>
          </w:p>
        </w:tc>
        <w:tc>
          <w:tcPr>
            <w:tcW w:w="1657" w:type="dxa"/>
            <w:noWrap/>
            <w:hideMark/>
          </w:tcPr>
          <w:p w14:paraId="55ACA8E8"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5BD8B1F5"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142 (32)</w:t>
            </w:r>
          </w:p>
        </w:tc>
        <w:tc>
          <w:tcPr>
            <w:tcW w:w="1580" w:type="dxa"/>
            <w:noWrap/>
            <w:hideMark/>
          </w:tcPr>
          <w:p w14:paraId="232FF08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14 (34)</w:t>
            </w:r>
          </w:p>
        </w:tc>
        <w:tc>
          <w:tcPr>
            <w:tcW w:w="1805" w:type="dxa"/>
            <w:noWrap/>
            <w:hideMark/>
          </w:tcPr>
          <w:p w14:paraId="012A38F1"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35 (36)</w:t>
            </w:r>
          </w:p>
        </w:tc>
        <w:tc>
          <w:tcPr>
            <w:tcW w:w="1762" w:type="dxa"/>
            <w:noWrap/>
            <w:hideMark/>
          </w:tcPr>
          <w:p w14:paraId="4BD7323E"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53 (39)</w:t>
            </w:r>
          </w:p>
        </w:tc>
        <w:tc>
          <w:tcPr>
            <w:tcW w:w="1800" w:type="dxa"/>
            <w:noWrap/>
            <w:hideMark/>
          </w:tcPr>
          <w:p w14:paraId="19AF535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34 (26)</w:t>
            </w:r>
          </w:p>
        </w:tc>
        <w:tc>
          <w:tcPr>
            <w:tcW w:w="1520" w:type="dxa"/>
            <w:noWrap/>
            <w:hideMark/>
          </w:tcPr>
          <w:p w14:paraId="761BDA62"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6 (15)</w:t>
            </w:r>
          </w:p>
        </w:tc>
      </w:tr>
      <w:tr w:rsidR="009C5EBE" w:rsidRPr="00375C7A" w14:paraId="48A84E0C" w14:textId="77777777" w:rsidTr="000B6A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6" w:type="dxa"/>
            <w:hideMark/>
          </w:tcPr>
          <w:p w14:paraId="003B6213" w14:textId="77777777" w:rsidR="009C5EBE" w:rsidRPr="00375C7A" w:rsidRDefault="009C5EBE" w:rsidP="000B6A01">
            <w:pPr>
              <w:rPr>
                <w:rFonts w:ascii="Times New Roman" w:hAnsi="Times New Roman" w:cs="Times New Roman"/>
                <w:sz w:val="20"/>
                <w:szCs w:val="20"/>
              </w:rPr>
            </w:pPr>
            <w:r w:rsidRPr="00375C7A">
              <w:rPr>
                <w:rFonts w:ascii="Times New Roman" w:hAnsi="Times New Roman" w:cs="Times New Roman"/>
                <w:sz w:val="20"/>
                <w:szCs w:val="20"/>
              </w:rPr>
              <w:t>Nausea/vomiting</w:t>
            </w:r>
          </w:p>
        </w:tc>
        <w:tc>
          <w:tcPr>
            <w:tcW w:w="1657" w:type="dxa"/>
            <w:noWrap/>
            <w:hideMark/>
          </w:tcPr>
          <w:p w14:paraId="012E2901"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NA</w:t>
            </w:r>
          </w:p>
        </w:tc>
        <w:tc>
          <w:tcPr>
            <w:tcW w:w="1740" w:type="dxa"/>
            <w:noWrap/>
            <w:hideMark/>
          </w:tcPr>
          <w:p w14:paraId="62E7C462"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76 (17)</w:t>
            </w:r>
          </w:p>
        </w:tc>
        <w:tc>
          <w:tcPr>
            <w:tcW w:w="1580" w:type="dxa"/>
            <w:noWrap/>
            <w:hideMark/>
          </w:tcPr>
          <w:p w14:paraId="7065D494"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7 (17)</w:t>
            </w:r>
          </w:p>
        </w:tc>
        <w:tc>
          <w:tcPr>
            <w:tcW w:w="1805" w:type="dxa"/>
            <w:noWrap/>
            <w:hideMark/>
          </w:tcPr>
          <w:p w14:paraId="0D99234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17 (17)</w:t>
            </w:r>
          </w:p>
        </w:tc>
        <w:tc>
          <w:tcPr>
            <w:tcW w:w="1762" w:type="dxa"/>
            <w:noWrap/>
            <w:hideMark/>
          </w:tcPr>
          <w:p w14:paraId="46EB6230"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29 (21)</w:t>
            </w:r>
          </w:p>
        </w:tc>
        <w:tc>
          <w:tcPr>
            <w:tcW w:w="1800" w:type="dxa"/>
            <w:noWrap/>
            <w:hideMark/>
          </w:tcPr>
          <w:p w14:paraId="4F22ADE5"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21 (16)</w:t>
            </w:r>
          </w:p>
        </w:tc>
        <w:tc>
          <w:tcPr>
            <w:tcW w:w="1520" w:type="dxa"/>
            <w:noWrap/>
            <w:hideMark/>
          </w:tcPr>
          <w:p w14:paraId="0075F799" w14:textId="77777777" w:rsidR="009C5EBE" w:rsidRPr="00375C7A" w:rsidRDefault="009C5EBE" w:rsidP="000B6A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5C7A">
              <w:rPr>
                <w:rFonts w:ascii="Times New Roman" w:hAnsi="Times New Roman" w:cs="Times New Roman"/>
                <w:sz w:val="20"/>
                <w:szCs w:val="20"/>
              </w:rPr>
              <w:t>2 (5)</w:t>
            </w:r>
          </w:p>
        </w:tc>
      </w:tr>
      <w:tr w:rsidR="009C5EBE" w:rsidRPr="00375C7A" w14:paraId="29079B3A" w14:textId="77777777" w:rsidTr="000B6A01">
        <w:trPr>
          <w:trHeight w:val="315"/>
        </w:trPr>
        <w:tc>
          <w:tcPr>
            <w:cnfStyle w:val="001000000000" w:firstRow="0" w:lastRow="0" w:firstColumn="1" w:lastColumn="0" w:oddVBand="0" w:evenVBand="0" w:oddHBand="0" w:evenHBand="0" w:firstRowFirstColumn="0" w:firstRowLastColumn="0" w:lastRowFirstColumn="0" w:lastRowLastColumn="0"/>
            <w:tcW w:w="2696" w:type="dxa"/>
          </w:tcPr>
          <w:p w14:paraId="7BC6F54E" w14:textId="77777777" w:rsidR="009C5EBE" w:rsidRPr="00375C7A" w:rsidRDefault="009C5EBE" w:rsidP="000B6A01">
            <w:pPr>
              <w:rPr>
                <w:rFonts w:ascii="Times New Roman" w:hAnsi="Times New Roman" w:cs="Times New Roman"/>
                <w:sz w:val="20"/>
                <w:szCs w:val="20"/>
              </w:rPr>
            </w:pPr>
          </w:p>
        </w:tc>
        <w:tc>
          <w:tcPr>
            <w:tcW w:w="1657" w:type="dxa"/>
            <w:noWrap/>
          </w:tcPr>
          <w:p w14:paraId="1ABD9990"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40" w:type="dxa"/>
            <w:noWrap/>
          </w:tcPr>
          <w:p w14:paraId="76B8F643"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80" w:type="dxa"/>
            <w:noWrap/>
          </w:tcPr>
          <w:p w14:paraId="30CC5716"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5" w:type="dxa"/>
            <w:noWrap/>
          </w:tcPr>
          <w:p w14:paraId="2A35AC74"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62" w:type="dxa"/>
            <w:noWrap/>
          </w:tcPr>
          <w:p w14:paraId="6825A03A"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00" w:type="dxa"/>
            <w:noWrap/>
          </w:tcPr>
          <w:p w14:paraId="0680B2DB"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20" w:type="dxa"/>
            <w:noWrap/>
          </w:tcPr>
          <w:p w14:paraId="125A309C" w14:textId="77777777" w:rsidR="009C5EBE" w:rsidRPr="00375C7A" w:rsidRDefault="009C5EBE" w:rsidP="000B6A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3DACFA5" w14:textId="795893CD" w:rsidR="00511116" w:rsidRPr="00511116" w:rsidRDefault="00511116" w:rsidP="00511116">
      <w:pPr>
        <w:rPr>
          <w:rFonts w:ascii="Times New Roman" w:hAnsi="Times New Roman" w:cs="Times New Roman"/>
        </w:rPr>
        <w:sectPr w:rsidR="00511116" w:rsidRPr="00511116" w:rsidSect="00CC6D83">
          <w:pgSz w:w="16838" w:h="11906" w:orient="landscape"/>
          <w:pgMar w:top="1701" w:right="1134" w:bottom="851" w:left="1134" w:header="709" w:footer="709" w:gutter="0"/>
          <w:cols w:space="708"/>
          <w:docGrid w:linePitch="360"/>
        </w:sectPr>
      </w:pPr>
      <w:r>
        <w:rPr>
          <w:rFonts w:ascii="Times New Roman" w:hAnsi="Times New Roman" w:cs="Times New Roman"/>
        </w:rPr>
        <w:t>*</w:t>
      </w:r>
      <w:r w:rsidRPr="00511116">
        <w:rPr>
          <w:rFonts w:ascii="Times New Roman" w:hAnsi="Times New Roman" w:cs="Times New Roman"/>
        </w:rPr>
        <w:t>NA</w:t>
      </w:r>
      <w:r>
        <w:rPr>
          <w:rFonts w:ascii="Times New Roman" w:hAnsi="Times New Roman" w:cs="Times New Roman"/>
        </w:rPr>
        <w:t xml:space="preserve"> – not applica</w:t>
      </w:r>
      <w:r w:rsidR="002D7C9F">
        <w:rPr>
          <w:rFonts w:ascii="Times New Roman" w:hAnsi="Times New Roman" w:cs="Times New Roman"/>
        </w:rPr>
        <w:t>ble</w:t>
      </w:r>
    </w:p>
    <w:p w14:paraId="754D2970" w14:textId="0E9DFE79" w:rsidR="00375C7A" w:rsidRDefault="00375C7A" w:rsidP="00375C7A">
      <w:pPr>
        <w:spacing w:line="240" w:lineRule="auto"/>
        <w:jc w:val="both"/>
        <w:rPr>
          <w:rFonts w:ascii="Times New Roman" w:hAnsi="Times New Roman" w:cs="Times New Roman"/>
          <w:b/>
          <w:sz w:val="24"/>
          <w:szCs w:val="24"/>
        </w:rPr>
      </w:pPr>
    </w:p>
    <w:p w14:paraId="04C87BD9" w14:textId="31C807C0" w:rsidR="00375C7A" w:rsidRPr="00E36E2E" w:rsidRDefault="00E36E2E" w:rsidP="00375C7A">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Table S2</w:t>
      </w:r>
      <w:r w:rsidR="00375C7A" w:rsidRPr="00375C7A">
        <w:rPr>
          <w:rFonts w:ascii="Times New Roman" w:hAnsi="Times New Roman" w:cs="Times New Roman"/>
          <w:b/>
          <w:sz w:val="24"/>
          <w:szCs w:val="24"/>
        </w:rPr>
        <w:t xml:space="preserve">. </w:t>
      </w:r>
      <w:r w:rsidR="00375C7A" w:rsidRPr="00E36E2E">
        <w:rPr>
          <w:rFonts w:ascii="Times New Roman" w:hAnsi="Times New Roman" w:cs="Times New Roman"/>
          <w:sz w:val="24"/>
          <w:szCs w:val="24"/>
        </w:rPr>
        <w:t xml:space="preserve">Cytokine profiles of patients with COVID-19 in association with different </w:t>
      </w:r>
      <w:r w:rsidR="00375C7A" w:rsidRPr="00E36E2E">
        <w:rPr>
          <w:rFonts w:ascii="Times New Roman" w:eastAsia="Calibri" w:hAnsi="Times New Roman" w:cs="Times New Roman"/>
          <w:sz w:val="24"/>
          <w:szCs w:val="24"/>
        </w:rPr>
        <w:t>noninfectious</w:t>
      </w:r>
      <w:r w:rsidR="00375C7A" w:rsidRPr="00E36E2E">
        <w:rPr>
          <w:rFonts w:ascii="Times New Roman" w:hAnsi="Times New Roman" w:cs="Times New Roman"/>
          <w:sz w:val="24"/>
          <w:szCs w:val="24"/>
        </w:rPr>
        <w:t xml:space="preserve"> comorbidities</w:t>
      </w:r>
    </w:p>
    <w:tbl>
      <w:tblPr>
        <w:tblW w:w="1516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457"/>
        <w:gridCol w:w="2062"/>
        <w:gridCol w:w="2126"/>
        <w:gridCol w:w="9520"/>
      </w:tblGrid>
      <w:tr w:rsidR="00375C7A" w:rsidRPr="00375C7A" w14:paraId="6D15B9BD" w14:textId="77777777" w:rsidTr="00375C7A">
        <w:trPr>
          <w:trHeight w:val="840"/>
        </w:trPr>
        <w:tc>
          <w:tcPr>
            <w:tcW w:w="1457" w:type="dxa"/>
            <w:hideMark/>
          </w:tcPr>
          <w:p w14:paraId="1A43F53F"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Chronic noninfectious diseases</w:t>
            </w:r>
          </w:p>
        </w:tc>
        <w:tc>
          <w:tcPr>
            <w:tcW w:w="2062" w:type="dxa"/>
          </w:tcPr>
          <w:p w14:paraId="3C243B51"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Cytokines increased in COVID-19 patients with comorbidities CM+ (median, p-value)</w:t>
            </w:r>
          </w:p>
        </w:tc>
        <w:tc>
          <w:tcPr>
            <w:tcW w:w="2126" w:type="dxa"/>
          </w:tcPr>
          <w:p w14:paraId="55046C90"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Cytokines lowered in COVID-19 patients with comorbidities CM+ (median, p-value)</w:t>
            </w:r>
          </w:p>
        </w:tc>
        <w:tc>
          <w:tcPr>
            <w:tcW w:w="9520" w:type="dxa"/>
            <w:hideMark/>
          </w:tcPr>
          <w:p w14:paraId="25C5BDDC" w14:textId="77777777" w:rsidR="00375C7A" w:rsidRPr="00375C7A" w:rsidRDefault="00375C7A" w:rsidP="00375C7A">
            <w:pPr>
              <w:spacing w:line="276" w:lineRule="auto"/>
              <w:jc w:val="center"/>
              <w:rPr>
                <w:rFonts w:ascii="Times New Roman" w:hAnsi="Times New Roman" w:cs="Times New Roman"/>
                <w:b/>
                <w:bCs/>
                <w:sz w:val="18"/>
                <w:szCs w:val="18"/>
              </w:rPr>
            </w:pPr>
          </w:p>
          <w:p w14:paraId="2E1169D4"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Possible reasons for differences of cytokine levels between COVID-19 patients with (CM+) or without (CM-) comorbidities</w:t>
            </w:r>
          </w:p>
        </w:tc>
      </w:tr>
      <w:tr w:rsidR="00375C7A" w:rsidRPr="00375C7A" w14:paraId="73352DE9" w14:textId="77777777" w:rsidTr="00375C7A">
        <w:trPr>
          <w:trHeight w:val="608"/>
        </w:trPr>
        <w:tc>
          <w:tcPr>
            <w:tcW w:w="1457" w:type="dxa"/>
            <w:vMerge w:val="restart"/>
            <w:noWrap/>
            <w:hideMark/>
          </w:tcPr>
          <w:p w14:paraId="75836BB0" w14:textId="77777777" w:rsidR="00375C7A" w:rsidRPr="00375C7A" w:rsidRDefault="00375C7A" w:rsidP="00375C7A">
            <w:pPr>
              <w:spacing w:line="276" w:lineRule="auto"/>
              <w:rPr>
                <w:rFonts w:ascii="Times New Roman" w:hAnsi="Times New Roman" w:cs="Times New Roman"/>
                <w:b/>
                <w:bCs/>
                <w:sz w:val="18"/>
                <w:szCs w:val="18"/>
              </w:rPr>
            </w:pPr>
          </w:p>
          <w:p w14:paraId="4DC72BA8"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 xml:space="preserve">Cardiovascular diseases (CVD) </w:t>
            </w:r>
          </w:p>
        </w:tc>
        <w:tc>
          <w:tcPr>
            <w:tcW w:w="2062" w:type="dxa"/>
          </w:tcPr>
          <w:p w14:paraId="6CE2BB72" w14:textId="77777777" w:rsidR="00375C7A" w:rsidRPr="00375C7A" w:rsidRDefault="00375C7A" w:rsidP="00375C7A">
            <w:pPr>
              <w:spacing w:line="276" w:lineRule="auto"/>
              <w:rPr>
                <w:rFonts w:ascii="Times New Roman" w:hAnsi="Times New Roman" w:cs="Times New Roman"/>
                <w:sz w:val="18"/>
                <w:szCs w:val="18"/>
              </w:rPr>
            </w:pPr>
          </w:p>
          <w:p w14:paraId="513E0870" w14:textId="630B5E58"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IL-1RA (33.5,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&lt;0.01)</w:t>
            </w:r>
          </w:p>
        </w:tc>
        <w:tc>
          <w:tcPr>
            <w:tcW w:w="2126" w:type="dxa"/>
          </w:tcPr>
          <w:p w14:paraId="53D68CA0" w14:textId="77777777" w:rsidR="00375C7A" w:rsidRPr="00375C7A" w:rsidRDefault="00375C7A" w:rsidP="00375C7A">
            <w:pPr>
              <w:spacing w:line="276" w:lineRule="auto"/>
              <w:rPr>
                <w:rFonts w:ascii="Times New Roman" w:hAnsi="Times New Roman" w:cs="Times New Roman"/>
                <w:sz w:val="18"/>
                <w:szCs w:val="18"/>
              </w:rPr>
            </w:pPr>
          </w:p>
          <w:p w14:paraId="68DDAB17" w14:textId="1DC52D4B"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EGF (376,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&lt;0.01)</w:t>
            </w:r>
          </w:p>
        </w:tc>
        <w:tc>
          <w:tcPr>
            <w:tcW w:w="9520" w:type="dxa"/>
            <w:hideMark/>
          </w:tcPr>
          <w:p w14:paraId="1AF990D0" w14:textId="4DF92FC7"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Imbalance between IL-1 and</w:t>
            </w:r>
            <w:r w:rsidRPr="00375C7A">
              <w:rPr>
                <w:rFonts w:ascii="Times New Roman" w:hAnsi="Times New Roman" w:cs="Times New Roman"/>
                <w:b/>
                <w:bCs/>
                <w:sz w:val="18"/>
                <w:szCs w:val="18"/>
              </w:rPr>
              <w:t xml:space="preserve"> IL-1RA </w:t>
            </w:r>
            <w:r w:rsidRPr="00375C7A">
              <w:rPr>
                <w:rFonts w:ascii="Times New Roman" w:hAnsi="Times New Roman" w:cs="Times New Roman"/>
                <w:sz w:val="18"/>
                <w:szCs w:val="18"/>
              </w:rPr>
              <w:t>can lead to coronary heart disease. To inhibit pathological functions of IL-1, more than 100 times higher amount of IL-1RA is needed</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PFTRau7a","properties":{"formattedCitation":"(11)","plainCitation":"(11)","noteIndex":0},"citationItems":[{"id":"AkeASnBu/ezbrssmc","uris":["http://zotero.org/users/7800320/items/NKV9FGEC"],"uri":["http://zotero.org/users/7800320/items/NKV9FGEC"],"itemData":{"id":240,"type":"article-journal","abstract":"IL-1 is an important mediator of inflammation and tissue damage in multiple organs, both in experimental animal models of disease and in human diseases. The IL-1 family consists of two agonists, IL-1α and IL-1β, two receptors, biologically active IL-1RI and inert IL-1RII, and a specific receptor antagonist, IL-1Ra. The balance between IL-1 and IL-1Ra in local tissues plays an important role in the susceptibility to and severity of many diseases. An allelic polymorphism in the IL-1Ra gene has been associated with a variety of human diseases primarily of epithelial and endothelial cell origin. This association may be secondary to an imbalance in the IL-1 system with enhanced production of IL-1β and reduced production of the major intracellular isoform of IL-1Ra. Treatment of RA with daily subcutaneous injections of recombinant IL-1Ra protein has been shown to be efficacious. Gene therapy approaches with IL-1Ra are being evaluated for the treatment of RA and other human diseases.","collection-title":"Cytokines in Autoimmune Disease","container-title":"Cytokine &amp; Growth Factor Reviews","DOI":"10.1016/S1359-6101(02)00020-5","ISSN":"1359-6101","issue":"4","journalAbbreviation":"Cytokine &amp; Growth Factor Reviews","language":"en","page":"323-340","source":"ScienceDirect","title":"The balance between IL-1 and IL-1Ra in disease","volume":"13","author":[{"family":"Arend","given":"William P"}],"issued":{"date-parts":[["2002",8,1]]}}}],"schema":"https://github.com/citation-style-language/schema/raw/master/csl-citation.json"}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(11)</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5C3E3DDE" w14:textId="77777777" w:rsidTr="00375C7A">
        <w:trPr>
          <w:trHeight w:val="268"/>
        </w:trPr>
        <w:tc>
          <w:tcPr>
            <w:tcW w:w="1457" w:type="dxa"/>
            <w:vMerge/>
            <w:hideMark/>
          </w:tcPr>
          <w:p w14:paraId="5A2F463E"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62A6A970" w14:textId="462F405E"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IL-6 (24,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2EBF23A0" w14:textId="3067533D"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IL-13 (44,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noWrap/>
            <w:hideMark/>
          </w:tcPr>
          <w:p w14:paraId="75C68737" w14:textId="505296D6"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Levels of </w:t>
            </w:r>
            <w:r w:rsidRPr="00375C7A">
              <w:rPr>
                <w:rFonts w:ascii="Times New Roman" w:hAnsi="Times New Roman" w:cs="Times New Roman"/>
                <w:b/>
                <w:bCs/>
                <w:sz w:val="18"/>
                <w:szCs w:val="18"/>
              </w:rPr>
              <w:t>IL-6</w:t>
            </w:r>
            <w:r w:rsidRPr="00375C7A">
              <w:rPr>
                <w:rFonts w:ascii="Times New Roman" w:hAnsi="Times New Roman" w:cs="Times New Roman"/>
                <w:sz w:val="18"/>
                <w:szCs w:val="18"/>
              </w:rPr>
              <w:t xml:space="preserve"> and IL-10 are increased in patients with CVD, especially in those with hypertension and coronary heart disease</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wXThflSJ","properties":{"formattedCitation":"(12)","plainCitation":"(12)","noteIndex":0},"citationItems":[{"id":"AkeASnBu/gr67pYw6","uris":["http://zotero.org/users/7800320/items/Q9VEZPQ2"],"uri":["http://zotero.org/users/7800320/items/Q9VEZPQ2"],"itemData":{"id":242,"type":"article-journal","abstract":"&lt;h2&gt;Abstract&lt;/h2&gt;&lt;h3&gt;Background and aim&lt;/h3&gt;&lt;p&gt;A novel coronavirus severe acute respiratory syndrome corona virus 2 (SARS-CoV-2) caused pneumonia, Coronavirus Disease 2019 (COVID-19), broke out in Wuhan, China in December 2019, and spread all over the world. Patients with COVID-19 showed huge differences in the hospital stay, progression, and prognosis. As reported, the comorbidities may play an important role in COVID-19. Here, we aim to address the role of cardiovascular disease (CVD) in the progression and prognosis of COVID-19.&lt;/p&gt;&lt;h3&gt;Methods and results&lt;/h3&gt;&lt;p&gt;Eighty-three confirmed COVID-19 patients were divided into CVD (n = 42) and non-CVD (n = 41) group according to their medical history. Medical records including demographic data, medical history, clinical characteristics, laboratory examinations, chest computed tomography (CT), and treatment measures were collected, analyzed, and compared between the two groups. COVID-19 patients with CVD showed (1) more severe pathological changes in the lungs, (2) elevated injury-related enzymes including α-hydroxybutyrate dehydrogenase (HDBH), lactic dehydrogenase (LDH), γ-glutamyltransferase (GGT), creatine kinase (CK), and alanine aminotransferase (ALT), (3) significantly increased uncontrolled inflammation related markers, such as c-reactive protein (CRP), interleukin (IL)-6, serum ferritin, erythrocyte sedimentation rate (ESR), and serum amyloid A (SAA), (4) serious hypercoagulable status reflected by increased D-dimer and serum fibrinogen (FIB), and (5) higher mortality, compared to COVID-19 patients without CVD.&lt;/p&gt;&lt;h3&gt;Conclusions&lt;/h3&gt;&lt;p&gt;Our data indicated that CVD is a strong risk factor for rapid progression and bad prognosis of COVID-19. More intensive medical care should be applied to patients with CVD to prevent rapid deterioration of the disease.&lt;/p&gt;","container-title":"Nutrition, Metabolism and Cardiovascular Diseases","DOI":"10.1016/j.numecd.2020.04.013","ISSN":"0939-4753, 1590-3729","issue":"7","journalAbbreviation":"Nutrition, Metabolism and Cardiovascular Diseases","language":"English","note":"publisher: Elsevier\nPMID: 32456948","page":"1061-1067","source":"www.nmcd-journal.com","title":"Cardiovascular disease potentially contributes to the progression and poor prognosis of COVID-19","volume":"30","author":[{"family":"Li","given":"Mingyue"},{"family":"Dong","given":"Yalan"},{"family":"Wang","given":"Haijun"},{"family":"Guo","given":"Weina"},{"family":"Zhou","given":"Haifeng"},{"family":"Zhang","given":"Zili"},{"family":"Tian","given":"Chunxia"},{"family":"Du","given":"Keye"},{"family":"Zhu","given":"Rui"},{"family":"Wang","given":"Li"},{"family":"Zhao","given":"Lei"},{"family":"Fan","given":"Heng"},{"family":"Luo","given":"Shanshan"},{"family":"Hu","given":"Desheng"}],"issued":{"date-parts":[["2020",6,25]]}}}],"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(12)</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7928B051" w14:textId="77777777" w:rsidTr="00375C7A">
        <w:trPr>
          <w:trHeight w:val="280"/>
        </w:trPr>
        <w:tc>
          <w:tcPr>
            <w:tcW w:w="1457" w:type="dxa"/>
            <w:vMerge w:val="restart"/>
            <w:noWrap/>
            <w:hideMark/>
          </w:tcPr>
          <w:p w14:paraId="5AD85546" w14:textId="77777777" w:rsidR="00375C7A" w:rsidRPr="00375C7A" w:rsidRDefault="00375C7A" w:rsidP="00375C7A">
            <w:pPr>
              <w:spacing w:line="276" w:lineRule="auto"/>
              <w:jc w:val="center"/>
              <w:rPr>
                <w:rFonts w:ascii="Times New Roman" w:hAnsi="Times New Roman" w:cs="Times New Roman"/>
                <w:b/>
                <w:bCs/>
                <w:sz w:val="18"/>
                <w:szCs w:val="18"/>
              </w:rPr>
            </w:pPr>
          </w:p>
          <w:p w14:paraId="384C4049" w14:textId="77777777" w:rsidR="00375C7A" w:rsidRPr="00375C7A" w:rsidRDefault="00375C7A" w:rsidP="00375C7A">
            <w:pPr>
              <w:spacing w:line="276" w:lineRule="auto"/>
              <w:rPr>
                <w:rFonts w:ascii="Times New Roman" w:hAnsi="Times New Roman" w:cs="Times New Roman"/>
                <w:b/>
                <w:bCs/>
                <w:sz w:val="18"/>
                <w:szCs w:val="18"/>
              </w:rPr>
            </w:pPr>
          </w:p>
          <w:p w14:paraId="604B12E6" w14:textId="77777777" w:rsidR="00375C7A" w:rsidRPr="00375C7A" w:rsidRDefault="00375C7A" w:rsidP="00375C7A">
            <w:pPr>
              <w:spacing w:line="276" w:lineRule="auto"/>
              <w:jc w:val="center"/>
              <w:rPr>
                <w:rFonts w:ascii="Times New Roman" w:hAnsi="Times New Roman" w:cs="Times New Roman"/>
                <w:b/>
                <w:bCs/>
                <w:sz w:val="18"/>
                <w:szCs w:val="18"/>
              </w:rPr>
            </w:pPr>
          </w:p>
          <w:p w14:paraId="3B20EE5A"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Chronic obstructive pulmonary disease (COPD)</w:t>
            </w:r>
          </w:p>
          <w:p w14:paraId="7964C2A4"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val="restart"/>
          </w:tcPr>
          <w:p w14:paraId="298C0684" w14:textId="77777777" w:rsidR="00375C7A" w:rsidRPr="00375C7A" w:rsidRDefault="00375C7A" w:rsidP="00375C7A">
            <w:pPr>
              <w:rPr>
                <w:rFonts w:ascii="Times New Roman" w:hAnsi="Times New Roman" w:cs="Times New Roman"/>
                <w:sz w:val="18"/>
                <w:szCs w:val="18"/>
              </w:rPr>
            </w:pPr>
          </w:p>
          <w:p w14:paraId="7BE2B005" w14:textId="77777777" w:rsidR="00375C7A" w:rsidRPr="00375C7A" w:rsidRDefault="00375C7A" w:rsidP="00375C7A">
            <w:pPr>
              <w:jc w:val="center"/>
              <w:rPr>
                <w:rFonts w:ascii="Times New Roman" w:hAnsi="Times New Roman" w:cs="Times New Roman"/>
                <w:sz w:val="18"/>
                <w:szCs w:val="18"/>
              </w:rPr>
            </w:pPr>
          </w:p>
          <w:p w14:paraId="4287A741" w14:textId="069B2244" w:rsidR="00375C7A" w:rsidRPr="00375C7A" w:rsidRDefault="00375C7A" w:rsidP="00375C7A">
            <w:pPr>
              <w:jc w:val="center"/>
              <w:rPr>
                <w:rFonts w:ascii="Times New Roman" w:hAnsi="Times New Roman" w:cs="Times New Roman"/>
                <w:sz w:val="18"/>
                <w:szCs w:val="18"/>
              </w:rPr>
            </w:pPr>
            <w:r w:rsidRPr="00375C7A">
              <w:rPr>
                <w:rFonts w:ascii="Times New Roman" w:hAnsi="Times New Roman" w:cs="Times New Roman"/>
                <w:sz w:val="18"/>
                <w:szCs w:val="18"/>
              </w:rPr>
              <w:t xml:space="preserve">IL-1RA (36,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692830C4" w14:textId="06F11F75"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sCD40L</w:t>
            </w:r>
          </w:p>
          <w:p w14:paraId="45E3CC55" w14:textId="77777777" w:rsidR="00375C7A" w:rsidRPr="00375C7A" w:rsidRDefault="00375C7A" w:rsidP="00375C7A">
            <w:pPr>
              <w:jc w:val="center"/>
              <w:rPr>
                <w:rFonts w:ascii="Times New Roman" w:hAnsi="Times New Roman" w:cs="Times New Roman"/>
                <w:sz w:val="18"/>
                <w:szCs w:val="18"/>
              </w:rPr>
            </w:pPr>
            <w:r w:rsidRPr="00375C7A">
              <w:rPr>
                <w:rFonts w:ascii="Times New Roman" w:hAnsi="Times New Roman" w:cs="Times New Roman"/>
                <w:sz w:val="18"/>
                <w:szCs w:val="18"/>
              </w:rPr>
              <w:t xml:space="preserve">(7801, </w:t>
            </w:r>
            <w:r w:rsidRPr="00375C7A">
              <w:rPr>
                <w:rFonts w:ascii="Times New Roman" w:hAnsi="Times New Roman" w:cs="Times New Roman"/>
                <w:i/>
                <w:iCs/>
                <w:sz w:val="18"/>
                <w:szCs w:val="18"/>
              </w:rPr>
              <w:t>p&lt;0.05</w:t>
            </w:r>
            <w:r w:rsidRPr="00375C7A">
              <w:rPr>
                <w:rFonts w:ascii="Times New Roman" w:hAnsi="Times New Roman" w:cs="Times New Roman"/>
                <w:sz w:val="18"/>
                <w:szCs w:val="18"/>
              </w:rPr>
              <w:t>)</w:t>
            </w:r>
          </w:p>
        </w:tc>
        <w:tc>
          <w:tcPr>
            <w:tcW w:w="9520" w:type="dxa"/>
            <w:vMerge w:val="restart"/>
            <w:hideMark/>
          </w:tcPr>
          <w:p w14:paraId="4F22BFC1" w14:textId="1441D3DA"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Imbalance between IL-1/</w:t>
            </w:r>
            <w:r w:rsidRPr="00375C7A">
              <w:rPr>
                <w:rFonts w:ascii="Times New Roman" w:hAnsi="Times New Roman" w:cs="Times New Roman"/>
                <w:b/>
                <w:bCs/>
                <w:sz w:val="18"/>
                <w:szCs w:val="18"/>
              </w:rPr>
              <w:t>IL-1RA</w:t>
            </w:r>
            <w:r w:rsidRPr="00375C7A">
              <w:rPr>
                <w:rFonts w:ascii="Times New Roman" w:hAnsi="Times New Roman" w:cs="Times New Roman"/>
                <w:sz w:val="18"/>
                <w:szCs w:val="18"/>
              </w:rPr>
              <w:t xml:space="preserve"> can lead to the development of lung diseases in animal models and in humans, such as fibrotic and infectious lung diseases, particularly granuloma formation. Endogenous IL-1Ra was shown to exert important anti-inflammatory effects in a model of immune lung injury, as produced by both macrophages and infiltrating neutrophils. A high concentration in bronchoalveolar lavage correlates with a good outcome in, for example, adult respiratory distress syndrome</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33vtTW0G","properties":{"formattedCitation":"(11)","plainCitation":"(11)","noteIndex":0},"citationItems":[{"id":"AkeASnBu/ezbrssmc","uris":["http://zotero.org/users/7800320/items/NKV9FGEC"],"uri":["http://zotero.org/users/7800320/items/NKV9FGEC"],"itemData":{"id":240,"type":"article-journal","abstract":"IL-1 is an important mediator of inflammation and tissue damage in multiple organs, both in experimental animal models of disease and in human diseases. The IL-1 family consists of two agonists, IL-1α and IL-1β, two receptors, biologically active IL-1RI and inert IL-1RII, and a specific receptor antagonist, IL-1Ra. The balance between IL-1 and IL-1Ra in local tissues plays an important role in the susceptibility to and severity of many diseases. An allelic polymorphism in the IL-1Ra gene has been associated with a variety of human diseases primarily of epithelial and endothelial cell origin. This association may be secondary to an imbalance in the IL-1 system with enhanced production of IL-1β and reduced production of the major intracellular isoform of IL-1Ra. Treatment of RA with daily subcutaneous injections of recombinant IL-1Ra protein has been shown to be efficacious. Gene therapy approaches with IL-1Ra are being evaluated for the treatment of RA and other human diseases.","collection-title":"Cytokines in Autoimmune Disease","container-title":"Cytokine &amp; Growth Factor Reviews","DOI":"10.1016/S1359-6101(02)00020-5","ISSN":"1359-6101","issue":"4","journalAbbreviation":"Cytokine &amp; Growth Factor Reviews","language":"en","page":"323-340","source":"ScienceDirect","title":"The balance between IL-1 and IL-1Ra in disease","volume":"13","author":[{"family":"Arend","given":"William P"}],"issued":{"date-parts":[["2002",8,1]]}}}],"schema":"https://github.com/citation-style-language/schema/raw/master/csl-citation.json"}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(11)</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p w14:paraId="03233804" w14:textId="77777777" w:rsidR="00375C7A" w:rsidRPr="00375C7A" w:rsidRDefault="00375C7A" w:rsidP="00375C7A">
            <w:pPr>
              <w:spacing w:line="276" w:lineRule="auto"/>
              <w:jc w:val="center"/>
              <w:rPr>
                <w:rFonts w:ascii="Times New Roman" w:hAnsi="Times New Roman" w:cs="Times New Roman"/>
                <w:sz w:val="18"/>
                <w:szCs w:val="18"/>
              </w:rPr>
            </w:pPr>
          </w:p>
        </w:tc>
      </w:tr>
      <w:tr w:rsidR="00375C7A" w:rsidRPr="00375C7A" w14:paraId="5D67A592" w14:textId="77777777" w:rsidTr="00375C7A">
        <w:trPr>
          <w:trHeight w:val="454"/>
        </w:trPr>
        <w:tc>
          <w:tcPr>
            <w:tcW w:w="1457" w:type="dxa"/>
            <w:vMerge/>
            <w:hideMark/>
          </w:tcPr>
          <w:p w14:paraId="2900FC7B"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tcPr>
          <w:p w14:paraId="25E2B834" w14:textId="77777777" w:rsidR="00375C7A" w:rsidRPr="00375C7A" w:rsidRDefault="00375C7A" w:rsidP="00375C7A">
            <w:pPr>
              <w:spacing w:line="276" w:lineRule="auto"/>
              <w:jc w:val="center"/>
              <w:rPr>
                <w:rFonts w:ascii="Times New Roman" w:hAnsi="Times New Roman" w:cs="Times New Roman"/>
                <w:sz w:val="18"/>
                <w:szCs w:val="18"/>
              </w:rPr>
            </w:pPr>
          </w:p>
        </w:tc>
        <w:tc>
          <w:tcPr>
            <w:tcW w:w="2126" w:type="dxa"/>
          </w:tcPr>
          <w:p w14:paraId="05C15B3E" w14:textId="6B508C3D"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IL-13 (44,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vMerge/>
            <w:hideMark/>
          </w:tcPr>
          <w:p w14:paraId="65D5FD6A" w14:textId="77777777" w:rsidR="00375C7A" w:rsidRPr="00375C7A" w:rsidRDefault="00375C7A" w:rsidP="00375C7A">
            <w:pPr>
              <w:spacing w:line="276" w:lineRule="auto"/>
              <w:jc w:val="center"/>
              <w:rPr>
                <w:rFonts w:ascii="Times New Roman" w:hAnsi="Times New Roman" w:cs="Times New Roman"/>
                <w:sz w:val="18"/>
                <w:szCs w:val="18"/>
              </w:rPr>
            </w:pPr>
          </w:p>
        </w:tc>
      </w:tr>
      <w:tr w:rsidR="00375C7A" w:rsidRPr="00375C7A" w14:paraId="486E2D1E" w14:textId="77777777" w:rsidTr="00375C7A">
        <w:trPr>
          <w:trHeight w:val="279"/>
        </w:trPr>
        <w:tc>
          <w:tcPr>
            <w:tcW w:w="1457" w:type="dxa"/>
            <w:vMerge/>
            <w:hideMark/>
          </w:tcPr>
          <w:p w14:paraId="6C47B89D"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1682526D" w14:textId="087E48D3"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IL-6 (33,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20A0EEF3" w14:textId="0C20FDF8"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IL-17A (9,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58FBA177" w14:textId="6BA5B8BD"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In smokers with COPD progression, the level of serum </w:t>
            </w:r>
            <w:r w:rsidRPr="00375C7A">
              <w:rPr>
                <w:rFonts w:ascii="Times New Roman" w:hAnsi="Times New Roman" w:cs="Times New Roman"/>
                <w:b/>
                <w:bCs/>
                <w:sz w:val="18"/>
                <w:szCs w:val="18"/>
              </w:rPr>
              <w:t xml:space="preserve">IL-6 </w:t>
            </w:r>
            <w:r w:rsidRPr="00375C7A">
              <w:rPr>
                <w:rFonts w:ascii="Times New Roman" w:hAnsi="Times New Roman" w:cs="Times New Roman"/>
                <w:sz w:val="18"/>
                <w:szCs w:val="18"/>
              </w:rPr>
              <w:t>is increased</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IGGKXG7J","properties":{"formattedCitation":"(13)","plainCitation":"(13)","noteIndex":0},"citationItems":[{"id":"AkeASnBu/zZeOgmG0","uris":["http://zotero.org/users/7800320/items/68Z3SKRB"],"uri":["http://zotero.org/users/7800320/items/68Z3SKRB"],"itemData":{"id":281,"type":"article-journal","abstract":"Background:\nChronic obstructive pulmonary disease (COPD) is a non-specific inflammation, which involves the airways, lung parenchyma and pulmonary vessels. The inflammation causes the activation of inflammatory cells and the release of various inflammatory mediators such as interleukin-8 (IL-8), IL-6 and tumor necoris factor alpha (TNF-a). The purpose of the present study was to measure serum IL-6, C-reactive protein (CRP) (as a positive phase reactant) and albumin level (as a negative phase reactant) in COPD patients (only due to cigarette smoking not bio-mass), non COPD smokers and healthy subjects using enzyme-linked immunosorbent assay (ELISA); we compared the differences in inflammatory factors among groups.\n\nMaterials and Methods:\nA total of 180 males were enrolled in this study and divided into three equal groups. The first group was 60 smokers who had COPD. The second group included 60 smokers without COPD and the third group consisted of people who were not smokers and did not have COPD; 5 mL of venous blood was taken from all participants and it was collected in a test tube containing anticoagulant and then centrifuged at 3000 rpm for 10 minutes. Serum was separated and used to measure the amount of IL-6, CRP and albumin. Spirometry was performed according to the criteria set by the American Thoracic Society.\n\nResults:\nThe mean serum level of IL-6 was 83.2±7.5 pg/mL in group I, 54.9±24.3 pg/mL in group II and 46.9±10.4 pg/mL in group III. There was a significant difference among the three groups (P&lt;0.001). The mean serum level of CRP was 28.9±14.9 mg/dL in the first group, 19.9±8.5 mg/dL in the second group and 4.2±2.3 mg/dL in the third group (P=0.02). But by controlling the confounding effects of age, this difference was not significant (P=0.49). The mean serum level of albumin was I 4.1±0.57 mg/dL in group I, 4.3±0.56 mg/dL in group II and 4.1±0.53 mg/dL in group III. There was no significant difference among the three groups in this regard (P=0.099).There was a significant inverse relationship between serum levels of IL-6 and FEV 1 (r=−0.341, P&lt;0.001). Moreover, there was a significant inverse relationship between serum levels of IL-6 and FEV1/FVC (r=−0.309, P&lt;0.001). Serum albumin level was not different among various stages. Level of CRP and IL6 increased as the stage of COPD got worse in smokers.\n\nConclusion:\nOur study showed that serum level of IL-6 predicts development of COPD in smokers with a high sensitivity among all inflammatory factors namely CRP, IL-6, and albumin.","container-title":"Tanaffos","ISSN":"1735-0344","issue":"2","journalAbbreviation":"Tanaffos","note":"PMID: 26528368\nPMCID: PMC4629428","page":"134-140","source":"PubMed Central","title":"Role of Serum Interleukin 6, Albumin and C-Reactive Protein in COPD Patients","volume":"14","author":[{"family":"Emami Ardestani","given":"Mohammad"},{"family":"Zaerin","given":"Omid"}],"issued":{"date-parts":[["2015"]]}}}],"schema":"https://github.com/citation-style-language/schema/raw/master/csl-citation.json"}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(13)</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4F8BA25C" w14:textId="77777777" w:rsidTr="00375C7A">
        <w:trPr>
          <w:trHeight w:val="282"/>
        </w:trPr>
        <w:tc>
          <w:tcPr>
            <w:tcW w:w="1457" w:type="dxa"/>
            <w:vMerge/>
            <w:hideMark/>
          </w:tcPr>
          <w:p w14:paraId="45C5BE66"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4E263B7A" w14:textId="6FBC6A04"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sz w:val="18"/>
                <w:szCs w:val="18"/>
              </w:rPr>
              <w:t xml:space="preserve">MCP-1 (765,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2BC48ACB" w14:textId="68BBC5AB"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sz w:val="18"/>
                <w:szCs w:val="18"/>
              </w:rPr>
              <w:t xml:space="preserve">IL-22 (16,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2E0D4E8F" w14:textId="50E71CD2"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The blood level of</w:t>
            </w:r>
            <w:r w:rsidRPr="00375C7A">
              <w:rPr>
                <w:rFonts w:ascii="Times New Roman" w:hAnsi="Times New Roman" w:cs="Times New Roman"/>
                <w:b/>
                <w:bCs/>
                <w:sz w:val="18"/>
                <w:szCs w:val="18"/>
              </w:rPr>
              <w:t xml:space="preserve"> MCP-1</w:t>
            </w:r>
            <w:r w:rsidRPr="00375C7A">
              <w:rPr>
                <w:rFonts w:ascii="Times New Roman" w:hAnsi="Times New Roman" w:cs="Times New Roman"/>
                <w:sz w:val="18"/>
                <w:szCs w:val="18"/>
              </w:rPr>
              <w:t xml:space="preserve"> is increased in patients with COPD with the progression of emphysema</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TV50hV8A","properties":{"formattedCitation":"(14)","plainCitation":"(14)","noteIndex":0},"citationItems":[{"id":"AkeASnBu/zwWvHX4R","uris":["http://zotero.org/users/7800320/items/9JP7EDL7"],"uri":["http://zotero.org/users/7800320/items/9JP7EDL7"],"itemData":{"id":278,"type":"article-journal","abstract":"Blood MCP-1 levels are increased in chronic obstructive pulmonary disease patients with prevalent emphysema Antonino Di Stefano,1 Teresa Coccini,2 Elisa Roda,2 Cinzia Signorini,3 Bruno Balbi,1 Giuseppe Brunetti,4 Piero Ceriana4  1Pulmonary Rehabilitation Unit and Laboratory of Cytoimmunopathology of the Heart and Lung, Istituti Clinici Scientifici Maugeri SpA Societ&amp;agrave; Benefit, Istituto di Ricovero e Cura a Carattere Scientifico (IRCCS), Veruno, Italy; 2Laboratory of Experimental and Clinical Toxicology, Toxicology Unit, ICS Maugeri SpA Societ&amp;agrave; Benefit, Istituto di Ricovero e Cura a Carattere Scientifico, Pavia, Italy; 3Department of Molecular and Developmental Medicine, University of Siena, Siena, Italy; 4Pulmonary Rehabilitation Unit, Istituti Clinici Scientifici Maugeri SpA Societ&amp;agrave; Benefit, Istituto di Ricovero e Cura a Carattere Scientifico, Pavia, Italy  Background and aims: Chronic obstructive pulmonary disease (COPD) is a heterogeneous disease characterized by different phenotypes with either bronchial airways alterations or emphysema prevailing. As blood biomarkers could be clinically useful for COPD stratification, we aimed at investigating the levels of blood biomarkers in COPD patients differentiated by phenotype: prevalent chronic airway disease versus emphysema. Methods: In 23 COPD patients with prevalent airway disease (COPD-B), 22 COPD patients with prevalent emphysema (COPD-E), 9 control smokers (CSs), and 18 control nonsmokers (CNSs), we analyzed the expression levels of interleukin (IL)-1&amp;alpha;, IL-1&amp;beta;, IL-2, IL-4, IL-6, IL-8, IL-10, tumor necrosis factor (TNF)-&amp;alpha;, interferon (IFN)-&amp;gamma;, epidermal growth factor (EGF), monocyte chemotactic protein (MCP)-1, and vascular endothelial growth factor by enzyme-linked immunosorbent assay in plasma/serum; glutathione peroxidase and superoxide dismutase (SOD)-1 by immunochemical kits in plasma; and free F2-isoprostanes (F2-IsoPs) by gas chromatography in plasma. Results: F2-IsoPs level was increased in COPD-B and COPD-E compared with CSs and CNSs; in addition, CS showed higher levels than CNSs; SOD1 level was lower in COPD-B and COPD-E than that in CNSs. Interestingly, MCP-1 level was higher only in COPD-E versus CSs and CNSs; EGF and IL-8 levels were higher in COPD-B and COPD-E versus CNSs; IL-6 level was increased in all three smoking groups (COPD-B, COPD-E, and CSs) versus CNS; IFN-&amp;gamma; and IL-1&amp;alpha; levels were higher in CSs than in CNSs; and IL-1&amp;alpha; level was also higher in CSs versus COPD-B and COPD-E. In all subjects, F2-IsoPs level correlated positively and significantly with MCP-1, IL-2, IL-1&amp;beta;, IFN-&amp;gamma;, and TNF-&amp;alpha; and negatively with SOD1. When correlations were restricted to COPD-E and COPD-B groups, F2-IsoPs maintained the positive associations with IFN-&amp;gamma;, TNF-&amp;alpha;, and IL-2. Conclusion: We did not find any specific blood biomarkers that could differentiate COPD patients with prevalent airway disease from those with prevalent emphysema. The MCP-1 increase in COPD-E, associated with the imbalance of oxidant/antioxidant markers, may play a role in inducing emphysema.  Keywords: serum, phenotypes, endotypes, biomarkers, asthma, airway inflammation","container-title":"International Journal of Chronic Obstructive Pulmonary Disease","DOI":"10.2147/COPD.S159915","journalAbbreviation":"COPD","language":"English","note":"publisher: Dove Press","page":"1691-1700","source":"www.dovepress.com","title":"Blood MCP-1 levels are increased in chronic obstructive pulmonary disease patients with prevalent emphysema","volume":"13","author":[{"family":"Stefano","given":"Antonino Di"},{"family":"Coccini","given":"Teresa"},{"family":"Roda","given":"Elisa"},{"family":"Signorini","given":"Cinzia"},{"family":"Balbi","given":"Bruno"},{"family":"Brunetti","given":"Giuseppe"},{"family":"Ceriana","given":"Piero"}],"issued":{"date-parts":[["2018",5,24]]}}}],"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(14)</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17D1A94A" w14:textId="77777777" w:rsidTr="00375C7A">
        <w:trPr>
          <w:trHeight w:val="430"/>
        </w:trPr>
        <w:tc>
          <w:tcPr>
            <w:tcW w:w="1457" w:type="dxa"/>
            <w:vMerge/>
            <w:hideMark/>
          </w:tcPr>
          <w:p w14:paraId="3AE0782B"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506ECDCE" w14:textId="77777777" w:rsidR="00375C7A" w:rsidRPr="00375C7A" w:rsidRDefault="00375C7A" w:rsidP="00375C7A">
            <w:pPr>
              <w:spacing w:line="276" w:lineRule="auto"/>
              <w:jc w:val="center"/>
              <w:rPr>
                <w:rFonts w:ascii="Times New Roman" w:hAnsi="Times New Roman" w:cs="Times New Roman"/>
                <w:sz w:val="18"/>
                <w:szCs w:val="18"/>
              </w:rPr>
            </w:pPr>
          </w:p>
          <w:p w14:paraId="45DA3CEA" w14:textId="5D76DF5D"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MIG (3744,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605FB81E" w14:textId="77777777" w:rsidR="00375C7A" w:rsidRPr="00375C7A" w:rsidRDefault="00375C7A" w:rsidP="00375C7A">
            <w:pPr>
              <w:spacing w:line="276" w:lineRule="auto"/>
              <w:jc w:val="center"/>
              <w:rPr>
                <w:rFonts w:ascii="Times New Roman" w:hAnsi="Times New Roman" w:cs="Times New Roman"/>
                <w:sz w:val="18"/>
                <w:szCs w:val="18"/>
              </w:rPr>
            </w:pPr>
          </w:p>
          <w:p w14:paraId="5327524E" w14:textId="2A3C1178"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TNF-β (18.5,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268D5A65" w14:textId="54F4B29D"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In patients with COPD and emphysema, secretion of </w:t>
            </w:r>
            <w:r w:rsidRPr="00375C7A">
              <w:rPr>
                <w:rFonts w:ascii="Times New Roman" w:hAnsi="Times New Roman" w:cs="Times New Roman"/>
                <w:b/>
                <w:bCs/>
                <w:sz w:val="18"/>
                <w:szCs w:val="18"/>
              </w:rPr>
              <w:t>MIG</w:t>
            </w:r>
            <w:r w:rsidRPr="00375C7A">
              <w:rPr>
                <w:rFonts w:ascii="Times New Roman" w:hAnsi="Times New Roman" w:cs="Times New Roman"/>
                <w:sz w:val="18"/>
                <w:szCs w:val="18"/>
              </w:rPr>
              <w:t>, IP-10, IFN-γ by CD4/CD8 T-helpers with Th1 phenotype is increased</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facvdsxo","properties":{"formattedCitation":"(15)","plainCitation":"(15)","noteIndex":0},"citationItems":[{"id":"AkeASnBu/xsdlQLjm","uris":["http://zotero.org/users/7800320/items/DZ6C2GSY"],"uri":["http://zotero.org/users/7800320/items/DZ6C2GSY"],"itemData":{"id":283,"type":"article-journal","abstract":"Abstract Background Chronic obstructive pulmonary disease and emphysema are a frequent result of long-term smoking, but the exact mechanisms, specifically which types of cells are associated with the lung destruction, are unclear. Methods and Findings We studied different subsets of lymphocytes taken from portions of human lungs removed surgically to find out which lymphocytes were the most frequent, which cell-surface markers these lymphocytes expressed, and whether the lymphocytes secreted any specific factors that could be associated with disease. We found that loss of lung function in patients with chronic obstructive pulmonary disease and emphysema was associated with a high percentage of CD4+ and CD8+ T lymphocytes that expressed chemokine receptors CCR5 and CXCR3 (both markers of T helper 1 cells), but not CCR3 or CCR4 (markers of T helper 2 cells). Lung lymphocytes in patients with chronic obstructive pulmonary disease and emphysema secrete more interferon gamma—often associated with T helper 1 cells—and interferon-inducible protein 10 and monokine induced by interferon, both of which bind to CXCR3 and are involved in attracting T helper 1 cells. In response to interferon-inducible protein 10 and monokine induced by interferon, but not interferon gamma, lung macrophages secreted macrophage metalloelastase (matrix metalloproteinase-12), a potent elastin-degrading enzyme that causes tissue destruction and which has been linked to emphysema. Conclusions These data suggest that Th1 lymphoctytes in the lungs of people with smoking-related damage drive progression of emphysema through CXCR3 ligands, interferon-inducible protein 10, and monokine induced by interferon.","container-title":"PLOS Medicine","DOI":"10.1371/journal.pmed.0010008","ISSN":"1549-1676","issue":"1","journalAbbreviation":"PLOS Medicine","language":"en","note":"publisher: Public Library of Science","page":"e8","source":"PLoS Journals","title":"An Immune Basis for Lung Parenchymal Destruction in Chronic Obstructive Pulmonary Disease and Emphysema","volume":"1","author":[{"family":"Grumelli","given":"Sandra"},{"family":"Corry","given":"David B."},{"family":"Song","given":"Li-Zhen"},{"family":"Song","given":"Ling"},{"family":"Green","given":"Linda"},{"family":"Huh","given":"Joseph"},{"family":"Hacken","given":"Joan"},{"family":"Espada","given":"Rafael"},{"family":"Bag","given":"Remzi"},{"family":"Lewis","given":"Dorothy E."},{"family":"Kheradmand","given":"Farrah"}],"issued":{"date-parts":[["2004",10,19]]}}}],"schema":"https://github.com/citation-style-language/schema/raw/master/csl-citation.json"}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(15)</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1A0E9C56" w14:textId="77777777" w:rsidTr="00375C7A">
        <w:trPr>
          <w:trHeight w:val="421"/>
        </w:trPr>
        <w:tc>
          <w:tcPr>
            <w:tcW w:w="1457" w:type="dxa"/>
            <w:vMerge w:val="restart"/>
            <w:noWrap/>
            <w:hideMark/>
          </w:tcPr>
          <w:p w14:paraId="61583221" w14:textId="77777777" w:rsidR="00375C7A" w:rsidRPr="00375C7A" w:rsidRDefault="00375C7A" w:rsidP="00375C7A">
            <w:pPr>
              <w:spacing w:line="276" w:lineRule="auto"/>
              <w:jc w:val="center"/>
              <w:rPr>
                <w:rFonts w:ascii="Times New Roman" w:hAnsi="Times New Roman" w:cs="Times New Roman"/>
                <w:b/>
                <w:bCs/>
                <w:sz w:val="18"/>
                <w:szCs w:val="18"/>
              </w:rPr>
            </w:pPr>
          </w:p>
          <w:p w14:paraId="0F880950"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Bronchial asthma (BA) +COPD</w:t>
            </w:r>
          </w:p>
        </w:tc>
        <w:tc>
          <w:tcPr>
            <w:tcW w:w="2062" w:type="dxa"/>
            <w:vMerge w:val="restart"/>
          </w:tcPr>
          <w:p w14:paraId="70D9F60F" w14:textId="77777777" w:rsidR="00375C7A" w:rsidRPr="00375C7A" w:rsidRDefault="00375C7A" w:rsidP="00375C7A">
            <w:pPr>
              <w:spacing w:line="276" w:lineRule="auto"/>
              <w:jc w:val="center"/>
              <w:rPr>
                <w:rFonts w:ascii="Times New Roman" w:hAnsi="Times New Roman" w:cs="Times New Roman"/>
                <w:sz w:val="18"/>
                <w:szCs w:val="18"/>
              </w:rPr>
            </w:pPr>
          </w:p>
          <w:p w14:paraId="74C19FE5" w14:textId="77777777" w:rsidR="00375C7A" w:rsidRPr="00375C7A" w:rsidRDefault="00375C7A" w:rsidP="00375C7A">
            <w:pPr>
              <w:spacing w:line="276" w:lineRule="auto"/>
              <w:jc w:val="center"/>
              <w:rPr>
                <w:rFonts w:ascii="Times New Roman" w:hAnsi="Times New Roman" w:cs="Times New Roman"/>
                <w:sz w:val="18"/>
                <w:szCs w:val="18"/>
              </w:rPr>
            </w:pPr>
          </w:p>
          <w:p w14:paraId="43201D89" w14:textId="1FCE3BA2"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IL-6 (31,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4219E8A9" w14:textId="3463EA86"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sCD40L</w:t>
            </w:r>
          </w:p>
          <w:p w14:paraId="76FF77B4" w14:textId="77777777"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(7801,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&lt;0.01)</w:t>
            </w:r>
          </w:p>
        </w:tc>
        <w:tc>
          <w:tcPr>
            <w:tcW w:w="9520" w:type="dxa"/>
            <w:vMerge w:val="restart"/>
            <w:hideMark/>
          </w:tcPr>
          <w:p w14:paraId="41A02C34" w14:textId="77777777" w:rsidR="00375C7A" w:rsidRPr="00375C7A" w:rsidRDefault="00375C7A" w:rsidP="00375C7A">
            <w:pPr>
              <w:spacing w:line="276" w:lineRule="auto"/>
              <w:jc w:val="center"/>
              <w:rPr>
                <w:rFonts w:ascii="Times New Roman" w:hAnsi="Times New Roman" w:cs="Times New Roman"/>
                <w:sz w:val="18"/>
                <w:szCs w:val="18"/>
              </w:rPr>
            </w:pPr>
          </w:p>
          <w:p w14:paraId="38CC8B73" w14:textId="214BEF9F"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IL-5, </w:t>
            </w:r>
            <w:r w:rsidRPr="00375C7A">
              <w:rPr>
                <w:rFonts w:ascii="Times New Roman" w:hAnsi="Times New Roman" w:cs="Times New Roman"/>
                <w:b/>
                <w:bCs/>
                <w:sz w:val="18"/>
                <w:szCs w:val="18"/>
              </w:rPr>
              <w:t>IL-6</w:t>
            </w:r>
            <w:r w:rsidRPr="00375C7A">
              <w:rPr>
                <w:rFonts w:ascii="Times New Roman" w:hAnsi="Times New Roman" w:cs="Times New Roman"/>
                <w:sz w:val="18"/>
                <w:szCs w:val="18"/>
              </w:rPr>
              <w:t>, IL-13 and IL-17A are increased in patients with BA</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M277wJUf","properties":{"formattedCitation":"(16)","plainCitation":"(16)","noteIndex":0},"citationItems":[{"id":"AkeASnBu/Qa9M9hbu","uris":["http://zotero.org/users/7800320/items/L4IG282F"],"uri":["http://zotero.org/users/7800320/items/L4IG282F"],"itemData":{"id":275,"type":"article-journal","abstract":"&lt;h2&gt;Abstract&lt;/h2&gt;&lt;h3&gt;Background&lt;/h3&gt;&lt;p&gt;Bronchial asthma (BA) is a complex disease characterised by persistent inflammation. Exhaled nitric oxide (FeNO) and blood eosinophil count (b-Eos) are biomarkers for type 2 endotype of BA.&lt;/p&gt;&lt;h3&gt;Objective&lt;/h3&gt;&lt;p&gt;To analyse a panel of serum interleukins and total IgE in predefined by FeNO and b-Eos groups of moderate and severe BA patients.&lt;/p&gt;&lt;h3&gt;Methods&lt;/h3&gt;&lt;p&gt;Serum levels of IL-5, IL-6, IL-8, IL-13 and IL-17A (ELISA) were measured in 30 healthy controls (HC) and 80 adult BA patients. BA patients were split into 4 groups. Group 1:Low FeNO/Low b-Eos (n = 23; 28.8%); Group 2:Low FeNO/High b-Eos (n = 17; 21.3%); Group 3:High FeNO/Low b-Eos (n = 15; 18.8%); Group 4:High FeNO/High b-Eos (n = 25; 31.3%).&lt;/p&gt;&lt;h3&gt;Results&lt;/h3&gt;&lt;p&gt;All interleukins and total IgE were significantly higher in patients with BA as compared with HC. IL-5 levels were highest in Group 2 (p &lt; 0.05). IL-6, IL-13 and IL-17A levels were elevated in Groups 2, 3 and 4 as compared with HC (p &lt; 0.05). Higher IL-8 levels were associated with a pattern of current smokers. Highest IL-17A levels were found in type 2 high groups with frequent exacerbations, mostly uncontrolled and severe BA. We have found a distinct pattern for each group based on demographic, clinical, functional, immunological and inflammatory characteristics.&lt;/p&gt;&lt;h3&gt;Conclusion&lt;/h3&gt;&lt;p&gt;FeNO and b-Eos are useful in the identification of severe type 2 BA subgroups with frequent exacerbations. IL-5, IL-6, IL-13 and IL-17A are involved in the persistent type 2 immune response in moderate and severe BA. We have identified a pattern of refractory, severe type 2/IL-17A high BA in the real clinical practice.&lt;/p&gt;","container-title":"Respiratory Medicine","DOI":"10.1016/j.rmed.2019.06.024","ISSN":"0954-6111, 1744-9049","journalAbbreviation":"Respiratory Medicine","language":"English","note":"publisher: Elsevier\nPMID: 31260861","page":"144-154","source":"www.resmedjournal.com","title":"Serum levels of IL-5, IL-6, IL-8, IL-13 and IL-17A in pre-defined groups of adult patients with moderate and severe bronchial asthma","volume":"154","author":[{"family":"Dimitrova","given":"Denitsa"},{"family":"Youroukova","given":"Vania"},{"family":"Ivanova-Todorova","given":"Ekaterina"},{"family":"Tumangelova-Yuzeir","given":"Kalina"},{"family":"Velikova","given":"Tsvetelina"}],"issued":{"date-parts":[["2019",7,1]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(16)</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74887ECA" w14:textId="77777777" w:rsidTr="00375C7A">
        <w:trPr>
          <w:trHeight w:val="280"/>
        </w:trPr>
        <w:tc>
          <w:tcPr>
            <w:tcW w:w="1457" w:type="dxa"/>
            <w:vMerge/>
            <w:hideMark/>
          </w:tcPr>
          <w:p w14:paraId="3D9055C0"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tcPr>
          <w:p w14:paraId="65367DAA" w14:textId="77777777" w:rsidR="00375C7A" w:rsidRPr="00375C7A" w:rsidRDefault="00375C7A" w:rsidP="00375C7A">
            <w:pPr>
              <w:spacing w:line="276" w:lineRule="auto"/>
              <w:jc w:val="center"/>
              <w:rPr>
                <w:rFonts w:ascii="Times New Roman" w:hAnsi="Times New Roman" w:cs="Times New Roman"/>
                <w:sz w:val="18"/>
                <w:szCs w:val="18"/>
              </w:rPr>
            </w:pPr>
          </w:p>
        </w:tc>
        <w:tc>
          <w:tcPr>
            <w:tcW w:w="2126" w:type="dxa"/>
          </w:tcPr>
          <w:p w14:paraId="767FD791" w14:textId="7828D431"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EGF (376,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vMerge/>
            <w:hideMark/>
          </w:tcPr>
          <w:p w14:paraId="217DDCB3" w14:textId="77777777" w:rsidR="00375C7A" w:rsidRPr="00375C7A" w:rsidRDefault="00375C7A" w:rsidP="00375C7A">
            <w:pPr>
              <w:spacing w:line="276" w:lineRule="auto"/>
              <w:jc w:val="center"/>
              <w:rPr>
                <w:rFonts w:ascii="Times New Roman" w:hAnsi="Times New Roman" w:cs="Times New Roman"/>
                <w:sz w:val="18"/>
                <w:szCs w:val="18"/>
              </w:rPr>
            </w:pPr>
          </w:p>
        </w:tc>
      </w:tr>
      <w:tr w:rsidR="00375C7A" w:rsidRPr="00375C7A" w14:paraId="708E2F7D" w14:textId="77777777" w:rsidTr="00375C7A">
        <w:trPr>
          <w:trHeight w:val="261"/>
        </w:trPr>
        <w:tc>
          <w:tcPr>
            <w:tcW w:w="1457" w:type="dxa"/>
            <w:vMerge/>
            <w:hideMark/>
          </w:tcPr>
          <w:p w14:paraId="3374FB54"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tcPr>
          <w:p w14:paraId="29DA8761" w14:textId="77777777" w:rsidR="00375C7A" w:rsidRPr="00375C7A" w:rsidRDefault="00375C7A" w:rsidP="00375C7A">
            <w:pPr>
              <w:spacing w:line="276" w:lineRule="auto"/>
              <w:jc w:val="center"/>
              <w:rPr>
                <w:rFonts w:ascii="Times New Roman" w:hAnsi="Times New Roman" w:cs="Times New Roman"/>
                <w:sz w:val="18"/>
                <w:szCs w:val="18"/>
              </w:rPr>
            </w:pPr>
          </w:p>
        </w:tc>
        <w:tc>
          <w:tcPr>
            <w:tcW w:w="2126" w:type="dxa"/>
          </w:tcPr>
          <w:p w14:paraId="3F88611D" w14:textId="516160DF"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IL-13 (44,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vMerge/>
            <w:hideMark/>
          </w:tcPr>
          <w:p w14:paraId="6E027D4F" w14:textId="77777777" w:rsidR="00375C7A" w:rsidRPr="00375C7A" w:rsidRDefault="00375C7A" w:rsidP="00375C7A">
            <w:pPr>
              <w:spacing w:line="276" w:lineRule="auto"/>
              <w:jc w:val="center"/>
              <w:rPr>
                <w:rFonts w:ascii="Times New Roman" w:hAnsi="Times New Roman" w:cs="Times New Roman"/>
                <w:sz w:val="18"/>
                <w:szCs w:val="18"/>
              </w:rPr>
            </w:pPr>
          </w:p>
        </w:tc>
      </w:tr>
      <w:tr w:rsidR="00375C7A" w:rsidRPr="00375C7A" w14:paraId="0A7D4E67" w14:textId="77777777" w:rsidTr="00375C7A">
        <w:trPr>
          <w:trHeight w:val="840"/>
        </w:trPr>
        <w:tc>
          <w:tcPr>
            <w:tcW w:w="1457" w:type="dxa"/>
            <w:vMerge w:val="restart"/>
            <w:noWrap/>
            <w:hideMark/>
          </w:tcPr>
          <w:p w14:paraId="19C0CEEA" w14:textId="77777777" w:rsidR="00375C7A" w:rsidRPr="00375C7A" w:rsidRDefault="00375C7A" w:rsidP="00375C7A">
            <w:pPr>
              <w:spacing w:line="276" w:lineRule="auto"/>
              <w:jc w:val="center"/>
              <w:rPr>
                <w:rFonts w:ascii="Times New Roman" w:hAnsi="Times New Roman" w:cs="Times New Roman"/>
                <w:b/>
                <w:bCs/>
                <w:sz w:val="18"/>
                <w:szCs w:val="18"/>
              </w:rPr>
            </w:pPr>
          </w:p>
          <w:p w14:paraId="14CEAE45" w14:textId="77777777" w:rsidR="00375C7A" w:rsidRPr="00375C7A" w:rsidRDefault="00375C7A" w:rsidP="00375C7A">
            <w:pPr>
              <w:spacing w:line="276" w:lineRule="auto"/>
              <w:jc w:val="center"/>
              <w:rPr>
                <w:rFonts w:ascii="Times New Roman" w:hAnsi="Times New Roman" w:cs="Times New Roman"/>
                <w:b/>
                <w:bCs/>
                <w:sz w:val="18"/>
                <w:szCs w:val="18"/>
              </w:rPr>
            </w:pPr>
          </w:p>
          <w:p w14:paraId="58003693"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Diabetes mellitus (DM)</w:t>
            </w:r>
          </w:p>
        </w:tc>
        <w:tc>
          <w:tcPr>
            <w:tcW w:w="2062" w:type="dxa"/>
          </w:tcPr>
          <w:p w14:paraId="1B3A975F" w14:textId="77777777" w:rsidR="00375C7A" w:rsidRPr="00375C7A" w:rsidRDefault="00375C7A" w:rsidP="00375C7A">
            <w:pPr>
              <w:spacing w:line="276" w:lineRule="auto"/>
              <w:jc w:val="center"/>
              <w:rPr>
                <w:rFonts w:ascii="Times New Roman" w:hAnsi="Times New Roman" w:cs="Times New Roman"/>
                <w:sz w:val="18"/>
                <w:szCs w:val="18"/>
              </w:rPr>
            </w:pPr>
          </w:p>
          <w:p w14:paraId="31CDD58E" w14:textId="77777777" w:rsidR="00375C7A" w:rsidRPr="00375C7A" w:rsidRDefault="00375C7A" w:rsidP="00375C7A">
            <w:pPr>
              <w:spacing w:line="276" w:lineRule="auto"/>
              <w:jc w:val="center"/>
              <w:rPr>
                <w:rFonts w:ascii="Times New Roman" w:hAnsi="Times New Roman" w:cs="Times New Roman"/>
                <w:sz w:val="18"/>
                <w:szCs w:val="18"/>
              </w:rPr>
            </w:pPr>
          </w:p>
          <w:p w14:paraId="40866B59" w14:textId="45D2698D"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sz w:val="18"/>
                <w:szCs w:val="18"/>
              </w:rPr>
              <w:t xml:space="preserve">IL-6 (25,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7FD10919" w14:textId="77777777" w:rsidR="00375C7A" w:rsidRPr="00375C7A" w:rsidRDefault="00375C7A" w:rsidP="00375C7A">
            <w:pPr>
              <w:spacing w:line="276" w:lineRule="auto"/>
              <w:jc w:val="center"/>
              <w:rPr>
                <w:rFonts w:ascii="Times New Roman" w:hAnsi="Times New Roman" w:cs="Times New Roman"/>
                <w:sz w:val="18"/>
                <w:szCs w:val="18"/>
              </w:rPr>
            </w:pPr>
          </w:p>
          <w:p w14:paraId="11570723" w14:textId="77777777" w:rsidR="00375C7A" w:rsidRPr="00375C7A" w:rsidRDefault="00375C7A" w:rsidP="00375C7A">
            <w:pPr>
              <w:spacing w:line="276" w:lineRule="auto"/>
              <w:jc w:val="center"/>
              <w:rPr>
                <w:rFonts w:ascii="Times New Roman" w:hAnsi="Times New Roman" w:cs="Times New Roman"/>
                <w:sz w:val="18"/>
                <w:szCs w:val="18"/>
              </w:rPr>
            </w:pPr>
          </w:p>
          <w:p w14:paraId="52B9715A" w14:textId="34282CCD"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sz w:val="18"/>
                <w:szCs w:val="18"/>
              </w:rPr>
              <w:t xml:space="preserve">IL-1β (17,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2F3E66E8" w14:textId="77777777"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b/>
                <w:bCs/>
                <w:sz w:val="18"/>
                <w:szCs w:val="18"/>
              </w:rPr>
              <w:t xml:space="preserve"> IL-6</w:t>
            </w:r>
            <w:r w:rsidRPr="00375C7A">
              <w:rPr>
                <w:rFonts w:ascii="Times New Roman" w:hAnsi="Times New Roman" w:cs="Times New Roman"/>
                <w:sz w:val="18"/>
                <w:szCs w:val="18"/>
              </w:rPr>
              <w:t>, IL-2, IL-10 and INF-γ are upregulated in patients with DM compared to healthy controls.</w:t>
            </w:r>
          </w:p>
          <w:p w14:paraId="07FEAAA0" w14:textId="77777777"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b/>
                <w:bCs/>
                <w:sz w:val="18"/>
                <w:szCs w:val="18"/>
              </w:rPr>
              <w:t>IL-6</w:t>
            </w:r>
            <w:r w:rsidRPr="00375C7A">
              <w:rPr>
                <w:rFonts w:ascii="Times New Roman" w:hAnsi="Times New Roman" w:cs="Times New Roman"/>
                <w:sz w:val="18"/>
                <w:szCs w:val="18"/>
              </w:rPr>
              <w:t>, IL-8, and TNF-α function as pro-inflammatory cytokines and induce insulin-resistance development and β-cells dysfunction, leading to the progression of type II DM.</w:t>
            </w:r>
          </w:p>
          <w:p w14:paraId="4FE47585" w14:textId="11EB071A"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IL-6 regulates expression of IL-10 and INF-γ and inhibits that of TNF-α and </w:t>
            </w:r>
            <w:r w:rsidRPr="00375C7A">
              <w:rPr>
                <w:rFonts w:ascii="Times New Roman" w:hAnsi="Times New Roman" w:cs="Times New Roman"/>
                <w:b/>
                <w:bCs/>
                <w:sz w:val="18"/>
                <w:szCs w:val="18"/>
              </w:rPr>
              <w:t xml:space="preserve">IL-1β </w:t>
            </w:r>
            <w:r w:rsidRPr="00375C7A">
              <w:rPr>
                <w:rFonts w:ascii="Times New Roman" w:hAnsi="Times New Roman" w:cs="Times New Roman"/>
                <w:sz w:val="18"/>
                <w:szCs w:val="18"/>
              </w:rPr>
              <w:t>during DM</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faRCXfU2","properties":{"formattedCitation":"(17)","plainCitation":"(17)","noteIndex":0},"citationItems":[{"id":"AkeASnBu/Tmy7ZT2k","uris":["http://zotero.org/users/7800320/items/2HUMEES3"],"uri":["http://zotero.org/users/7800320/items/2HUMEES3"],"itemData":{"id":254,"type":"article-journal","abstract":"The induction of inflammation and cytokine storm was proposed to play a critical role in COVID-19. This study is aimed at investigating the relationship between glucose metabolism and the inflammatory state of inpatients with COVID-19. 71 inpatients with COVID-19 were classified into nondiabetes mellitus (NDM) group, impaired fasting glucose (IFG) group, and diabetes mellitus (DM) group. The average hospitalization days were significantly shorter in DM patients when compared with patients in the IFG group and NDM group. CD4+ T cell percentage was higher while CD8+ T cells percentage was lower in the DM group than those in the NDM group. The serum levels of IL-6, IL-2, IL-10, and INF-γ in the DM group were upregulated when compared with those in the NDM group. The serum levels of TNF-α, IL-4, IL-2, IL-10, and INF-γ were significantly higher in the DM group than those in the IFG group. A significant difference was observed in CD4+ T cell, CD4+/CD8+ ratio percentage, IL-6, and IL-10 between the NDM group and DM group with adjusted BMI. In conclusion, COVID-19 patients with elevated glucose levels have promoted cytokine profiles and immune response.","container-title":"Journal of Diabetes Research","DOI":"10.1155/2021/9526701","ISSN":"2314-6745","language":"en","note":"publisher: Hindawi","page":"e9526701","source":"www.hindawi.com","title":"The Cytokine Profiles and Immune Response Are Increased in COVID-19 Patients with Type 2 Diabetes Mellitus","volume":"2021","author":[{"family":"Zheng","given":"Mao"},{"family":"Wang","given":"Xiaobing"},{"family":"Guo","given":"Hui"},{"family":"Fan","given":"Yinguang"},{"family":"Song","given":"Zichen"},{"family":"Lu","given":"Zhaohui"},{"family":"Wang","given":"Jinquan"},{"family":"Zheng","given":"Changcheng"},{"family":"Dong","given":"Lin"},{"family":"Ma","given":"Yan"},{"family":"Zhu","given":"Yuyou"},{"family":"Fang","given":"Haoshu"},{"family":"Ye","given":"Shandong"}],"issued":{"date-parts":[["2021",1,2]]}}}],"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(17)</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302AACA2" w14:textId="77777777" w:rsidTr="00375C7A">
        <w:trPr>
          <w:trHeight w:val="988"/>
        </w:trPr>
        <w:tc>
          <w:tcPr>
            <w:tcW w:w="1457" w:type="dxa"/>
            <w:vMerge/>
            <w:hideMark/>
          </w:tcPr>
          <w:p w14:paraId="04358C27"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154E79A1" w14:textId="77777777" w:rsidR="00375C7A" w:rsidRPr="00375C7A" w:rsidRDefault="00375C7A" w:rsidP="00375C7A">
            <w:pPr>
              <w:spacing w:line="276" w:lineRule="auto"/>
              <w:jc w:val="center"/>
              <w:rPr>
                <w:rFonts w:ascii="Times New Roman" w:hAnsi="Times New Roman" w:cs="Times New Roman"/>
                <w:sz w:val="18"/>
                <w:szCs w:val="18"/>
              </w:rPr>
            </w:pPr>
          </w:p>
          <w:p w14:paraId="7E9CD792" w14:textId="77777777" w:rsidR="00375C7A" w:rsidRPr="00375C7A" w:rsidRDefault="00375C7A" w:rsidP="00375C7A">
            <w:pPr>
              <w:spacing w:line="276" w:lineRule="auto"/>
              <w:jc w:val="center"/>
              <w:rPr>
                <w:rFonts w:ascii="Times New Roman" w:hAnsi="Times New Roman" w:cs="Times New Roman"/>
                <w:sz w:val="18"/>
                <w:szCs w:val="18"/>
              </w:rPr>
            </w:pPr>
          </w:p>
          <w:p w14:paraId="6207042F" w14:textId="044B8181"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lastRenderedPageBreak/>
              <w:t xml:space="preserve">IL-1RA (35,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42385A90"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hideMark/>
          </w:tcPr>
          <w:p w14:paraId="06F717D7" w14:textId="77777777" w:rsidR="00375C7A" w:rsidRPr="00375C7A" w:rsidRDefault="00375C7A" w:rsidP="00375C7A">
            <w:pPr>
              <w:spacing w:line="276" w:lineRule="auto"/>
              <w:jc w:val="center"/>
              <w:rPr>
                <w:rFonts w:ascii="Times New Roman" w:hAnsi="Times New Roman" w:cs="Times New Roman"/>
                <w:sz w:val="18"/>
                <w:szCs w:val="18"/>
              </w:rPr>
            </w:pPr>
          </w:p>
          <w:p w14:paraId="505A3832" w14:textId="61A96767"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lastRenderedPageBreak/>
              <w:t xml:space="preserve"> </w:t>
            </w:r>
            <w:r w:rsidRPr="00375C7A">
              <w:rPr>
                <w:rFonts w:ascii="Times New Roman" w:hAnsi="Times New Roman" w:cs="Times New Roman"/>
                <w:b/>
                <w:bCs/>
                <w:sz w:val="18"/>
                <w:szCs w:val="18"/>
              </w:rPr>
              <w:t>IL-1RA</w:t>
            </w:r>
            <w:r w:rsidRPr="00375C7A">
              <w:rPr>
                <w:rFonts w:ascii="Times New Roman" w:hAnsi="Times New Roman" w:cs="Times New Roman"/>
                <w:sz w:val="18"/>
                <w:szCs w:val="18"/>
              </w:rPr>
              <w:t xml:space="preserve"> inhibits IL-1-induced decreases in insulin secretion by pancreatic cells in vitro. It was hypothesized that an imbalance between IL-1 and IL-1RA may predispose toward the development of DM and that high levels of IL-1RA are required to inhibit the injurious effects of IL-1 on cell function</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fgrHq35u","properties":{"formattedCitation":"(11)","plainCitation":"(11)","noteIndex":0},"citationItems":[{"id":"AkeASnBu/ezbrssmc","uris":["http://zotero.org/users/7800320/items/NKV9FGEC"],"uri":["http://zotero.org/users/7800320/items/NKV9FGEC"],"itemData":{"id":240,"type":"article-journal","abstract":"IL-1 is an important mediator of inflammation and tissue damage in multiple organs, both in experimental animal models of disease and in human diseases. The IL-1 family consists of two agonists, IL-1α and IL-1β, two receptors, biologically active IL-1RI and inert IL-1RII, and a specific receptor antagonist, IL-1Ra. The balance between IL-1 and IL-1Ra in local tissues plays an important role in the susceptibility to and severity of many diseases. An allelic polymorphism in the IL-1Ra gene has been associated with a variety of human diseases primarily of epithelial and endothelial cell origin. This association may be secondary to an imbalance in the IL-1 system with enhanced production of IL-1β and reduced production of the major intracellular isoform of IL-1Ra. Treatment of RA with daily subcutaneous injections of recombinant IL-1Ra protein has been shown to be efficacious. Gene therapy approaches with IL-1Ra are being evaluated for the treatment of RA and other human diseases.","collection-title":"Cytokines in Autoimmune Disease","container-title":"Cytokine &amp; Growth Factor Reviews","DOI":"10.1016/S1359-6101(02)00020-5","ISSN":"1359-6101","issue":"4","journalAbbreviation":"Cytokine &amp; Growth Factor Reviews","language":"en","page":"323-340","source":"ScienceDirect","title":"The balance between IL-1 and IL-1Ra in disease","volume":"13","author":[{"family":"Arend","given":"William P"}],"issued":{"date-parts":[["2002",8,1]]}}}],"schema":"https://github.com/citation-style-language/schema/raw/master/csl-citation.json"}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(11)</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75D5DF23" w14:textId="77777777" w:rsidTr="00375C7A">
        <w:trPr>
          <w:trHeight w:val="571"/>
        </w:trPr>
        <w:tc>
          <w:tcPr>
            <w:tcW w:w="1457" w:type="dxa"/>
            <w:vMerge/>
            <w:hideMark/>
          </w:tcPr>
          <w:p w14:paraId="702D8DDA"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val="restart"/>
          </w:tcPr>
          <w:p w14:paraId="1EA7DD95" w14:textId="77777777" w:rsidR="00375C7A" w:rsidRPr="00375C7A" w:rsidRDefault="00375C7A" w:rsidP="00375C7A">
            <w:pPr>
              <w:spacing w:line="276" w:lineRule="auto"/>
              <w:rPr>
                <w:rFonts w:ascii="Times New Roman" w:hAnsi="Times New Roman" w:cs="Times New Roman"/>
                <w:sz w:val="18"/>
                <w:szCs w:val="18"/>
              </w:rPr>
            </w:pPr>
          </w:p>
        </w:tc>
        <w:tc>
          <w:tcPr>
            <w:tcW w:w="2126" w:type="dxa"/>
          </w:tcPr>
          <w:p w14:paraId="28EC5A7F" w14:textId="5FB3DAD9"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EGF (376,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&lt;0.01)</w:t>
            </w:r>
          </w:p>
        </w:tc>
        <w:tc>
          <w:tcPr>
            <w:tcW w:w="9520" w:type="dxa"/>
            <w:hideMark/>
          </w:tcPr>
          <w:p w14:paraId="0E588AEA" w14:textId="031FC4C2"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In diabetes mice models, EGF secretion in the submandibular gland and its concentration in plasma are reduced compared to in healthy controls, at 13% and 30%, respectively</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lu0rfdaj","properties":{"formattedCitation":"(18)","plainCitation":"(18)","noteIndex":0},"citationItems":[{"id":"AkeASnBu/SWDNoUre","uris":["http://zotero.org/users/7800320/items/A2RUIYQ5"],"uri":["http://zotero.org/users/7800320/items/A2RUIYQ5"],"itemData":{"id":248,"type":"article-journal","abstract":"The production of epidermal growth factor (EGF) in the submandibular gland and its circulating level were studied in diabetic mice. In genetically diabetic (C57BL/KsJ db/db) mice, EGF concentrations in the submandibular gland and plasma were reduced to 13% and 30% of the control levels, respectively. In streptozotocin-treated diabetic mice, they were reduced to 18% and 20% of controls, respectively, 5 weeks after the drug injection. Furthermore, levels of submandibular prepro-EGF mRNA in these diabetic mice were decreased almost in parallel with the glandular EGF concentrations, while there was no change in the levels of submandibular beta-actin mRNA and kidney prepro-EGF mRNA. In addition, histological examination of the submandibular glands indicated that the size of the granular convoluted tubules, which produce EGF, was substantially reduced in the diabetic mice. Insulin administration to streptozotocin-treated mice almost completely reversed the decrease in EGF content in the submandibular gland, substantially elevated the level of the glandular prepro-EGF mRNA and plasma EGF concentration, and increased the size of the granular convoluted tubules in the gland. These results indicate that EGF deficiency occurs in diabetes mellitus and that insulin may be important in maintaining the normal level of EGF in the submandibular gland and plasma.","container-title":"Proceedings of the National Academy of Sciences","DOI":"10.1073/pnas.86.19.7644","ISSN":"0027-8424, 1091-6490","issue":"19","journalAbbreviation":"PNAS","language":"en","note":"publisher: National Academy of Sciences\nsection: Research Article\nPMID: 2477846","page":"7644-7648","source":"www.pnas.org","title":"Epidermal growth factor deficiency associated with diabetes mellitus","volume":"86","author":[{"family":"Kasayama","given":"S."},{"family":"Ohba","given":"Y."},{"family":"Oka","given":"T."}],"issued":{"date-parts":[["1989",10,1]]}}}],"schema":"https://github.com/citation-style-language/schema/raw/master/csl-citation.json"}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(18)</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76CD88B5" w14:textId="77777777" w:rsidTr="00375C7A">
        <w:trPr>
          <w:trHeight w:val="216"/>
        </w:trPr>
        <w:tc>
          <w:tcPr>
            <w:tcW w:w="1457" w:type="dxa"/>
            <w:vMerge/>
            <w:hideMark/>
          </w:tcPr>
          <w:p w14:paraId="28DE4165"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tcPr>
          <w:p w14:paraId="717F86F2" w14:textId="77777777" w:rsidR="00375C7A" w:rsidRPr="00375C7A" w:rsidRDefault="00375C7A" w:rsidP="00375C7A">
            <w:pPr>
              <w:spacing w:line="276" w:lineRule="auto"/>
              <w:jc w:val="center"/>
              <w:rPr>
                <w:rFonts w:ascii="Times New Roman" w:hAnsi="Times New Roman" w:cs="Times New Roman"/>
                <w:sz w:val="18"/>
                <w:szCs w:val="18"/>
              </w:rPr>
            </w:pPr>
          </w:p>
        </w:tc>
        <w:tc>
          <w:tcPr>
            <w:tcW w:w="2126" w:type="dxa"/>
          </w:tcPr>
          <w:p w14:paraId="4468E827" w14:textId="5995081E"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IL-13 (44,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079EEBED" w14:textId="047714CF"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w:t>
            </w:r>
            <w:r w:rsidRPr="00375C7A">
              <w:rPr>
                <w:rFonts w:ascii="Times New Roman" w:hAnsi="Times New Roman" w:cs="Times New Roman"/>
                <w:b/>
                <w:bCs/>
                <w:sz w:val="18"/>
                <w:szCs w:val="18"/>
              </w:rPr>
              <w:t>IL-13</w:t>
            </w:r>
            <w:r w:rsidRPr="00375C7A">
              <w:rPr>
                <w:rFonts w:ascii="Times New Roman" w:hAnsi="Times New Roman" w:cs="Times New Roman"/>
                <w:sz w:val="18"/>
                <w:szCs w:val="18"/>
              </w:rPr>
              <w:t xml:space="preserve"> is increased in the blood of diabetics with retinopathy</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6RYJrkvi","properties":{"formattedCitation":"(19)","plainCitation":"(19)","noteIndex":0},"citationItems":[{"id":"AkeASnBu/TLbN8M6K","uris":["http://zotero.org/users/7800320/items/8SID9UJD"],"uri":["http://zotero.org/users/7800320/items/8SID9UJD"],"itemData":{"id":246,"type":"article-journal","abstract":"Purpose\nThe aim of this study was to assess the roles of plasma cytokines in diabetic retinopathy (DR) and their relationship with the severity of DR.\n\nMethods\nThis study included 59 diabetic patients and 19 non-diabetic controls. The plasma concentrations of endothelial growth factor (EGF), eotaxin, fibroblast growth factor 2 (FGF-2), Flt-3 ligand (Flt-3L), fractalkine, granulocyte colony-stimulating factor (G-CSF), granulocyte–macrophage colony-stimulating factor (GM-CSF), growth-related oncogene (GRO), interferon (IFN)-α2, IFN-γ, interleukin (IL)-1α, IL-1β, IL-1Ra, IL-2, IL-3, IL-4, IL-5, IL-6, IL-7, IL-8, IL-9, IL-10, IL-12 (p40), IL-12 (p70), IL-13, IL-15, IL-17, IFN-inducible protein-10 (IP-10), monocyte chemoattractant protein (MCP)-1, MCP-3, macrophage-derived cytokine (MDC), macrophage inflammatory protein (MIP)-1α, MIP-1β, sCD40L, sIL-2Rα, transforming growth factor (TGF)-α, tumor necrosis factor (TNF)- α, TNF-β, and VEGF were measured with Luminex multiplex bead immunoassay. The levels of these cytokines were investigated according to the DR stage.\n\nResults\nThe plasma level of ten cytokines—MCP-1, IL-6, IL-7, IL-9, IL-13, IL-15, IL-17, sCD40L, sIL-2Rα and TNF-β—increased significantly in the diabetic group compared to the controls. The Flt-3L, IL-1Ra, IL-3, IL-5, and IL-12 (p40) levels were lower in the diabetic group than in the control group. The TNF-α plasma level was significantly elevated in patients with proliferative diabetic retinopathy (PDR) compared with the levels in patients with non-proliferative diabetic retinopathy (NPDR) and patients with no apparent diabetic retinopathy (NDR).\n\nConclusions\nTNF-α might be involved in the progression of DR, especially in the pathogenesis of PDR. TNF-α is a potential cytokine for the prognosis of DR and might act as a therapeutic target in DR.","container-title":"Molecular Vision","ISSN":"1090-0535","journalAbbreviation":"Mol Vis","note":"PMID: 25253986\nPMCID: PMC4124102","page":"1137-1145","source":"PubMed Central","title":"Multiplex bead array assay of plasma cytokines in type 2 diabetes mellitus with diabetic retinopathy","volume":"20","author":[{"family":"Hang","given":"Hui"},{"family":"Yuan","given":"Songtao"},{"family":"Yang","given":"Qin"},{"family":"Yuan","given":"Dongqing"},{"family":"Liu","given":"Qinghuai"}],"issued":{"date-parts":[["2014",8,4]]}}}],"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(19)</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3094459B" w14:textId="77777777" w:rsidTr="00375C7A">
        <w:trPr>
          <w:trHeight w:val="277"/>
        </w:trPr>
        <w:tc>
          <w:tcPr>
            <w:tcW w:w="1457" w:type="dxa"/>
            <w:vMerge w:val="restart"/>
            <w:hideMark/>
          </w:tcPr>
          <w:p w14:paraId="46028F00"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Rheumatic disease (rheumatoid arthritis+ Hashimoto's thyroiditis)</w:t>
            </w:r>
          </w:p>
        </w:tc>
        <w:tc>
          <w:tcPr>
            <w:tcW w:w="2062" w:type="dxa"/>
          </w:tcPr>
          <w:p w14:paraId="6B34C797" w14:textId="165B2209"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MCP-1 (837,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tcPr>
          <w:p w14:paraId="62D9EED4" w14:textId="45655C50"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EGF (376,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5DAC2856" w14:textId="757C44AD"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w:t>
            </w:r>
            <w:r w:rsidRPr="00375C7A">
              <w:rPr>
                <w:rFonts w:ascii="Times New Roman" w:hAnsi="Times New Roman" w:cs="Times New Roman"/>
                <w:b/>
                <w:bCs/>
                <w:sz w:val="18"/>
                <w:szCs w:val="18"/>
              </w:rPr>
              <w:t>MCP-1</w:t>
            </w:r>
            <w:r w:rsidRPr="00375C7A">
              <w:rPr>
                <w:rFonts w:ascii="Times New Roman" w:hAnsi="Times New Roman" w:cs="Times New Roman"/>
                <w:sz w:val="18"/>
                <w:szCs w:val="18"/>
              </w:rPr>
              <w:t xml:space="preserve"> in plasma is an indicator of inflammation during RA</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NjqFWyMO","properties":{"formattedCitation":"(20)","plainCitation":"(20)","noteIndex":0},"citationItems":[{"id":"AkeASnBu/qLrYXlAu","uris":["http://zotero.org/users/7800320/items/NQ2K43FI"],"uri":["http://zotero.org/users/7800320/items/NQ2K43FI"],"itemData":{"id":256,"type":"article-journal","abstract":"OBJECTIVE: Monocyte chemoattractant protein 1 (MCP-1) level in plasma is described as a marker for joint inflammation in rheumatoid arthritis (RA). METHODS: MCP-1 in plasma and synovial fluid (SF) was quantified by ELISA in 36 RA patients with synovitis of the knee at Day 1 and 30. Disease activity was assessed by the swollen joint count, Ritchie Articular Index (RAI), global assessment, pain on visual analog scale, Health Assessment Questionnaire, erythrocyte sedimentation rate (ESR), and C-reactive protein (CRP). RESULTS: By linear regression analysis plasma MCP-1 levels correlated significantly with the swollen joint count (Day 1: R = 0.47, p = 0.005; Day 30: R = 0.53, p &lt; 0.001) and the RAI (Day 1: R = 0.37, p = 0.03; Day 30: R = 0.41, p = 0.01). The correlations of swollen joint count and RAI with ESR and CRP were significant only on Day 30 for the ESR (R = 0.40, p = 0.02). No association was found between plasma MCP-1 levels and the ESR/CRP levels. MCP-1 levels in plasma in RA patients were elevated compared to controls (p &lt; 0.001) and MCP-I levels in SF were higher than in plasma (p &lt; 0.001). No correlation was found between SF MCP-1 levels and in vitro migration of mononuclear cells towards SF. MCP-1 appears to participate in the disease process in RA, and plasma MCP-1 may be useful in monitoring joint inflammation.","container-title":"The Journal of Rheumatology","ISSN":"0315-162X, 1499-2752","issue":"1","language":"en","note":"publisher: The Journal of Rheumatology\nPMID: 11196541","page":"41-46","source":"www.jrheum.org","title":"Plasma monocyte chemoattractant protein 1 is a marker for joint inflammation in rheumatoid arthritis.","volume":"28","author":[{"family":"Ellingsen","given":"T."},{"family":"Buus","given":"A."},{"family":"Stengaard-Pedersen","given":"K."}],"issued":{"date-parts":[["2001",1,1]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(20)</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4F6B3737" w14:textId="77777777" w:rsidTr="00375C7A">
        <w:trPr>
          <w:trHeight w:val="693"/>
        </w:trPr>
        <w:tc>
          <w:tcPr>
            <w:tcW w:w="1457" w:type="dxa"/>
            <w:vMerge/>
            <w:hideMark/>
          </w:tcPr>
          <w:p w14:paraId="433F2765"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68D73098" w14:textId="77777777" w:rsidR="00375C7A" w:rsidRPr="00375C7A" w:rsidRDefault="00375C7A" w:rsidP="00375C7A">
            <w:pPr>
              <w:spacing w:line="276" w:lineRule="auto"/>
              <w:jc w:val="center"/>
              <w:rPr>
                <w:rFonts w:ascii="Times New Roman" w:hAnsi="Times New Roman" w:cs="Times New Roman"/>
                <w:sz w:val="18"/>
                <w:szCs w:val="18"/>
              </w:rPr>
            </w:pPr>
          </w:p>
          <w:p w14:paraId="22702E6F" w14:textId="413571E9"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MIG (4768,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&lt;0.01)</w:t>
            </w:r>
          </w:p>
        </w:tc>
        <w:tc>
          <w:tcPr>
            <w:tcW w:w="2126" w:type="dxa"/>
          </w:tcPr>
          <w:p w14:paraId="44B20B6D" w14:textId="77777777" w:rsidR="00375C7A" w:rsidRPr="00375C7A" w:rsidRDefault="00375C7A" w:rsidP="00375C7A">
            <w:pPr>
              <w:spacing w:line="276" w:lineRule="auto"/>
              <w:jc w:val="center"/>
              <w:rPr>
                <w:rFonts w:ascii="Times New Roman" w:hAnsi="Times New Roman" w:cs="Times New Roman"/>
                <w:sz w:val="18"/>
                <w:szCs w:val="18"/>
              </w:rPr>
            </w:pPr>
          </w:p>
          <w:p w14:paraId="7D6D29CA" w14:textId="5C9334BD"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TNF-β (18.5,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hideMark/>
          </w:tcPr>
          <w:p w14:paraId="5FE91860" w14:textId="16F40DB2"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Levels of </w:t>
            </w:r>
            <w:r w:rsidRPr="00375C7A">
              <w:rPr>
                <w:rFonts w:ascii="Times New Roman" w:hAnsi="Times New Roman" w:cs="Times New Roman"/>
                <w:b/>
                <w:bCs/>
                <w:sz w:val="18"/>
                <w:szCs w:val="18"/>
              </w:rPr>
              <w:t>MIG</w:t>
            </w:r>
            <w:r w:rsidRPr="00375C7A">
              <w:rPr>
                <w:rFonts w:ascii="Times New Roman" w:hAnsi="Times New Roman" w:cs="Times New Roman"/>
                <w:sz w:val="18"/>
                <w:szCs w:val="18"/>
              </w:rPr>
              <w:t>, IP10, PF4 in synovial fluid and tissues in patients with RA are increased and can suppress inflammation and reduce angiogenesis</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K3tLmoYC","properties":{"formattedCitation":"(21)","plainCitation":"(21)","noteIndex":0},"citationItems":[{"id":"AkeASnBu/yJDzWfkC","uris":["http://zotero.org/users/7800320/items/78PFYX7J"],"uri":["http://zotero.org/users/7800320/items/78PFYX7J"],"itemData":{"id":260,"type":"article-journal","abstract":"Chemotactic cytokines, termed chemokines, mediate the ingress of leukocytes into the inflamed synovium. In this review, authors discuss the role of the mos...","container-title":"Current Drug Targets","issue":"1","language":"en","page":"91-102","source":"www.eurekaselect.com","title":"Chemokines in Rheumatic Diseases","volume":"7","author":[{"family":"Zoltan","given":"Szekanecz"},{"family":"Gabriella","given":"Szucs"},{"family":"Sandor","given":"Szanto"},{"family":"Alisa","given":"E. Koch"}],"issued":{"date-parts":[["2005",12,31]]}}}],"schema":"https://github.com/citation-style-language/schema/raw/master/csl-citation.json"}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(21)</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p w14:paraId="0C590D98" w14:textId="6CDDFCB7"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Levels of </w:t>
            </w:r>
            <w:r w:rsidRPr="00375C7A">
              <w:rPr>
                <w:rFonts w:ascii="Times New Roman" w:hAnsi="Times New Roman" w:cs="Times New Roman"/>
                <w:b/>
                <w:bCs/>
                <w:sz w:val="18"/>
                <w:szCs w:val="18"/>
              </w:rPr>
              <w:t>MIG</w:t>
            </w:r>
            <w:r w:rsidRPr="00375C7A">
              <w:rPr>
                <w:rFonts w:ascii="Times New Roman" w:hAnsi="Times New Roman" w:cs="Times New Roman"/>
                <w:sz w:val="18"/>
                <w:szCs w:val="18"/>
              </w:rPr>
              <w:t xml:space="preserve"> and its receptor CXCR3 are increased during the development of autoimmune thyroiditis</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9p0ziEY1","properties":{"formattedCitation":"(22)","plainCitation":"(22)","noteIndex":0},"citationItems":[{"id":"AkeASnBu/1bw75u7W","uris":["http://zotero.org/users/7800320/items/QWBNZCFR"],"uri":["http://zotero.org/users/7800320/items/QWBNZCFR"],"itemData":{"id":264,"type":"article-journal","abstract":"The monokine induced by interferon (IFN)-γ (MIG) and its receptor, the chemokine (C-X-C motif) receptor (CXCR)3, appear to contribute to the pathogenesis of autoimmune thyroiditis (AT). MIG is secreted by thyrocytes under the influence of IFN-γ. In tissue, recruited Th1 lymphocytes may be responsible for enhanced IFN-γ, which in turn stimulates MIG secretion from thyrocytes creating an amplification feedback loop, and perpetuating the autoimmune process. Circulating MIG and IFN-inducible T-cell α chemoattractant (I-TAC) levels are increased in patients with thyroiditis and hypothyroidism and are related to each other. The importance of a Th1 immune attack in the initiation of AT has been demonstrated. MIG levels were significantly higher in elder patients, or in those with a hypoechoic ultrasonographic pattern, or with hypothyroidism. In peripheral fluids, high MIG levels are considered a marker of host immune response, in particular Th1 orientated T-cells. Other studies are needed to continue to investigate the role of MIG as a novel therapeutic target in AT.","container-title":"La Clinica Terapeutica","DOI":"10.7417/CT.2019.2151","ISSN":"1972-6007","issue":"4","journalAbbreviation":"Clin Ter","language":"eng","note":"PMID: 31304519","page":"e295-e300","source":"PubMed","title":"MIG in autoimmune thyroiditis: review of the literature","title-short":"MIG in autoimmune thyroiditis","volume":"170","author":[{"family":"Pezzano","given":"M."}],"issued":{"date-parts":[["2019",8]]}}}],"schema":"https://github.com/citation-style-language/schema/raw/master/csl-citation.json"}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(22)</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1A919464" w14:textId="77777777" w:rsidTr="00375C7A">
        <w:trPr>
          <w:trHeight w:val="426"/>
        </w:trPr>
        <w:tc>
          <w:tcPr>
            <w:tcW w:w="1457" w:type="dxa"/>
            <w:vMerge w:val="restart"/>
            <w:noWrap/>
            <w:hideMark/>
          </w:tcPr>
          <w:p w14:paraId="5F321F42" w14:textId="77777777" w:rsidR="00375C7A" w:rsidRPr="00375C7A" w:rsidRDefault="00375C7A" w:rsidP="00375C7A">
            <w:pPr>
              <w:spacing w:line="276" w:lineRule="auto"/>
              <w:jc w:val="center"/>
              <w:rPr>
                <w:rFonts w:ascii="Times New Roman" w:hAnsi="Times New Roman" w:cs="Times New Roman"/>
                <w:b/>
                <w:bCs/>
                <w:sz w:val="18"/>
                <w:szCs w:val="18"/>
              </w:rPr>
            </w:pPr>
          </w:p>
          <w:p w14:paraId="20E5FE7F" w14:textId="77777777" w:rsidR="00375C7A" w:rsidRPr="00375C7A" w:rsidRDefault="00375C7A" w:rsidP="00375C7A">
            <w:pPr>
              <w:spacing w:line="276" w:lineRule="auto"/>
              <w:jc w:val="center"/>
              <w:rPr>
                <w:rFonts w:ascii="Times New Roman" w:hAnsi="Times New Roman" w:cs="Times New Roman"/>
                <w:b/>
                <w:bCs/>
                <w:sz w:val="18"/>
                <w:szCs w:val="18"/>
              </w:rPr>
            </w:pPr>
          </w:p>
          <w:p w14:paraId="3261079C" w14:textId="77777777" w:rsidR="00375C7A" w:rsidRPr="00375C7A" w:rsidRDefault="00375C7A" w:rsidP="00375C7A">
            <w:pPr>
              <w:spacing w:line="276" w:lineRule="auto"/>
              <w:jc w:val="center"/>
              <w:rPr>
                <w:rFonts w:ascii="Times New Roman" w:hAnsi="Times New Roman" w:cs="Times New Roman"/>
                <w:b/>
                <w:bCs/>
                <w:sz w:val="18"/>
                <w:szCs w:val="18"/>
              </w:rPr>
            </w:pPr>
          </w:p>
          <w:p w14:paraId="4F6DAB5C" w14:textId="77777777" w:rsidR="00375C7A" w:rsidRPr="00375C7A" w:rsidRDefault="00375C7A" w:rsidP="00375C7A">
            <w:pPr>
              <w:spacing w:line="276" w:lineRule="auto"/>
              <w:jc w:val="center"/>
              <w:rPr>
                <w:rFonts w:ascii="Times New Roman" w:hAnsi="Times New Roman" w:cs="Times New Roman"/>
                <w:b/>
                <w:bCs/>
                <w:sz w:val="18"/>
                <w:szCs w:val="18"/>
              </w:rPr>
            </w:pPr>
          </w:p>
          <w:p w14:paraId="3D53D166" w14:textId="77777777" w:rsidR="00375C7A" w:rsidRPr="00375C7A" w:rsidRDefault="00375C7A" w:rsidP="00375C7A">
            <w:pPr>
              <w:spacing w:line="276" w:lineRule="auto"/>
              <w:jc w:val="center"/>
              <w:rPr>
                <w:rFonts w:ascii="Times New Roman" w:hAnsi="Times New Roman" w:cs="Times New Roman"/>
                <w:b/>
                <w:bCs/>
                <w:sz w:val="18"/>
                <w:szCs w:val="18"/>
              </w:rPr>
            </w:pPr>
          </w:p>
          <w:p w14:paraId="5394FBE3" w14:textId="77777777" w:rsidR="00375C7A" w:rsidRPr="00375C7A" w:rsidRDefault="00375C7A" w:rsidP="00375C7A">
            <w:pPr>
              <w:spacing w:line="276" w:lineRule="auto"/>
              <w:jc w:val="center"/>
              <w:rPr>
                <w:rFonts w:ascii="Times New Roman" w:hAnsi="Times New Roman" w:cs="Times New Roman"/>
                <w:b/>
                <w:bCs/>
                <w:sz w:val="18"/>
                <w:szCs w:val="18"/>
              </w:rPr>
            </w:pPr>
          </w:p>
          <w:p w14:paraId="15901865" w14:textId="77777777" w:rsidR="00375C7A" w:rsidRPr="00375C7A" w:rsidRDefault="00375C7A" w:rsidP="00375C7A">
            <w:pPr>
              <w:spacing w:line="276" w:lineRule="auto"/>
              <w:jc w:val="center"/>
              <w:rPr>
                <w:rFonts w:ascii="Times New Roman" w:hAnsi="Times New Roman" w:cs="Times New Roman"/>
                <w:b/>
                <w:bCs/>
                <w:sz w:val="18"/>
                <w:szCs w:val="18"/>
              </w:rPr>
            </w:pPr>
            <w:r w:rsidRPr="00375C7A">
              <w:rPr>
                <w:rFonts w:ascii="Times New Roman" w:hAnsi="Times New Roman" w:cs="Times New Roman"/>
                <w:b/>
                <w:bCs/>
                <w:sz w:val="18"/>
                <w:szCs w:val="18"/>
              </w:rPr>
              <w:t>Obesity</w:t>
            </w:r>
          </w:p>
        </w:tc>
        <w:tc>
          <w:tcPr>
            <w:tcW w:w="2062" w:type="dxa"/>
          </w:tcPr>
          <w:p w14:paraId="5404A7DE" w14:textId="3A5FCBCA"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IL-6 (33,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vMerge w:val="restart"/>
          </w:tcPr>
          <w:p w14:paraId="51A8CCEF" w14:textId="77777777" w:rsidR="00375C7A" w:rsidRPr="00375C7A" w:rsidRDefault="00375C7A" w:rsidP="00375C7A">
            <w:pPr>
              <w:spacing w:line="276" w:lineRule="auto"/>
              <w:jc w:val="center"/>
              <w:rPr>
                <w:rFonts w:ascii="Times New Roman" w:hAnsi="Times New Roman" w:cs="Times New Roman"/>
                <w:sz w:val="18"/>
                <w:szCs w:val="18"/>
              </w:rPr>
            </w:pPr>
          </w:p>
          <w:p w14:paraId="53CACC22" w14:textId="77777777" w:rsidR="00375C7A" w:rsidRPr="00375C7A" w:rsidRDefault="00375C7A" w:rsidP="00375C7A">
            <w:pPr>
              <w:spacing w:line="276" w:lineRule="auto"/>
              <w:jc w:val="center"/>
              <w:rPr>
                <w:rFonts w:ascii="Times New Roman" w:hAnsi="Times New Roman" w:cs="Times New Roman"/>
                <w:sz w:val="18"/>
                <w:szCs w:val="18"/>
              </w:rPr>
            </w:pPr>
          </w:p>
          <w:p w14:paraId="26060FFE" w14:textId="77777777" w:rsidR="00375C7A" w:rsidRPr="00375C7A" w:rsidRDefault="00375C7A" w:rsidP="00375C7A">
            <w:pPr>
              <w:spacing w:line="276" w:lineRule="auto"/>
              <w:jc w:val="center"/>
              <w:rPr>
                <w:rFonts w:ascii="Times New Roman" w:hAnsi="Times New Roman" w:cs="Times New Roman"/>
                <w:sz w:val="18"/>
                <w:szCs w:val="18"/>
              </w:rPr>
            </w:pPr>
          </w:p>
          <w:p w14:paraId="51A03C5E" w14:textId="77777777" w:rsidR="00375C7A" w:rsidRPr="00375C7A" w:rsidRDefault="00375C7A" w:rsidP="00375C7A">
            <w:pPr>
              <w:spacing w:line="276" w:lineRule="auto"/>
              <w:jc w:val="center"/>
              <w:rPr>
                <w:rFonts w:ascii="Times New Roman" w:hAnsi="Times New Roman" w:cs="Times New Roman"/>
                <w:sz w:val="18"/>
                <w:szCs w:val="18"/>
              </w:rPr>
            </w:pPr>
          </w:p>
          <w:p w14:paraId="0B38CBBA" w14:textId="77777777" w:rsidR="00375C7A" w:rsidRPr="00375C7A" w:rsidRDefault="00375C7A" w:rsidP="00375C7A">
            <w:pPr>
              <w:spacing w:line="276" w:lineRule="auto"/>
              <w:jc w:val="center"/>
              <w:rPr>
                <w:rFonts w:ascii="Times New Roman" w:hAnsi="Times New Roman" w:cs="Times New Roman"/>
                <w:sz w:val="18"/>
                <w:szCs w:val="18"/>
              </w:rPr>
            </w:pPr>
          </w:p>
          <w:p w14:paraId="1CEC4F6D" w14:textId="77777777" w:rsidR="00375C7A" w:rsidRPr="00375C7A" w:rsidRDefault="00375C7A" w:rsidP="00375C7A">
            <w:pPr>
              <w:spacing w:line="276" w:lineRule="auto"/>
              <w:jc w:val="center"/>
              <w:rPr>
                <w:rFonts w:ascii="Times New Roman" w:hAnsi="Times New Roman" w:cs="Times New Roman"/>
                <w:sz w:val="18"/>
                <w:szCs w:val="18"/>
              </w:rPr>
            </w:pPr>
          </w:p>
          <w:p w14:paraId="30AFCC8F" w14:textId="77777777" w:rsidR="00375C7A" w:rsidRPr="00375C7A" w:rsidRDefault="00375C7A" w:rsidP="00375C7A">
            <w:pPr>
              <w:spacing w:line="276" w:lineRule="auto"/>
              <w:jc w:val="center"/>
              <w:rPr>
                <w:rFonts w:ascii="Times New Roman" w:hAnsi="Times New Roman" w:cs="Times New Roman"/>
                <w:sz w:val="18"/>
                <w:szCs w:val="18"/>
              </w:rPr>
            </w:pPr>
          </w:p>
          <w:p w14:paraId="63475A1F" w14:textId="6B9748E3"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EGF (376,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9520" w:type="dxa"/>
            <w:vMerge w:val="restart"/>
            <w:hideMark/>
          </w:tcPr>
          <w:p w14:paraId="43593EBD" w14:textId="77777777" w:rsidR="00375C7A" w:rsidRPr="00375C7A" w:rsidRDefault="00375C7A" w:rsidP="00375C7A">
            <w:pPr>
              <w:spacing w:line="276" w:lineRule="auto"/>
              <w:jc w:val="center"/>
              <w:rPr>
                <w:rFonts w:ascii="Times New Roman" w:hAnsi="Times New Roman" w:cs="Times New Roman"/>
                <w:sz w:val="18"/>
                <w:szCs w:val="18"/>
              </w:rPr>
            </w:pPr>
          </w:p>
          <w:p w14:paraId="51C8AC94" w14:textId="376EE64C"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Main pro-inflammatory cytokines of adipose tissue - </w:t>
            </w:r>
            <w:r w:rsidRPr="00375C7A">
              <w:rPr>
                <w:rFonts w:ascii="Times New Roman" w:hAnsi="Times New Roman" w:cs="Times New Roman"/>
                <w:b/>
                <w:bCs/>
                <w:sz w:val="18"/>
                <w:szCs w:val="18"/>
              </w:rPr>
              <w:t>TNF-α</w:t>
            </w:r>
            <w:r w:rsidRPr="00375C7A">
              <w:rPr>
                <w:rFonts w:ascii="Times New Roman" w:hAnsi="Times New Roman" w:cs="Times New Roman"/>
                <w:sz w:val="18"/>
                <w:szCs w:val="18"/>
              </w:rPr>
              <w:t xml:space="preserve">, </w:t>
            </w:r>
            <w:r w:rsidRPr="00375C7A">
              <w:rPr>
                <w:rFonts w:ascii="Times New Roman" w:hAnsi="Times New Roman" w:cs="Times New Roman"/>
                <w:b/>
                <w:bCs/>
                <w:sz w:val="18"/>
                <w:szCs w:val="18"/>
              </w:rPr>
              <w:t>IL-6</w:t>
            </w:r>
            <w:r w:rsidRPr="00375C7A">
              <w:rPr>
                <w:rFonts w:ascii="Times New Roman" w:hAnsi="Times New Roman" w:cs="Times New Roman"/>
                <w:sz w:val="18"/>
                <w:szCs w:val="18"/>
              </w:rPr>
              <w:t>, and IL-1</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nav7GKk8","properties":{"formattedCitation":"(23)","plainCitation":"(23)","noteIndex":0},"citationItems":[{"id":"AkeASnBu/1tiPX0eD","uris":["http://zotero.org/users/7800320/items/DNISVSRW"],"uri":["http://zotero.org/users/7800320/items/DNISVSRW"],"itemData":{"id":266,"type":"article-journal","abstract":"Soo Lim, Soo Myoung Shin, Ga Eun Nam, Chang Hee Jung, Bo Kyung Koo. J Obes Metab Syndr 2020;29:84-98. https://doi.org/10.7570/jomes20056","container-title":"Journal of Obesity &amp; Metabolic Syndrome","DOI":"10.7570/jomes20056","issue":"2","language":"en","note":"publisher: Korean Society for the Study of Obesity","page":"84-98","source":"www.jomes.org","title":"Proper Management of People with Obesity during the COVID-19 Pandemic","volume":"29","author":[{"family":"Lim","given":"Soo"},{"family":"Shin","given":"Soo Myoung"},{"family":"Nam","given":"Ga Eun"},{"family":"Jung","given":"Chang Hee"},{"family":"Koo","given":"Bo Kyung"}],"issued":{"date-parts":[["2020",6,30]]}}}],"schema":"https://github.com/citation-style-language/schema/raw/master/csl-citation.json"}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(23)</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7A8D2A8A" w14:textId="77777777" w:rsidTr="00375C7A">
        <w:trPr>
          <w:trHeight w:val="65"/>
        </w:trPr>
        <w:tc>
          <w:tcPr>
            <w:tcW w:w="1457" w:type="dxa"/>
            <w:vMerge/>
            <w:hideMark/>
          </w:tcPr>
          <w:p w14:paraId="5DF68603"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557FF815" w14:textId="0819DD8D"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TNF-α (119,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vMerge/>
          </w:tcPr>
          <w:p w14:paraId="295D130D"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vMerge/>
            <w:hideMark/>
          </w:tcPr>
          <w:p w14:paraId="72B08FE5" w14:textId="77777777" w:rsidR="00375C7A" w:rsidRPr="00375C7A" w:rsidRDefault="00375C7A" w:rsidP="00375C7A">
            <w:pPr>
              <w:spacing w:line="276" w:lineRule="auto"/>
              <w:jc w:val="center"/>
              <w:rPr>
                <w:rFonts w:ascii="Times New Roman" w:hAnsi="Times New Roman" w:cs="Times New Roman"/>
                <w:sz w:val="18"/>
                <w:szCs w:val="18"/>
              </w:rPr>
            </w:pPr>
          </w:p>
        </w:tc>
      </w:tr>
      <w:tr w:rsidR="00375C7A" w:rsidRPr="00375C7A" w14:paraId="70B769B1" w14:textId="77777777" w:rsidTr="00375C7A">
        <w:trPr>
          <w:trHeight w:val="1076"/>
        </w:trPr>
        <w:tc>
          <w:tcPr>
            <w:tcW w:w="1457" w:type="dxa"/>
            <w:vMerge/>
            <w:hideMark/>
          </w:tcPr>
          <w:p w14:paraId="14A5F522"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3DB9DCB6" w14:textId="77777777" w:rsidR="00375C7A" w:rsidRPr="00375C7A" w:rsidRDefault="00375C7A" w:rsidP="00375C7A">
            <w:pPr>
              <w:spacing w:line="276" w:lineRule="auto"/>
              <w:jc w:val="center"/>
              <w:rPr>
                <w:rFonts w:ascii="Times New Roman" w:hAnsi="Times New Roman" w:cs="Times New Roman"/>
                <w:sz w:val="18"/>
                <w:szCs w:val="18"/>
              </w:rPr>
            </w:pPr>
          </w:p>
          <w:p w14:paraId="1E551746" w14:textId="77777777" w:rsidR="00375C7A" w:rsidRPr="00375C7A" w:rsidRDefault="00375C7A" w:rsidP="00375C7A">
            <w:pPr>
              <w:spacing w:line="276" w:lineRule="auto"/>
              <w:jc w:val="center"/>
              <w:rPr>
                <w:rFonts w:ascii="Times New Roman" w:hAnsi="Times New Roman" w:cs="Times New Roman"/>
                <w:sz w:val="18"/>
                <w:szCs w:val="18"/>
              </w:rPr>
            </w:pPr>
          </w:p>
          <w:p w14:paraId="416A9426" w14:textId="6355238A"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IL-12 (p40) (90,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vMerge/>
          </w:tcPr>
          <w:p w14:paraId="30C246BA"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hideMark/>
          </w:tcPr>
          <w:p w14:paraId="28202E01" w14:textId="77777777"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During obesity, under a high-fat diet (HFD), pro-inflammatory TH1-cells and M1 macrophages are activated and secretion of IFN-γ, </w:t>
            </w:r>
            <w:r w:rsidRPr="00375C7A">
              <w:rPr>
                <w:rFonts w:ascii="Times New Roman" w:hAnsi="Times New Roman" w:cs="Times New Roman"/>
                <w:b/>
                <w:bCs/>
                <w:sz w:val="18"/>
                <w:szCs w:val="18"/>
              </w:rPr>
              <w:t>TNF-α</w:t>
            </w:r>
            <w:r w:rsidRPr="00375C7A">
              <w:rPr>
                <w:rFonts w:ascii="Times New Roman" w:hAnsi="Times New Roman" w:cs="Times New Roman"/>
                <w:sz w:val="18"/>
                <w:szCs w:val="18"/>
              </w:rPr>
              <w:t xml:space="preserve">, and </w:t>
            </w:r>
            <w:r w:rsidRPr="00375C7A">
              <w:rPr>
                <w:rFonts w:ascii="Times New Roman" w:hAnsi="Times New Roman" w:cs="Times New Roman"/>
                <w:b/>
                <w:bCs/>
                <w:sz w:val="18"/>
                <w:szCs w:val="18"/>
              </w:rPr>
              <w:t xml:space="preserve">IL-12 </w:t>
            </w:r>
            <w:r w:rsidRPr="00375C7A">
              <w:rPr>
                <w:rFonts w:ascii="Times New Roman" w:hAnsi="Times New Roman" w:cs="Times New Roman"/>
                <w:sz w:val="18"/>
                <w:szCs w:val="18"/>
              </w:rPr>
              <w:t>is increased; secretion of IL-4, IL-10 and IL-13 (Th2) is reduced.</w:t>
            </w:r>
          </w:p>
          <w:p w14:paraId="7591AD6F" w14:textId="11381476"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Gene expression of IL-12 and other IL-12 family members is upregulated in insulin-responsive tissue, such as the skeletal muscle, liver, and heart, due to excessive nutrient intake, inflammatory stress and genetic obesity</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jrFsDq9F","properties":{"formattedCitation":"(24)","plainCitation":"(24)","noteIndex":0},"citationItems":[{"id":"AkeASnBu/M8hGpIHh","uris":["http://zotero.org/users/7800320/items/YMP8UKAX"],"uri":["http://zotero.org/users/7800320/items/YMP8UKAX"],"itemData":{"id":269,"type":"article-journal","abstract":"Context Chronic systemic inflammation in obesity originates from local immune responses in visceral adipose tissue. However, assessment of a broad range of inflammation-mediating cytokines and their relationship to physical activity and adipometrics has scarcely been reported to date. Objective To characterize the profile of a broad range of pro- and anti-inflammatory cytokines and the impact of physical activity and energy expenditure in individuals with general obesity, central obesity, and non-obese subjects. Design, Setting, and Participants A cross-sectional study comprising 117 obese patients (body mass index (BMI) ≥ 30) and 83 non-obese community-based volunteers. Main Outcomes Measures Serum levels of interleukin (IL)-2, IL-4, IL-5, IL-10, IL-12, IL-13, granulocyte-macrophage colony-stimulating factor (GM-CSF), interferon (IFN)-γ and tumor necrosis factor (TNF)-α were measured. Physical activity and energy expenditure (MET) were assessed with actigraphy. Adipometrics comprised BMI, weight, abdominal-, waist- and hip-circumference, waist to hip ratio (WHR), and waist-to-height-ratio (WHtR). Results General obesity was associated with significantly elevated levels of IL-5, IL-10, IL-12, IL-13, IFN-γ and TNF-α, central obesity with significantly elevated IL-5, IL-10, IL-12, IL-13 and IFN-γ-levels. In participants with general obesity, levels of IL-4, IL-10 and IL-13 were significantly elevated in participants with low physical activity, even when controlled for BMI which was negatively associated with physical acitivity. Cytokines significantly correlated with adipometrics, particularly in obese participants. Conclusions Results confirm up-regulation of certain pro- and anti-inflammatory cytokines in obesity. In obese subjects, physical activity may lower levels and thus reduce pro-inflammatory effects of cytokines that may link obesity, insulin resistance and diabetes.","container-title":"PLOS ONE","DOI":"10.1371/journal.pone.0121971","ISSN":"1932-6203","issue":"3","journalAbbreviation":"PLOS ONE","language":"en","note":"publisher: Public Library of Science","page":"e0121971","source":"PLoS Journals","title":"Inflammatory Cytokines in General and Central Obesity and Modulating Effects of Physical Activity","volume":"10","author":[{"family":"Schmidt","given":"Frank M."},{"family":"Weschenfelder","given":"Julia"},{"family":"Sander","given":"Christian"},{"family":"Minkwitz","given":"Juliane"},{"family":"Thormann","given":"Julia"},{"family":"Chittka","given":"Tobias"},{"family":"Mergl","given":"Roland"},{"family":"Kirkby","given":"Kenneth C."},{"family":"Faßhauer","given":"Mathias"},{"family":"Stumvoll","given":"Michael"},{"family":"Holdt","given":"Lesca M."},{"family":"Teupser","given":"Daniel"},{"family":"Hegerl","given":"Ulrich"},{"family":"Himmerich","given":"Hubertus"}],"issued":{"date-parts":[["2015",3,17]]}}}],"schema":"https://github.com/citation-style-language/schema/raw/master/csl-citation.json"}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(24)</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6D8D68D2" w14:textId="77777777" w:rsidTr="00375C7A">
        <w:trPr>
          <w:trHeight w:val="280"/>
        </w:trPr>
        <w:tc>
          <w:tcPr>
            <w:tcW w:w="1457" w:type="dxa"/>
            <w:vMerge/>
            <w:hideMark/>
          </w:tcPr>
          <w:p w14:paraId="475E9A92"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135CA2D7" w14:textId="5441639C"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IP-10 (1006,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vMerge/>
          </w:tcPr>
          <w:p w14:paraId="63DFD6BD"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hideMark/>
          </w:tcPr>
          <w:p w14:paraId="1D3DF930" w14:textId="19DD7491"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b/>
                <w:bCs/>
                <w:sz w:val="18"/>
                <w:szCs w:val="18"/>
              </w:rPr>
              <w:t xml:space="preserve"> IP-10(CXCL10)</w:t>
            </w:r>
            <w:r w:rsidRPr="00375C7A">
              <w:rPr>
                <w:rFonts w:ascii="Times New Roman" w:hAnsi="Times New Roman" w:cs="Times New Roman"/>
                <w:sz w:val="18"/>
                <w:szCs w:val="18"/>
              </w:rPr>
              <w:t xml:space="preserve"> and CXCL11 are potential inhibitors of angiogenesis of adipose tissue during obesity progression</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7CqdPpQk","properties":{"formattedCitation":"(25)","plainCitation":"(25)","noteIndex":0},"citationItems":[{"id":"AkeASnBu/pdNRiMmS","uris":["http://zotero.org/users/7800320/items/59V4IESB"],"uri":["http://zotero.org/users/7800320/items/59V4IESB"],"itemData":{"id":272,"type":"article-journal","abstract":"Impaired angiogenesis is linked to adipose tissue (AT) dysfunction, inflammation, and insulin resistance in human obesity. Chemokine (C-X-C motif) receptor. (CXCR3) ligands are important regulators of angiogenesis in different disease contexts such as cancer; however, their role in human morbid obesity is unknown. We investigated the role of the CXCR3 axis in AT angiogenesis in morbidly obese patients.","container-title":"International Journal of Obesity","DOI":"10.1038/s41366-018-0102-5","ISSN":"1476-5497","issue":"8","language":"en","note":"number: 8\npublisher: Nature Publishing Group","page":"1406-1417","source":"www.nature.com","title":"Upregulation of angiostatic chemokines IP-10/CXCL10 and I-TAC/CXCL11 in human obesity and their implication for adipose tissue angiogenesis","volume":"42","author":[{"family":"Hueso","given":"Luisa"},{"family":"Ortega","given":"Rebeca"},{"family":"Selles","given":"Francisca"},{"family":"Wu-Xiong","given":"Ning Yun"},{"family":"Ortega","given":"Joaquin"},{"family":"Civera","given":"Miguel"},{"family":"Ascaso","given":"Juan F."},{"family":"Sanz","given":"Maria-Jesus"},{"family":"Real","given":"José T."},{"family":"Piqueras","given":"Laura"}],"issued":{"date-parts":[["2018",8]]}}}],"schema":"https://github.com/citation-style-language/schema/raw/master/csl-citation.json"}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(25)</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05DD7236" w14:textId="77777777" w:rsidTr="00375C7A">
        <w:trPr>
          <w:trHeight w:val="560"/>
        </w:trPr>
        <w:tc>
          <w:tcPr>
            <w:tcW w:w="1457" w:type="dxa"/>
            <w:vMerge/>
            <w:hideMark/>
          </w:tcPr>
          <w:p w14:paraId="64FB3DF1"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val="restart"/>
          </w:tcPr>
          <w:p w14:paraId="158437EC" w14:textId="77777777" w:rsidR="00375C7A" w:rsidRPr="00375C7A" w:rsidRDefault="00375C7A" w:rsidP="00375C7A">
            <w:pPr>
              <w:spacing w:line="276" w:lineRule="auto"/>
              <w:jc w:val="center"/>
              <w:rPr>
                <w:rFonts w:ascii="Times New Roman" w:hAnsi="Times New Roman" w:cs="Times New Roman"/>
                <w:sz w:val="18"/>
                <w:szCs w:val="18"/>
              </w:rPr>
            </w:pPr>
          </w:p>
          <w:p w14:paraId="0C620565" w14:textId="77777777" w:rsidR="00375C7A" w:rsidRPr="00375C7A" w:rsidRDefault="00375C7A" w:rsidP="00375C7A">
            <w:pPr>
              <w:spacing w:line="276" w:lineRule="auto"/>
              <w:jc w:val="center"/>
              <w:rPr>
                <w:rFonts w:ascii="Times New Roman" w:hAnsi="Times New Roman" w:cs="Times New Roman"/>
                <w:sz w:val="18"/>
                <w:szCs w:val="18"/>
              </w:rPr>
            </w:pPr>
          </w:p>
          <w:p w14:paraId="2775B10F" w14:textId="25D417EA"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MCP-1 (744,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&lt;0.05)</w:t>
            </w:r>
          </w:p>
        </w:tc>
        <w:tc>
          <w:tcPr>
            <w:tcW w:w="2126" w:type="dxa"/>
            <w:vMerge/>
          </w:tcPr>
          <w:p w14:paraId="69165D38"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hideMark/>
          </w:tcPr>
          <w:p w14:paraId="1A032635" w14:textId="4F13B25A"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w:t>
            </w:r>
            <w:r w:rsidRPr="00375C7A">
              <w:rPr>
                <w:rFonts w:ascii="Times New Roman" w:hAnsi="Times New Roman" w:cs="Times New Roman"/>
                <w:b/>
                <w:bCs/>
                <w:sz w:val="18"/>
                <w:szCs w:val="18"/>
              </w:rPr>
              <w:t>MCP-1</w:t>
            </w:r>
            <w:r w:rsidRPr="00375C7A">
              <w:rPr>
                <w:rFonts w:ascii="Times New Roman" w:hAnsi="Times New Roman" w:cs="Times New Roman"/>
                <w:sz w:val="18"/>
                <w:szCs w:val="18"/>
              </w:rPr>
              <w:t xml:space="preserve"> has significant effects in nonalcoholic fatty liver disease (NAFLD), obesity, and other lipid overload states. Its plasma level is increased in patients with obesity independently of their age</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iglPuMQV","properties":{"formattedCitation":"(26)","plainCitation":"(26)","noteIndex":0},"citationItems":[{"id":"AkeASnBu/4Zftlcj0","uris":["http://zotero.org/users/7800320/items/DITTS5DI"],"uri":["http://zotero.org/users/7800320/items/DITTS5DI"],"itemData":{"id":262,"type":"article-journal","abstract":"The chemokine system is a complex arrangement of molecules that attract leukocytes to the site of injury or inflammation. This chemotactic behavior gives the system the name “Chemokine.” The intricate and redundant nature of the chemokine system has made it a subject of ongoing scientific investigation. Obesity is characterized as low-grade systemic or chronic inflammation that is responsible for the release of cytokines, adipokines, and chemokines. Excessive tissue fat expansion triggers the release of chemokines, which in turn attract various leukocytes and activate the resident immune surveillance system, eventually leading to worsening of obesity and other related comorbidities. To date, 50 chemokines and 20 chemokine receptors that belong to the G-protein-coupled receptor family have been discovered, and over the past two decades, the physiological and pathological roles of many of these chemokines and their receptors have been elucidated. The objective of this review is to present an update on the link between chemokines and obesity under the light of recent knowledge.","container-title":"Journal of Cellular Physiology","DOI":"https://doi.org/10.1002/jcp.27293","ISSN":"1097-4652","issue":"4","language":"en","note":"_eprint: https://onlinelibrary.wiley.com/doi/pdf/10.1002/jcp.27293","page":"3336-3346","source":"Wiley Online Library","title":"The chemokine system and its role in obesity","volume":"234","author":[{"family":"Xue","given":"Wenhua"},{"family":"Fan","given":"Zhirui"},{"family":"Li","given":"Lifeng"},{"family":"Lu","given":"Jingli"},{"family":"Zhai","given":"Yunkai"},{"family":"Zhao","given":"Jie"}],"issued":{"date-parts":[["2019"]]}}}],"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(26)</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66EEABC7" w14:textId="77777777" w:rsidTr="00375C7A">
        <w:trPr>
          <w:trHeight w:val="560"/>
        </w:trPr>
        <w:tc>
          <w:tcPr>
            <w:tcW w:w="1457" w:type="dxa"/>
            <w:vMerge/>
            <w:hideMark/>
          </w:tcPr>
          <w:p w14:paraId="1B732283"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vMerge/>
          </w:tcPr>
          <w:p w14:paraId="2AFFCB77" w14:textId="77777777" w:rsidR="00375C7A" w:rsidRPr="00375C7A" w:rsidRDefault="00375C7A" w:rsidP="00375C7A">
            <w:pPr>
              <w:spacing w:line="276" w:lineRule="auto"/>
              <w:jc w:val="center"/>
              <w:rPr>
                <w:rFonts w:ascii="Times New Roman" w:hAnsi="Times New Roman" w:cs="Times New Roman"/>
                <w:sz w:val="18"/>
                <w:szCs w:val="18"/>
              </w:rPr>
            </w:pPr>
          </w:p>
        </w:tc>
        <w:tc>
          <w:tcPr>
            <w:tcW w:w="2126" w:type="dxa"/>
            <w:vMerge/>
          </w:tcPr>
          <w:p w14:paraId="322D5FD6"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hideMark/>
          </w:tcPr>
          <w:p w14:paraId="11C252C9" w14:textId="1CA0707F"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Hyperplastic or hypertrophied adipose tissues directly secrete various inflammatory products, such as inflammatory cytokines, TGF-β, adipokines, </w:t>
            </w:r>
            <w:r w:rsidRPr="00375C7A">
              <w:rPr>
                <w:rFonts w:ascii="Times New Roman" w:hAnsi="Times New Roman" w:cs="Times New Roman"/>
                <w:b/>
                <w:bCs/>
                <w:sz w:val="18"/>
                <w:szCs w:val="18"/>
              </w:rPr>
              <w:t>MCP-1</w:t>
            </w:r>
            <w:r w:rsidRPr="00375C7A">
              <w:rPr>
                <w:rFonts w:ascii="Times New Roman" w:hAnsi="Times New Roman" w:cs="Times New Roman"/>
                <w:sz w:val="18"/>
                <w:szCs w:val="18"/>
              </w:rPr>
              <w:t>, CXCL 5, hemostatic proteins, proteins affecting blood pressure, and angiogenic molecules</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lkV1cBEr","properties":{"formattedCitation":"(23)","plainCitation":"(23)","noteIndex":0},"citationItems":[{"id":"AkeASnBu/1tiPX0eD","uris":["http://zotero.org/users/7800320/items/DNISVSRW"],"uri":["http://zotero.org/users/7800320/items/DNISVSRW"],"itemData":{"id":266,"type":"article-journal","abstract":"Soo Lim, Soo Myoung Shin, Ga Eun Nam, Chang Hee Jung, Bo Kyung Koo. J Obes Metab Syndr 2020;29:84-98. https://doi.org/10.7570/jomes20056","container-title":"Journal of Obesity &amp; Metabolic Syndrome","DOI":"10.7570/jomes20056","issue":"2","language":"en","note":"publisher: Korean Society for the Study of Obesity","page":"84-98","source":"www.jomes.org","title":"Proper Management of People with Obesity during the COVID-19 Pandemic","volume":"29","author":[{"family":"Lim","given":"Soo"},{"family":"Shin","given":"Soo Myoung"},{"family":"Nam","given":"Ga Eun"},{"family":"Jung","given":"Chang Hee"},{"family":"Koo","given":"Bo Kyung"}],"issued":{"date-parts":[["2020",6,30]]}}}],"schema":"https://github.com/citation-style-language/schema/raw/master/csl-citation.json"}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(23)</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r w:rsidR="00375C7A" w:rsidRPr="00375C7A" w14:paraId="2048B542" w14:textId="77777777" w:rsidTr="00375C7A">
        <w:trPr>
          <w:trHeight w:val="60"/>
        </w:trPr>
        <w:tc>
          <w:tcPr>
            <w:tcW w:w="1457" w:type="dxa"/>
            <w:vMerge/>
            <w:hideMark/>
          </w:tcPr>
          <w:p w14:paraId="6D40EB6C" w14:textId="77777777" w:rsidR="00375C7A" w:rsidRPr="00375C7A" w:rsidRDefault="00375C7A" w:rsidP="00375C7A">
            <w:pPr>
              <w:spacing w:line="276" w:lineRule="auto"/>
              <w:jc w:val="center"/>
              <w:rPr>
                <w:rFonts w:ascii="Times New Roman" w:hAnsi="Times New Roman" w:cs="Times New Roman"/>
                <w:b/>
                <w:bCs/>
                <w:sz w:val="18"/>
                <w:szCs w:val="18"/>
              </w:rPr>
            </w:pPr>
          </w:p>
        </w:tc>
        <w:tc>
          <w:tcPr>
            <w:tcW w:w="2062" w:type="dxa"/>
          </w:tcPr>
          <w:p w14:paraId="6E949148" w14:textId="54A631C4" w:rsidR="00375C7A" w:rsidRPr="00375C7A" w:rsidRDefault="00375C7A" w:rsidP="00375C7A">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MIG (4105, </w:t>
            </w:r>
            <w:r w:rsidRPr="00375C7A">
              <w:rPr>
                <w:rFonts w:ascii="Times New Roman" w:hAnsi="Times New Roman" w:cs="Times New Roman"/>
                <w:i/>
                <w:iCs/>
                <w:sz w:val="18"/>
                <w:szCs w:val="18"/>
              </w:rPr>
              <w:t>p</w:t>
            </w:r>
            <w:r w:rsidRPr="00375C7A">
              <w:rPr>
                <w:rFonts w:ascii="Times New Roman" w:hAnsi="Times New Roman" w:cs="Times New Roman"/>
                <w:sz w:val="18"/>
                <w:szCs w:val="18"/>
              </w:rPr>
              <w:t>&lt;0.01)</w:t>
            </w:r>
          </w:p>
        </w:tc>
        <w:tc>
          <w:tcPr>
            <w:tcW w:w="2126" w:type="dxa"/>
            <w:vMerge/>
          </w:tcPr>
          <w:p w14:paraId="54966B85" w14:textId="77777777" w:rsidR="00375C7A" w:rsidRPr="00375C7A" w:rsidRDefault="00375C7A" w:rsidP="00375C7A">
            <w:pPr>
              <w:spacing w:line="276" w:lineRule="auto"/>
              <w:jc w:val="center"/>
              <w:rPr>
                <w:rFonts w:ascii="Times New Roman" w:hAnsi="Times New Roman" w:cs="Times New Roman"/>
                <w:sz w:val="18"/>
                <w:szCs w:val="18"/>
              </w:rPr>
            </w:pPr>
          </w:p>
        </w:tc>
        <w:tc>
          <w:tcPr>
            <w:tcW w:w="9520" w:type="dxa"/>
            <w:hideMark/>
          </w:tcPr>
          <w:p w14:paraId="29A7AA9B" w14:textId="4A56A1BB" w:rsidR="00375C7A" w:rsidRPr="00375C7A" w:rsidRDefault="00375C7A" w:rsidP="003942F1">
            <w:pPr>
              <w:spacing w:line="276" w:lineRule="auto"/>
              <w:jc w:val="center"/>
              <w:rPr>
                <w:rFonts w:ascii="Times New Roman" w:hAnsi="Times New Roman" w:cs="Times New Roman"/>
                <w:sz w:val="18"/>
                <w:szCs w:val="18"/>
              </w:rPr>
            </w:pPr>
            <w:r w:rsidRPr="00375C7A">
              <w:rPr>
                <w:rFonts w:ascii="Times New Roman" w:hAnsi="Times New Roman" w:cs="Times New Roman"/>
                <w:sz w:val="18"/>
                <w:szCs w:val="18"/>
              </w:rPr>
              <w:t xml:space="preserve"> </w:t>
            </w:r>
            <w:r w:rsidRPr="00375C7A">
              <w:rPr>
                <w:rFonts w:ascii="Times New Roman" w:hAnsi="Times New Roman" w:cs="Times New Roman"/>
                <w:b/>
                <w:bCs/>
                <w:sz w:val="18"/>
                <w:szCs w:val="18"/>
              </w:rPr>
              <w:t>MIG</w:t>
            </w:r>
            <w:r w:rsidRPr="00375C7A">
              <w:rPr>
                <w:rFonts w:ascii="Times New Roman" w:hAnsi="Times New Roman" w:cs="Times New Roman"/>
                <w:sz w:val="18"/>
                <w:szCs w:val="18"/>
              </w:rPr>
              <w:t xml:space="preserve"> – no direct connection, though its receptor may be involved in immunological processes in I type diabetes</w:t>
            </w:r>
            <w:r w:rsidRPr="00375C7A">
              <w:rPr>
                <w:rFonts w:ascii="Times New Roman" w:hAnsi="Times New Roman" w:cs="Times New Roman"/>
                <w:sz w:val="18"/>
                <w:szCs w:val="18"/>
              </w:rPr>
              <w:fldChar w:fldCharType="begin"/>
            </w:r>
            <w:r w:rsidR="006A67CE">
              <w:rPr>
                <w:rFonts w:ascii="Times New Roman" w:hAnsi="Times New Roman" w:cs="Times New Roman"/>
                <w:sz w:val="18"/>
                <w:szCs w:val="18"/>
              </w:rPr>
              <w:instrText xml:space="preserve"> ADDIN ZOTERO_ITEM CSL_CITATION {"citationID":"B2euu5oJ","properties":{"formattedCitation":"(26)","plainCitation":"(26)","noteIndex":0},"citationItems":[{"id":"AkeASnBu/4Zftlcj0","uris":["http://zotero.org/users/7800320/items/DITTS5DI"],"uri":["http://zotero.org/users/7800320/items/DITTS5DI"],"itemData":{"id":262,"type":"article-journal","abstract":"The chemokine system is a complex arrangement of molecules that attract leukocytes to the site of injury or inflammation. This chemotactic behavior gives the system the name “Chemokine.” The intricate and redundant nature of the chemokine system has made it a subject of ongoing scientific investigation. Obesity is characterized as low-grade systemic or chronic inflammation that is responsible for the release of cytokines, adipokines, and chemokines. Excessive tissue fat expansion triggers the release of chemokines, which in turn attract various leukocytes and activate the resident immune surveillance system, eventually leading to worsening of obesity and other related comorbidities. To date, 50 chemokines and 20 chemokine receptors that belong to the G-protein-coupled receptor family have been discovered, and over the past two decades, the physiological and pathological roles of many of these chemokines and their receptors have been elucidated. The objective of this review is to present an update on the link between chemokines and obesity under the light of recent knowledge.","container-title":"Journal of Cellular Physiology","DOI":"https://doi.org/10.1002/jcp.27293","ISSN":"1097-4652","issue":"4","language":"en","note":"_eprint: https://onlinelibrary.wiley.com/doi/pdf/10.1002/jcp.27293","page":"3336-3346","source":"Wiley Online Library","title":"The chemokine system and its role in obesity","volume":"234","author":[{"family":"Xue","given":"Wenhua"},{"family":"Fan","given":"Zhirui"},{"family":"Li","given":"Lifeng"},{"family":"Lu","given":"Jingli"},{"family":"Zhai","given":"Yunkai"},{"family":"Zhao","given":"Jie"}],"issued":{"date-parts":[["2019"]]}}}],"schema":"https://github.com/citation-style-language/schema/raw/master/csl-citation.json"} </w:instrText>
            </w:r>
            <w:r w:rsidRPr="00375C7A">
              <w:rPr>
                <w:rFonts w:ascii="Times New Roman" w:hAnsi="Times New Roman" w:cs="Times New Roman"/>
                <w:sz w:val="18"/>
                <w:szCs w:val="18"/>
              </w:rPr>
              <w:fldChar w:fldCharType="separate"/>
            </w:r>
            <w:r w:rsidR="006A67CE" w:rsidRPr="006A67CE">
              <w:rPr>
                <w:rFonts w:ascii="Times New Roman" w:hAnsi="Times New Roman" w:cs="Times New Roman"/>
                <w:sz w:val="18"/>
              </w:rPr>
              <w:t>(26)</w:t>
            </w:r>
            <w:r w:rsidRPr="00375C7A">
              <w:rPr>
                <w:rFonts w:ascii="Times New Roman" w:hAnsi="Times New Roman" w:cs="Times New Roman"/>
                <w:sz w:val="18"/>
                <w:szCs w:val="18"/>
              </w:rPr>
              <w:fldChar w:fldCharType="end"/>
            </w:r>
            <w:r w:rsidRPr="00375C7A">
              <w:rPr>
                <w:rFonts w:ascii="Times New Roman" w:hAnsi="Times New Roman" w:cs="Times New Roman"/>
                <w:sz w:val="18"/>
                <w:szCs w:val="18"/>
              </w:rPr>
              <w:t>.</w:t>
            </w:r>
          </w:p>
        </w:tc>
      </w:tr>
    </w:tbl>
    <w:p w14:paraId="205E5A41" w14:textId="77777777" w:rsidR="00375C7A" w:rsidRPr="00375C7A" w:rsidRDefault="00375C7A" w:rsidP="00375C7A">
      <w:pPr>
        <w:jc w:val="both"/>
        <w:rPr>
          <w:rFonts w:ascii="Times New Roman" w:hAnsi="Times New Roman" w:cs="Times New Roman"/>
          <w:b/>
          <w:sz w:val="24"/>
          <w:szCs w:val="24"/>
        </w:rPr>
      </w:pPr>
    </w:p>
    <w:p w14:paraId="5EB928B5" w14:textId="24E602EF" w:rsidR="00375C7A" w:rsidRDefault="00375C7A" w:rsidP="00375C7A">
      <w:pPr>
        <w:jc w:val="both"/>
        <w:rPr>
          <w:rFonts w:ascii="Times New Roman" w:hAnsi="Times New Roman" w:cs="Times New Roman"/>
          <w:b/>
          <w:sz w:val="24"/>
          <w:szCs w:val="24"/>
        </w:rPr>
      </w:pPr>
    </w:p>
    <w:p w14:paraId="43E4DD37" w14:textId="7F1770F7" w:rsidR="00C737F6" w:rsidRDefault="00C737F6" w:rsidP="00375C7A">
      <w:pPr>
        <w:jc w:val="both"/>
        <w:rPr>
          <w:rFonts w:ascii="Times New Roman" w:hAnsi="Times New Roman" w:cs="Times New Roman"/>
          <w:b/>
          <w:sz w:val="24"/>
          <w:szCs w:val="24"/>
        </w:rPr>
        <w:sectPr w:rsidR="00C737F6" w:rsidSect="00C737F6">
          <w:pgSz w:w="16838" w:h="11906" w:orient="landscape"/>
          <w:pgMar w:top="284" w:right="1134" w:bottom="851" w:left="1134" w:header="709" w:footer="709" w:gutter="0"/>
          <w:cols w:space="708"/>
          <w:docGrid w:linePitch="360"/>
        </w:sectPr>
      </w:pPr>
      <w:r>
        <w:rPr>
          <w:rFonts w:ascii="Times New Roman" w:hAnsi="Times New Roman" w:cs="Times New Roman"/>
          <w:b/>
          <w:sz w:val="24"/>
          <w:szCs w:val="24"/>
        </w:rPr>
        <w:br w:type="page"/>
      </w:r>
    </w:p>
    <w:p w14:paraId="519A4C06" w14:textId="77777777" w:rsidR="00375C7A" w:rsidRPr="00375C7A" w:rsidRDefault="00375C7A" w:rsidP="00375C7A">
      <w:pPr>
        <w:rPr>
          <w:rFonts w:ascii="Times New Roman" w:hAnsi="Times New Roman" w:cs="Times New Roman"/>
          <w:b/>
          <w:bCs/>
          <w:sz w:val="24"/>
          <w:szCs w:val="24"/>
        </w:rPr>
      </w:pPr>
      <w:r w:rsidRPr="00375C7A">
        <w:rPr>
          <w:rFonts w:ascii="Times New Roman" w:hAnsi="Times New Roman" w:cs="Times New Roman"/>
          <w:b/>
          <w:bCs/>
          <w:sz w:val="24"/>
          <w:szCs w:val="24"/>
        </w:rPr>
        <w:lastRenderedPageBreak/>
        <w:t>Table S3. Questionnaire</w:t>
      </w:r>
      <w:r w:rsidRPr="00375C7A">
        <w:rPr>
          <w:rFonts w:ascii="Times New Roman" w:hAnsi="Times New Roman" w:cs="Times New Roman"/>
          <w:b/>
          <w:bCs/>
          <w:iCs/>
          <w:sz w:val="24"/>
          <w:szCs w:val="24"/>
        </w:rPr>
        <w:t xml:space="preserve"> for COVID-19 patients from Clinic of Infection Disease №1, Moscow, Russia</w:t>
      </w:r>
    </w:p>
    <w:p w14:paraId="27635DAB" w14:textId="77777777" w:rsidR="00375C7A" w:rsidRPr="00375C7A" w:rsidRDefault="00375C7A" w:rsidP="00375C7A">
      <w:pPr>
        <w:jc w:val="center"/>
        <w:rPr>
          <w:b/>
          <w:bCs/>
          <w:iCs/>
          <w:sz w:val="28"/>
          <w:szCs w:val="28"/>
        </w:rPr>
      </w:pPr>
      <w:r w:rsidRPr="00375C7A">
        <w:rPr>
          <w:b/>
          <w:bCs/>
          <w:sz w:val="28"/>
          <w:szCs w:val="28"/>
        </w:rPr>
        <w:t>Questionnaire</w:t>
      </w:r>
      <w:r w:rsidRPr="00375C7A">
        <w:rPr>
          <w:b/>
          <w:bCs/>
          <w:i/>
          <w:sz w:val="28"/>
          <w:szCs w:val="28"/>
        </w:rPr>
        <w:t xml:space="preserve"> </w:t>
      </w:r>
      <w:r w:rsidRPr="00375C7A">
        <w:rPr>
          <w:b/>
          <w:bCs/>
          <w:iCs/>
          <w:sz w:val="28"/>
          <w:szCs w:val="28"/>
        </w:rPr>
        <w:t>COVID-19</w:t>
      </w:r>
    </w:p>
    <w:p w14:paraId="2A0D3AA5" w14:textId="77777777" w:rsidR="00375C7A" w:rsidRPr="00375C7A" w:rsidRDefault="00375C7A" w:rsidP="00375C7A">
      <w:pPr>
        <w:jc w:val="center"/>
        <w:rPr>
          <w:b/>
          <w:bCs/>
          <w:i/>
          <w:iCs/>
        </w:rPr>
      </w:pPr>
      <w:r w:rsidRPr="00375C7A">
        <w:rPr>
          <w:b/>
          <w:bCs/>
          <w:i/>
          <w:iCs/>
        </w:rPr>
        <w:t>Clinic of Infection Disease №1 of Moscow Healthcare Department, 2020</w:t>
      </w:r>
    </w:p>
    <w:p w14:paraId="588F9765" w14:textId="77777777" w:rsidR="00375C7A" w:rsidRPr="00375C7A" w:rsidRDefault="00375C7A" w:rsidP="00375C7A">
      <w:pPr>
        <w:pBdr>
          <w:top w:val="single" w:sz="4" w:space="0" w:color="auto"/>
        </w:pBdr>
        <w:spacing w:line="276" w:lineRule="auto"/>
        <w:jc w:val="both"/>
        <w:rPr>
          <w:b/>
          <w:bCs/>
          <w:i/>
          <w:color w:val="000000" w:themeColor="text1"/>
          <w:sz w:val="28"/>
        </w:rPr>
      </w:pPr>
    </w:p>
    <w:p w14:paraId="17AFD429" w14:textId="77777777" w:rsidR="00375C7A" w:rsidRPr="00375C7A" w:rsidRDefault="00375C7A" w:rsidP="00375C7A">
      <w:pPr>
        <w:numPr>
          <w:ilvl w:val="0"/>
          <w:numId w:val="10"/>
        </w:numPr>
        <w:suppressAutoHyphens/>
        <w:spacing w:after="0" w:line="240" w:lineRule="auto"/>
        <w:contextualSpacing/>
        <w:rPr>
          <w:b/>
          <w:bCs/>
        </w:rPr>
      </w:pPr>
      <w:r w:rsidRPr="00375C7A">
        <w:rPr>
          <w:b/>
        </w:rPr>
        <w:t xml:space="preserve">Hospital admission </w:t>
      </w:r>
      <w:r w:rsidRPr="00375C7A">
        <w:t>(dd/mm/yyyy)</w:t>
      </w:r>
      <w:r w:rsidRPr="00375C7A">
        <w:rPr>
          <w:b/>
        </w:rPr>
        <w:t xml:space="preserve"> </w:t>
      </w:r>
      <w:r w:rsidRPr="00375C7A">
        <w:rPr>
          <w:b/>
        </w:rPr>
        <w:tab/>
      </w:r>
      <w:r w:rsidRPr="00442E78">
        <w:t>|__|__| / |__|__| / |__|__|__|__|</w:t>
      </w:r>
      <w:r w:rsidRPr="00375C7A">
        <w:t xml:space="preserve">  </w:t>
      </w:r>
    </w:p>
    <w:p w14:paraId="4F6AF3E6" w14:textId="77777777" w:rsidR="00375C7A" w:rsidRPr="00375C7A" w:rsidRDefault="00375C7A" w:rsidP="00375C7A">
      <w:pPr>
        <w:rPr>
          <w:b/>
          <w:bCs/>
        </w:rPr>
      </w:pPr>
    </w:p>
    <w:p w14:paraId="551B9193" w14:textId="77777777" w:rsidR="00375C7A" w:rsidRPr="00442E78" w:rsidRDefault="00375C7A" w:rsidP="00375C7A">
      <w:pPr>
        <w:numPr>
          <w:ilvl w:val="0"/>
          <w:numId w:val="10"/>
        </w:numPr>
        <w:suppressAutoHyphens/>
        <w:spacing w:after="0" w:line="240" w:lineRule="auto"/>
        <w:contextualSpacing/>
        <w:rPr>
          <w:lang w:val="ru-RU"/>
        </w:rPr>
      </w:pPr>
      <w:r w:rsidRPr="00375C7A">
        <w:rPr>
          <w:b/>
          <w:bCs/>
          <w:lang w:val="ru-RU"/>
        </w:rPr>
        <w:t>Hospital department №</w:t>
      </w:r>
      <w:r w:rsidRPr="00375C7A">
        <w:rPr>
          <w:b/>
          <w:lang w:val="ru-RU"/>
        </w:rPr>
        <w:tab/>
      </w:r>
      <w:r w:rsidRPr="00375C7A">
        <w:rPr>
          <w:b/>
          <w:lang w:val="ru-RU"/>
        </w:rPr>
        <w:tab/>
      </w:r>
      <w:r w:rsidRPr="00442E78">
        <w:rPr>
          <w:lang w:val="ru-RU"/>
        </w:rPr>
        <w:t>|__|__|</w:t>
      </w:r>
    </w:p>
    <w:p w14:paraId="1DAC9822" w14:textId="77777777" w:rsidR="00375C7A" w:rsidRPr="00375C7A" w:rsidRDefault="00375C7A" w:rsidP="00375C7A">
      <w:pPr>
        <w:rPr>
          <w:bCs/>
        </w:rPr>
      </w:pPr>
    </w:p>
    <w:p w14:paraId="01552121" w14:textId="77777777" w:rsidR="00375C7A" w:rsidRPr="00375C7A" w:rsidRDefault="00375C7A" w:rsidP="00375C7A">
      <w:pPr>
        <w:numPr>
          <w:ilvl w:val="0"/>
          <w:numId w:val="10"/>
        </w:numPr>
        <w:suppressAutoHyphens/>
        <w:spacing w:after="0" w:line="240" w:lineRule="auto"/>
        <w:contextualSpacing/>
        <w:rPr>
          <w:b/>
          <w:bCs/>
        </w:rPr>
      </w:pPr>
      <w:r w:rsidRPr="00375C7A">
        <w:rPr>
          <w:b/>
          <w:bCs/>
        </w:rPr>
        <w:t xml:space="preserve">Case history № (Patient`s identical number): </w:t>
      </w:r>
      <w:r w:rsidRPr="00442E78">
        <w:t>__________________</w:t>
      </w:r>
    </w:p>
    <w:p w14:paraId="39E49B1F" w14:textId="77777777" w:rsidR="00375C7A" w:rsidRPr="00375C7A" w:rsidRDefault="00375C7A" w:rsidP="00375C7A">
      <w:pPr>
        <w:rPr>
          <w:b/>
          <w:bCs/>
        </w:rPr>
      </w:pPr>
    </w:p>
    <w:p w14:paraId="121FCD95" w14:textId="77777777" w:rsidR="00375C7A" w:rsidRPr="00375C7A" w:rsidRDefault="00375C7A" w:rsidP="00375C7A">
      <w:pPr>
        <w:numPr>
          <w:ilvl w:val="0"/>
          <w:numId w:val="10"/>
        </w:numPr>
        <w:suppressAutoHyphens/>
        <w:spacing w:after="0" w:line="240" w:lineRule="auto"/>
        <w:contextualSpacing/>
        <w:rPr>
          <w:b/>
          <w:bCs/>
          <w:lang w:val="ru-RU"/>
        </w:rPr>
      </w:pPr>
      <w:r w:rsidRPr="00375C7A">
        <w:rPr>
          <w:b/>
          <w:lang w:val="ru-RU"/>
        </w:rPr>
        <w:t>Sex</w:t>
      </w:r>
      <w:r w:rsidRPr="00375C7A">
        <w:rPr>
          <w:lang w:val="ru-RU"/>
        </w:rPr>
        <w:tab/>
        <w:t>|__| Male</w:t>
      </w:r>
      <w:r w:rsidRPr="00375C7A">
        <w:rPr>
          <w:bCs/>
          <w:lang w:val="ru-RU"/>
        </w:rPr>
        <w:t xml:space="preserve"> </w:t>
      </w:r>
      <w:r w:rsidRPr="00375C7A">
        <w:rPr>
          <w:lang w:val="ru-RU"/>
        </w:rPr>
        <w:t>|__| Female</w:t>
      </w:r>
    </w:p>
    <w:p w14:paraId="691E797C" w14:textId="77777777" w:rsidR="00375C7A" w:rsidRPr="00375C7A" w:rsidRDefault="00375C7A" w:rsidP="00375C7A">
      <w:pPr>
        <w:rPr>
          <w:b/>
          <w:bCs/>
        </w:rPr>
      </w:pPr>
    </w:p>
    <w:p w14:paraId="51277844" w14:textId="77777777" w:rsidR="00375C7A" w:rsidRPr="00375C7A" w:rsidRDefault="00375C7A" w:rsidP="00375C7A">
      <w:pPr>
        <w:numPr>
          <w:ilvl w:val="0"/>
          <w:numId w:val="10"/>
        </w:numPr>
        <w:suppressAutoHyphens/>
        <w:spacing w:after="0" w:line="240" w:lineRule="auto"/>
        <w:contextualSpacing/>
        <w:rPr>
          <w:b/>
          <w:bCs/>
        </w:rPr>
      </w:pPr>
      <w:r w:rsidRPr="00375C7A">
        <w:rPr>
          <w:b/>
          <w:bCs/>
        </w:rPr>
        <w:t>Age</w:t>
      </w:r>
      <w:r w:rsidRPr="00442E78">
        <w:t xml:space="preserve">_________________ </w:t>
      </w:r>
      <w:r w:rsidRPr="00375C7A">
        <w:rPr>
          <w:b/>
          <w:bCs/>
        </w:rPr>
        <w:t xml:space="preserve">Date of birth </w:t>
      </w:r>
      <w:r w:rsidRPr="00375C7A">
        <w:t>(dd/mm/yyyy)</w:t>
      </w:r>
      <w:r w:rsidRPr="00375C7A">
        <w:rPr>
          <w:b/>
          <w:bCs/>
        </w:rPr>
        <w:t xml:space="preserve"> </w:t>
      </w:r>
      <w:r w:rsidRPr="00442E78">
        <w:t>|__|__| / |__|__| / |__|__|__|__|</w:t>
      </w:r>
      <w:r w:rsidRPr="00375C7A">
        <w:rPr>
          <w:b/>
          <w:bCs/>
        </w:rPr>
        <w:t xml:space="preserve">  </w:t>
      </w:r>
    </w:p>
    <w:p w14:paraId="723DA9F5" w14:textId="77777777" w:rsidR="00375C7A" w:rsidRPr="00375C7A" w:rsidRDefault="00375C7A" w:rsidP="00375C7A">
      <w:pPr>
        <w:rPr>
          <w:b/>
          <w:bCs/>
        </w:rPr>
      </w:pPr>
    </w:p>
    <w:p w14:paraId="42AE135D" w14:textId="77777777" w:rsidR="00375C7A" w:rsidRPr="00375C7A" w:rsidRDefault="00375C7A" w:rsidP="00375C7A">
      <w:pPr>
        <w:numPr>
          <w:ilvl w:val="0"/>
          <w:numId w:val="10"/>
        </w:numPr>
        <w:suppressAutoHyphens/>
        <w:spacing w:after="0" w:line="360" w:lineRule="auto"/>
        <w:contextualSpacing/>
        <w:rPr>
          <w:b/>
        </w:rPr>
      </w:pPr>
      <w:r w:rsidRPr="00375C7A">
        <w:rPr>
          <w:b/>
        </w:rPr>
        <w:t>Patient had contact with a possible or confirmed case of COVID-19</w:t>
      </w:r>
    </w:p>
    <w:p w14:paraId="2B29BE43" w14:textId="77777777" w:rsidR="00375C7A" w:rsidRPr="00375C7A" w:rsidRDefault="00375C7A" w:rsidP="00375C7A">
      <w:pPr>
        <w:spacing w:line="360" w:lineRule="auto"/>
        <w:ind w:left="720"/>
        <w:contextualSpacing/>
        <w:rPr>
          <w:b/>
          <w:lang w:val="ru-RU"/>
        </w:rPr>
      </w:pPr>
      <w:r w:rsidRPr="00375C7A">
        <w:rPr>
          <w:lang w:val="ru-RU"/>
        </w:rPr>
        <w:t>|__| Yes |__| No</w:t>
      </w:r>
    </w:p>
    <w:p w14:paraId="7B74E442" w14:textId="77777777" w:rsidR="00375C7A" w:rsidRPr="00375C7A" w:rsidRDefault="00375C7A" w:rsidP="00375C7A">
      <w:pPr>
        <w:numPr>
          <w:ilvl w:val="0"/>
          <w:numId w:val="10"/>
        </w:numPr>
        <w:suppressAutoHyphens/>
        <w:spacing w:after="0" w:line="360" w:lineRule="auto"/>
        <w:contextualSpacing/>
        <w:rPr>
          <w:b/>
        </w:rPr>
      </w:pPr>
      <w:r w:rsidRPr="00375C7A">
        <w:rPr>
          <w:b/>
        </w:rPr>
        <w:t>Patient had close contact with a patient with ARI(acute respiratory infections) within 14 days before the symptoms onset</w:t>
      </w:r>
      <w:r w:rsidRPr="00375C7A">
        <w:rPr>
          <w:b/>
        </w:rPr>
        <w:tab/>
      </w:r>
      <w:r w:rsidRPr="00375C7A">
        <w:t>|__| Yes |__| No</w:t>
      </w:r>
    </w:p>
    <w:p w14:paraId="4E65A299" w14:textId="77777777" w:rsidR="00375C7A" w:rsidRPr="00375C7A" w:rsidRDefault="00375C7A" w:rsidP="00375C7A">
      <w:pPr>
        <w:numPr>
          <w:ilvl w:val="0"/>
          <w:numId w:val="10"/>
        </w:numPr>
        <w:suppressAutoHyphens/>
        <w:spacing w:after="0" w:line="360" w:lineRule="auto"/>
        <w:contextualSpacing/>
        <w:rPr>
          <w:b/>
        </w:rPr>
      </w:pPr>
      <w:r w:rsidRPr="00375C7A">
        <w:rPr>
          <w:b/>
        </w:rPr>
        <w:t>Patient was abroad within 14 days before symptoms onset</w:t>
      </w:r>
    </w:p>
    <w:p w14:paraId="2C1BB3B5" w14:textId="77777777" w:rsidR="00375C7A" w:rsidRPr="00375C7A" w:rsidRDefault="00375C7A" w:rsidP="00375C7A">
      <w:pPr>
        <w:spacing w:line="360" w:lineRule="auto"/>
        <w:ind w:left="720"/>
        <w:contextualSpacing/>
      </w:pPr>
      <w:r w:rsidRPr="00375C7A">
        <w:t>|__| Yes* |__| No</w:t>
      </w:r>
    </w:p>
    <w:p w14:paraId="3DC9DE5A" w14:textId="77777777" w:rsidR="00375C7A" w:rsidRPr="00375C7A" w:rsidRDefault="00375C7A" w:rsidP="00375C7A">
      <w:pPr>
        <w:spacing w:line="360" w:lineRule="auto"/>
        <w:ind w:left="720"/>
        <w:contextualSpacing/>
      </w:pPr>
      <w:r w:rsidRPr="00375C7A">
        <w:t>*if the answer was “Yes”, fill in points 9-11.</w:t>
      </w:r>
    </w:p>
    <w:p w14:paraId="0463F3FF" w14:textId="77777777" w:rsidR="00375C7A" w:rsidRPr="00442E78" w:rsidRDefault="00375C7A" w:rsidP="00375C7A">
      <w:pPr>
        <w:numPr>
          <w:ilvl w:val="0"/>
          <w:numId w:val="10"/>
        </w:numPr>
        <w:suppressAutoHyphens/>
        <w:spacing w:after="0" w:line="360" w:lineRule="auto"/>
        <w:contextualSpacing/>
        <w:rPr>
          <w:bCs/>
        </w:rPr>
      </w:pPr>
      <w:r w:rsidRPr="00375C7A">
        <w:rPr>
          <w:b/>
        </w:rPr>
        <w:t xml:space="preserve">Dates of travel </w:t>
      </w:r>
      <w:r w:rsidRPr="00375C7A">
        <w:t>(dd/mm/yyyy)</w:t>
      </w:r>
      <w:r w:rsidRPr="00375C7A">
        <w:rPr>
          <w:b/>
        </w:rPr>
        <w:t xml:space="preserve"> from </w:t>
      </w:r>
      <w:r w:rsidRPr="00442E78">
        <w:rPr>
          <w:bCs/>
        </w:rPr>
        <w:t xml:space="preserve">|__|__| / |__|__| / |__|__|__|__| till |__|__| / |__|__| / |__|__|__|__|  </w:t>
      </w:r>
    </w:p>
    <w:p w14:paraId="09943430" w14:textId="77777777" w:rsidR="00375C7A" w:rsidRPr="00442E78" w:rsidRDefault="00375C7A" w:rsidP="00375C7A">
      <w:pPr>
        <w:numPr>
          <w:ilvl w:val="0"/>
          <w:numId w:val="10"/>
        </w:numPr>
        <w:suppressAutoHyphens/>
        <w:spacing w:after="0" w:line="360" w:lineRule="auto"/>
        <w:contextualSpacing/>
        <w:rPr>
          <w:bCs/>
          <w:lang w:val="ru-RU"/>
        </w:rPr>
      </w:pPr>
      <w:r w:rsidRPr="00375C7A">
        <w:rPr>
          <w:b/>
          <w:lang w:val="ru-RU"/>
        </w:rPr>
        <w:t xml:space="preserve">Country </w:t>
      </w:r>
      <w:r w:rsidRPr="00442E78">
        <w:rPr>
          <w:bCs/>
          <w:lang w:val="ru-RU"/>
        </w:rPr>
        <w:t>_______________________________________________</w:t>
      </w:r>
    </w:p>
    <w:p w14:paraId="15A2D1E8" w14:textId="77777777" w:rsidR="00375C7A" w:rsidRPr="00375C7A" w:rsidRDefault="00375C7A" w:rsidP="00375C7A">
      <w:pPr>
        <w:numPr>
          <w:ilvl w:val="0"/>
          <w:numId w:val="10"/>
        </w:numPr>
        <w:suppressAutoHyphens/>
        <w:spacing w:after="0" w:line="360" w:lineRule="auto"/>
        <w:contextualSpacing/>
        <w:rPr>
          <w:b/>
        </w:rPr>
      </w:pPr>
      <w:r w:rsidRPr="00375C7A">
        <w:rPr>
          <w:b/>
        </w:rPr>
        <w:t xml:space="preserve">Patient was PCR SARS-CoV-2 tested at the border control </w:t>
      </w:r>
      <w:r w:rsidRPr="00375C7A">
        <w:rPr>
          <w:b/>
        </w:rPr>
        <w:tab/>
      </w:r>
      <w:r w:rsidRPr="00442E78">
        <w:rPr>
          <w:bCs/>
        </w:rPr>
        <w:t>|_</w:t>
      </w:r>
      <w:r w:rsidRPr="00375C7A">
        <w:t>_| Yes |__| No</w:t>
      </w:r>
    </w:p>
    <w:p w14:paraId="225B7B2A" w14:textId="77777777" w:rsidR="00375C7A" w:rsidRPr="00375C7A" w:rsidRDefault="00375C7A" w:rsidP="00375C7A">
      <w:pPr>
        <w:spacing w:line="360" w:lineRule="auto"/>
        <w:rPr>
          <w:b/>
        </w:rPr>
      </w:pPr>
    </w:p>
    <w:p w14:paraId="2A90B17B" w14:textId="77777777" w:rsidR="00375C7A" w:rsidRPr="00375C7A" w:rsidRDefault="00375C7A" w:rsidP="00375C7A">
      <w:pPr>
        <w:numPr>
          <w:ilvl w:val="0"/>
          <w:numId w:val="10"/>
        </w:numPr>
        <w:suppressAutoHyphens/>
        <w:spacing w:after="0" w:line="240" w:lineRule="auto"/>
        <w:contextualSpacing/>
        <w:rPr>
          <w:b/>
        </w:rPr>
      </w:pPr>
      <w:r w:rsidRPr="00375C7A">
        <w:rPr>
          <w:b/>
        </w:rPr>
        <w:t xml:space="preserve">Date of self-isolation </w:t>
      </w:r>
      <w:r w:rsidRPr="00375C7A">
        <w:rPr>
          <w:bCs/>
        </w:rPr>
        <w:t>(dd/mm/yyyy)</w:t>
      </w:r>
      <w:r w:rsidRPr="00375C7A">
        <w:rPr>
          <w:b/>
        </w:rPr>
        <w:t xml:space="preserve"> </w:t>
      </w:r>
      <w:r w:rsidRPr="00375C7A">
        <w:rPr>
          <w:b/>
        </w:rPr>
        <w:tab/>
      </w:r>
      <w:r w:rsidRPr="00375C7A">
        <w:rPr>
          <w:b/>
        </w:rPr>
        <w:tab/>
      </w:r>
      <w:r w:rsidRPr="00442E78">
        <w:rPr>
          <w:bCs/>
        </w:rPr>
        <w:t>|__|__| / |__|__| / |__|__|__|__|</w:t>
      </w:r>
      <w:r w:rsidRPr="00375C7A">
        <w:rPr>
          <w:b/>
        </w:rPr>
        <w:t xml:space="preserve">  </w:t>
      </w:r>
    </w:p>
    <w:p w14:paraId="0BF59082" w14:textId="77777777" w:rsidR="00375C7A" w:rsidRPr="00375C7A" w:rsidRDefault="00375C7A" w:rsidP="00375C7A">
      <w:pPr>
        <w:ind w:left="720"/>
        <w:contextualSpacing/>
        <w:rPr>
          <w:b/>
        </w:rPr>
      </w:pPr>
    </w:p>
    <w:p w14:paraId="66B57004" w14:textId="77777777" w:rsidR="00375C7A" w:rsidRPr="00375C7A" w:rsidRDefault="00375C7A" w:rsidP="00375C7A">
      <w:pPr>
        <w:numPr>
          <w:ilvl w:val="0"/>
          <w:numId w:val="10"/>
        </w:numPr>
        <w:suppressAutoHyphens/>
        <w:spacing w:after="0" w:line="276" w:lineRule="auto"/>
        <w:contextualSpacing/>
        <w:rPr>
          <w:b/>
        </w:rPr>
      </w:pPr>
      <w:r w:rsidRPr="00375C7A">
        <w:rPr>
          <w:b/>
        </w:rPr>
        <w:t>Day from symptoms onset</w:t>
      </w:r>
      <w:r w:rsidRPr="00375C7A">
        <w:t xml:space="preserve"> (dd/mm/yyyy)</w:t>
      </w:r>
      <w:r w:rsidRPr="00375C7A">
        <w:rPr>
          <w:b/>
        </w:rPr>
        <w:t xml:space="preserve"> </w:t>
      </w:r>
      <w:r w:rsidRPr="00375C7A">
        <w:rPr>
          <w:b/>
        </w:rPr>
        <w:tab/>
      </w:r>
      <w:r w:rsidRPr="00442E78">
        <w:rPr>
          <w:bCs/>
        </w:rPr>
        <w:t>|__|__| / |__|__| / |__|__|__|__|</w:t>
      </w:r>
    </w:p>
    <w:p w14:paraId="59972A69" w14:textId="77777777" w:rsidR="00375C7A" w:rsidRPr="00375C7A" w:rsidRDefault="00375C7A" w:rsidP="00375C7A">
      <w:pPr>
        <w:spacing w:line="276" w:lineRule="auto"/>
        <w:ind w:left="720"/>
        <w:contextualSpacing/>
        <w:rPr>
          <w:b/>
        </w:rPr>
      </w:pPr>
      <w:r w:rsidRPr="00375C7A">
        <w:rPr>
          <w:b/>
        </w:rPr>
        <w:t xml:space="preserve">     </w:t>
      </w:r>
      <w:r w:rsidRPr="00375C7A">
        <w:rPr>
          <w:b/>
          <w:lang w:val="ru-RU"/>
        </w:rPr>
        <w:t>а</w:t>
      </w:r>
      <w:r w:rsidRPr="00375C7A">
        <w:rPr>
          <w:b/>
        </w:rPr>
        <w:t xml:space="preserve">) Main symptoms </w:t>
      </w:r>
    </w:p>
    <w:p w14:paraId="1742D9A3" w14:textId="77777777" w:rsidR="00375C7A" w:rsidRPr="00375C7A" w:rsidRDefault="00375C7A" w:rsidP="00375C7A">
      <w:pPr>
        <w:spacing w:line="276" w:lineRule="auto"/>
        <w:ind w:left="720"/>
        <w:contextualSpacing/>
        <w:rPr>
          <w:bCs/>
        </w:rPr>
      </w:pPr>
      <w:r w:rsidRPr="00375C7A">
        <w:rPr>
          <w:bCs/>
        </w:rPr>
        <w:t>a.</w:t>
      </w:r>
      <w:r w:rsidRPr="00375C7A">
        <w:rPr>
          <w:bCs/>
        </w:rPr>
        <w:tab/>
        <w:t xml:space="preserve">Fever     </w:t>
      </w:r>
      <w:r w:rsidRPr="00375C7A">
        <w:rPr>
          <w:bCs/>
        </w:rPr>
        <w:tab/>
      </w:r>
      <w:r w:rsidRPr="00375C7A">
        <w:rPr>
          <w:bCs/>
        </w:rPr>
        <w:tab/>
        <w:t xml:space="preserve"> |__|        37-38º |__|       38-39º |__|       39-40º |__|</w:t>
      </w:r>
    </w:p>
    <w:p w14:paraId="7AA3ED5F" w14:textId="74DE0C63" w:rsidR="00375C7A" w:rsidRPr="00375C7A" w:rsidRDefault="00375C7A" w:rsidP="00375C7A">
      <w:pPr>
        <w:spacing w:line="276" w:lineRule="auto"/>
        <w:ind w:left="720"/>
        <w:contextualSpacing/>
        <w:rPr>
          <w:bCs/>
        </w:rPr>
      </w:pPr>
      <w:r w:rsidRPr="00375C7A">
        <w:rPr>
          <w:bCs/>
        </w:rPr>
        <w:t>b.</w:t>
      </w:r>
      <w:r w:rsidRPr="00375C7A">
        <w:rPr>
          <w:bCs/>
        </w:rPr>
        <w:tab/>
        <w:t xml:space="preserve">Fatigue </w:t>
      </w:r>
      <w:r w:rsidRPr="00375C7A">
        <w:rPr>
          <w:bCs/>
        </w:rPr>
        <w:tab/>
      </w:r>
      <w:r w:rsidRPr="00375C7A">
        <w:rPr>
          <w:bCs/>
        </w:rPr>
        <w:tab/>
      </w:r>
      <w:r w:rsidR="005718B9">
        <w:rPr>
          <w:bCs/>
        </w:rPr>
        <w:tab/>
      </w:r>
      <w:r w:rsidRPr="00375C7A">
        <w:rPr>
          <w:bCs/>
        </w:rPr>
        <w:t xml:space="preserve"> |__|</w:t>
      </w:r>
    </w:p>
    <w:p w14:paraId="7DD64753" w14:textId="77777777" w:rsidR="00375C7A" w:rsidRPr="00375C7A" w:rsidRDefault="00375C7A" w:rsidP="00375C7A">
      <w:pPr>
        <w:spacing w:line="276" w:lineRule="auto"/>
        <w:ind w:left="720"/>
        <w:contextualSpacing/>
        <w:rPr>
          <w:bCs/>
        </w:rPr>
      </w:pPr>
      <w:r w:rsidRPr="00375C7A">
        <w:rPr>
          <w:bCs/>
        </w:rPr>
        <w:t>c.</w:t>
      </w:r>
      <w:r w:rsidRPr="00375C7A">
        <w:rPr>
          <w:bCs/>
        </w:rPr>
        <w:tab/>
        <w:t xml:space="preserve">Headache </w:t>
      </w:r>
      <w:r w:rsidRPr="00375C7A">
        <w:rPr>
          <w:bCs/>
        </w:rPr>
        <w:tab/>
      </w:r>
      <w:r w:rsidRPr="00375C7A">
        <w:rPr>
          <w:bCs/>
        </w:rPr>
        <w:tab/>
        <w:t xml:space="preserve"> |__|</w:t>
      </w:r>
    </w:p>
    <w:p w14:paraId="207B380F" w14:textId="77777777" w:rsidR="00375C7A" w:rsidRPr="00375C7A" w:rsidRDefault="00375C7A" w:rsidP="00375C7A">
      <w:pPr>
        <w:spacing w:line="276" w:lineRule="auto"/>
        <w:ind w:left="720"/>
        <w:contextualSpacing/>
        <w:rPr>
          <w:bCs/>
        </w:rPr>
      </w:pPr>
      <w:r w:rsidRPr="00375C7A">
        <w:rPr>
          <w:bCs/>
        </w:rPr>
        <w:t>d.</w:t>
      </w:r>
      <w:r w:rsidRPr="00375C7A">
        <w:rPr>
          <w:bCs/>
        </w:rPr>
        <w:tab/>
        <w:t>Muscle pain</w:t>
      </w:r>
      <w:r w:rsidRPr="00375C7A">
        <w:rPr>
          <w:bCs/>
        </w:rPr>
        <w:tab/>
      </w:r>
      <w:r w:rsidRPr="00375C7A">
        <w:rPr>
          <w:bCs/>
        </w:rPr>
        <w:tab/>
        <w:t xml:space="preserve"> |__|</w:t>
      </w:r>
    </w:p>
    <w:p w14:paraId="3222697F" w14:textId="77777777" w:rsidR="00375C7A" w:rsidRPr="00375C7A" w:rsidRDefault="00375C7A" w:rsidP="00375C7A">
      <w:pPr>
        <w:spacing w:line="276" w:lineRule="auto"/>
        <w:ind w:left="720"/>
        <w:contextualSpacing/>
      </w:pPr>
      <w:r w:rsidRPr="00375C7A">
        <w:rPr>
          <w:bCs/>
        </w:rPr>
        <w:t>e.</w:t>
      </w:r>
      <w:r w:rsidRPr="00375C7A">
        <w:tab/>
        <w:t>Rash</w:t>
      </w:r>
      <w:r w:rsidRPr="00375C7A">
        <w:tab/>
      </w:r>
      <w:r w:rsidRPr="00375C7A">
        <w:tab/>
      </w:r>
      <w:r w:rsidRPr="00375C7A">
        <w:tab/>
        <w:t xml:space="preserve"> |__|</w:t>
      </w:r>
    </w:p>
    <w:p w14:paraId="6D360301" w14:textId="77777777" w:rsidR="00375C7A" w:rsidRPr="00375C7A" w:rsidRDefault="00375C7A" w:rsidP="00375C7A">
      <w:pPr>
        <w:spacing w:line="276" w:lineRule="auto"/>
        <w:ind w:left="720"/>
        <w:contextualSpacing/>
        <w:rPr>
          <w:b/>
        </w:rPr>
      </w:pPr>
      <w:r w:rsidRPr="00375C7A">
        <w:rPr>
          <w:b/>
        </w:rPr>
        <w:t xml:space="preserve">     b) Respiratory symptoms </w:t>
      </w:r>
    </w:p>
    <w:p w14:paraId="4C1E1D59" w14:textId="77777777" w:rsidR="00375C7A" w:rsidRPr="00375C7A" w:rsidRDefault="00375C7A" w:rsidP="00375C7A">
      <w:pPr>
        <w:spacing w:line="276" w:lineRule="auto"/>
        <w:ind w:left="720"/>
        <w:contextualSpacing/>
        <w:rPr>
          <w:bCs/>
        </w:rPr>
      </w:pPr>
      <w:r w:rsidRPr="00375C7A">
        <w:rPr>
          <w:bCs/>
        </w:rPr>
        <w:t>a.</w:t>
      </w:r>
      <w:r w:rsidRPr="00375C7A">
        <w:rPr>
          <w:bCs/>
        </w:rPr>
        <w:tab/>
        <w:t>Cough</w:t>
      </w:r>
      <w:r w:rsidRPr="00375C7A">
        <w:rPr>
          <w:bCs/>
        </w:rPr>
        <w:tab/>
      </w:r>
      <w:r w:rsidRPr="00375C7A">
        <w:rPr>
          <w:bCs/>
        </w:rPr>
        <w:tab/>
      </w:r>
      <w:r w:rsidRPr="00375C7A">
        <w:rPr>
          <w:bCs/>
        </w:rPr>
        <w:tab/>
        <w:t xml:space="preserve"> |__|</w:t>
      </w:r>
    </w:p>
    <w:p w14:paraId="3A58AD09" w14:textId="77777777" w:rsidR="00375C7A" w:rsidRPr="00375C7A" w:rsidRDefault="00375C7A" w:rsidP="00375C7A">
      <w:pPr>
        <w:spacing w:line="276" w:lineRule="auto"/>
        <w:ind w:left="720"/>
        <w:contextualSpacing/>
        <w:rPr>
          <w:bCs/>
        </w:rPr>
      </w:pPr>
      <w:r w:rsidRPr="00375C7A">
        <w:rPr>
          <w:bCs/>
        </w:rPr>
        <w:t>b.</w:t>
      </w:r>
      <w:r w:rsidRPr="00375C7A">
        <w:rPr>
          <w:bCs/>
        </w:rPr>
        <w:tab/>
        <w:t>Sore throat</w:t>
      </w:r>
      <w:r w:rsidRPr="00375C7A">
        <w:rPr>
          <w:bCs/>
        </w:rPr>
        <w:tab/>
      </w:r>
      <w:r w:rsidRPr="00375C7A">
        <w:rPr>
          <w:bCs/>
        </w:rPr>
        <w:tab/>
        <w:t xml:space="preserve"> |__|</w:t>
      </w:r>
    </w:p>
    <w:p w14:paraId="76F2F39B" w14:textId="77777777" w:rsidR="00375C7A" w:rsidRPr="00375C7A" w:rsidRDefault="00375C7A" w:rsidP="00375C7A">
      <w:pPr>
        <w:spacing w:line="276" w:lineRule="auto"/>
        <w:ind w:left="720"/>
        <w:contextualSpacing/>
        <w:rPr>
          <w:bCs/>
        </w:rPr>
      </w:pPr>
      <w:r w:rsidRPr="00375C7A">
        <w:rPr>
          <w:bCs/>
        </w:rPr>
        <w:t>c.</w:t>
      </w:r>
      <w:r w:rsidRPr="00375C7A">
        <w:rPr>
          <w:bCs/>
        </w:rPr>
        <w:tab/>
        <w:t>Dyspnea</w:t>
      </w:r>
      <w:r w:rsidRPr="00375C7A">
        <w:rPr>
          <w:bCs/>
        </w:rPr>
        <w:tab/>
      </w:r>
      <w:r w:rsidRPr="00375C7A">
        <w:rPr>
          <w:bCs/>
        </w:rPr>
        <w:tab/>
        <w:t xml:space="preserve"> |__|</w:t>
      </w:r>
    </w:p>
    <w:p w14:paraId="61786A22" w14:textId="77777777" w:rsidR="00375C7A" w:rsidRPr="00375C7A" w:rsidRDefault="00375C7A" w:rsidP="00375C7A">
      <w:pPr>
        <w:spacing w:line="276" w:lineRule="auto"/>
        <w:ind w:left="720"/>
        <w:contextualSpacing/>
      </w:pPr>
      <w:r w:rsidRPr="00375C7A">
        <w:rPr>
          <w:bCs/>
        </w:rPr>
        <w:t>d.</w:t>
      </w:r>
      <w:r w:rsidRPr="00375C7A">
        <w:tab/>
        <w:t>Nasal congestion</w:t>
      </w:r>
      <w:r w:rsidRPr="00375C7A">
        <w:tab/>
        <w:t xml:space="preserve"> |__|</w:t>
      </w:r>
    </w:p>
    <w:p w14:paraId="638C78AF" w14:textId="77777777" w:rsidR="00375C7A" w:rsidRPr="00375C7A" w:rsidRDefault="00375C7A" w:rsidP="00375C7A">
      <w:pPr>
        <w:spacing w:line="276" w:lineRule="auto"/>
        <w:ind w:left="720"/>
        <w:contextualSpacing/>
        <w:rPr>
          <w:b/>
        </w:rPr>
      </w:pPr>
      <w:r w:rsidRPr="00375C7A">
        <w:rPr>
          <w:b/>
        </w:rPr>
        <w:lastRenderedPageBreak/>
        <w:t xml:space="preserve">     c) Neurological symptoms </w:t>
      </w:r>
    </w:p>
    <w:p w14:paraId="1EFEC5B7" w14:textId="77777777" w:rsidR="00375C7A" w:rsidRPr="00375C7A" w:rsidRDefault="00375C7A" w:rsidP="00375C7A">
      <w:pPr>
        <w:spacing w:line="276" w:lineRule="auto"/>
        <w:ind w:left="720"/>
        <w:contextualSpacing/>
        <w:rPr>
          <w:bCs/>
        </w:rPr>
      </w:pPr>
      <w:r w:rsidRPr="00375C7A">
        <w:rPr>
          <w:bCs/>
        </w:rPr>
        <w:t>a.</w:t>
      </w:r>
      <w:r w:rsidRPr="00375C7A">
        <w:rPr>
          <w:bCs/>
        </w:rPr>
        <w:tab/>
        <w:t>Impaired consciousness</w:t>
      </w:r>
      <w:r w:rsidRPr="00375C7A">
        <w:rPr>
          <w:bCs/>
        </w:rPr>
        <w:tab/>
        <w:t xml:space="preserve"> |__|</w:t>
      </w:r>
    </w:p>
    <w:p w14:paraId="2EF3C5CA" w14:textId="77777777" w:rsidR="00375C7A" w:rsidRPr="00375C7A" w:rsidRDefault="00375C7A" w:rsidP="00375C7A">
      <w:pPr>
        <w:spacing w:line="276" w:lineRule="auto"/>
        <w:ind w:left="720"/>
        <w:contextualSpacing/>
        <w:rPr>
          <w:bCs/>
        </w:rPr>
      </w:pPr>
      <w:r w:rsidRPr="00375C7A">
        <w:rPr>
          <w:bCs/>
        </w:rPr>
        <w:t>b.</w:t>
      </w:r>
      <w:r w:rsidRPr="00375C7A">
        <w:rPr>
          <w:bCs/>
        </w:rPr>
        <w:tab/>
        <w:t>Meningeal/focal signs</w:t>
      </w:r>
      <w:r w:rsidRPr="00375C7A">
        <w:rPr>
          <w:bCs/>
        </w:rPr>
        <w:tab/>
        <w:t xml:space="preserve"> |__|</w:t>
      </w:r>
    </w:p>
    <w:p w14:paraId="58F794B9" w14:textId="77777777" w:rsidR="00375C7A" w:rsidRPr="00375C7A" w:rsidRDefault="00375C7A" w:rsidP="00375C7A">
      <w:pPr>
        <w:spacing w:line="276" w:lineRule="auto"/>
        <w:ind w:left="720"/>
        <w:contextualSpacing/>
        <w:rPr>
          <w:bCs/>
        </w:rPr>
      </w:pPr>
      <w:r w:rsidRPr="00375C7A">
        <w:rPr>
          <w:bCs/>
        </w:rPr>
        <w:t>c.</w:t>
      </w:r>
      <w:r w:rsidRPr="00375C7A">
        <w:rPr>
          <w:bCs/>
        </w:rPr>
        <w:tab/>
        <w:t>Dizziness</w:t>
      </w:r>
      <w:r w:rsidRPr="00375C7A">
        <w:rPr>
          <w:bCs/>
        </w:rPr>
        <w:tab/>
      </w:r>
      <w:r w:rsidRPr="00375C7A">
        <w:rPr>
          <w:bCs/>
        </w:rPr>
        <w:tab/>
        <w:t xml:space="preserve"> |__|</w:t>
      </w:r>
    </w:p>
    <w:p w14:paraId="2D115BD8" w14:textId="77777777" w:rsidR="00375C7A" w:rsidRPr="00375C7A" w:rsidRDefault="00375C7A" w:rsidP="00375C7A">
      <w:pPr>
        <w:spacing w:line="276" w:lineRule="auto"/>
        <w:ind w:left="720"/>
        <w:contextualSpacing/>
        <w:rPr>
          <w:bCs/>
        </w:rPr>
      </w:pPr>
      <w:r w:rsidRPr="00375C7A">
        <w:rPr>
          <w:bCs/>
        </w:rPr>
        <w:t>d.</w:t>
      </w:r>
      <w:r w:rsidRPr="00375C7A">
        <w:rPr>
          <w:bCs/>
        </w:rPr>
        <w:tab/>
        <w:t>Loss of smell</w:t>
      </w:r>
      <w:r w:rsidRPr="00375C7A">
        <w:rPr>
          <w:bCs/>
        </w:rPr>
        <w:tab/>
      </w:r>
      <w:r w:rsidRPr="00375C7A">
        <w:rPr>
          <w:bCs/>
        </w:rPr>
        <w:tab/>
        <w:t xml:space="preserve"> |__|</w:t>
      </w:r>
    </w:p>
    <w:p w14:paraId="0DFD30C2" w14:textId="77777777" w:rsidR="00375C7A" w:rsidRPr="00375C7A" w:rsidRDefault="00375C7A" w:rsidP="00375C7A">
      <w:pPr>
        <w:spacing w:line="276" w:lineRule="auto"/>
        <w:ind w:left="720"/>
        <w:contextualSpacing/>
        <w:rPr>
          <w:b/>
        </w:rPr>
      </w:pPr>
      <w:r w:rsidRPr="00375C7A">
        <w:rPr>
          <w:bCs/>
        </w:rPr>
        <w:t>e.</w:t>
      </w:r>
      <w:r w:rsidRPr="00375C7A">
        <w:tab/>
        <w:t>Loss of taste</w:t>
      </w:r>
      <w:r w:rsidRPr="00375C7A">
        <w:tab/>
      </w:r>
      <w:r w:rsidRPr="00375C7A">
        <w:tab/>
        <w:t xml:space="preserve"> |__|</w:t>
      </w:r>
    </w:p>
    <w:p w14:paraId="45443A4C" w14:textId="77777777" w:rsidR="00375C7A" w:rsidRPr="00375C7A" w:rsidRDefault="00375C7A" w:rsidP="00375C7A">
      <w:pPr>
        <w:spacing w:line="276" w:lineRule="auto"/>
        <w:ind w:left="720"/>
        <w:contextualSpacing/>
      </w:pPr>
      <w:r w:rsidRPr="00375C7A">
        <w:rPr>
          <w:b/>
        </w:rPr>
        <w:t xml:space="preserve">     d) Gastrointestinal symptoms</w:t>
      </w:r>
      <w:r w:rsidRPr="00375C7A">
        <w:t xml:space="preserve"> </w:t>
      </w:r>
    </w:p>
    <w:p w14:paraId="657D5BCF" w14:textId="77777777" w:rsidR="00375C7A" w:rsidRPr="00375C7A" w:rsidRDefault="00375C7A" w:rsidP="00375C7A">
      <w:pPr>
        <w:spacing w:line="276" w:lineRule="auto"/>
        <w:ind w:left="720"/>
        <w:contextualSpacing/>
        <w:rPr>
          <w:bCs/>
        </w:rPr>
      </w:pPr>
      <w:r w:rsidRPr="00375C7A">
        <w:rPr>
          <w:bCs/>
        </w:rPr>
        <w:t>a.</w:t>
      </w:r>
      <w:r w:rsidRPr="00375C7A">
        <w:rPr>
          <w:bCs/>
        </w:rPr>
        <w:tab/>
        <w:t xml:space="preserve">Stomach </w:t>
      </w:r>
      <w:r w:rsidRPr="00375C7A">
        <w:rPr>
          <w:bCs/>
        </w:rPr>
        <w:tab/>
      </w:r>
      <w:r w:rsidRPr="00375C7A">
        <w:rPr>
          <w:bCs/>
        </w:rPr>
        <w:tab/>
        <w:t xml:space="preserve"> |__|</w:t>
      </w:r>
    </w:p>
    <w:p w14:paraId="15380B1D" w14:textId="77777777" w:rsidR="00375C7A" w:rsidRPr="00375C7A" w:rsidRDefault="00375C7A" w:rsidP="00375C7A">
      <w:pPr>
        <w:spacing w:line="276" w:lineRule="auto"/>
        <w:ind w:left="720"/>
        <w:contextualSpacing/>
        <w:rPr>
          <w:bCs/>
        </w:rPr>
      </w:pPr>
      <w:r w:rsidRPr="00375C7A">
        <w:rPr>
          <w:bCs/>
        </w:rPr>
        <w:t>b.</w:t>
      </w:r>
      <w:r w:rsidRPr="00375C7A">
        <w:rPr>
          <w:bCs/>
        </w:rPr>
        <w:tab/>
        <w:t>Diarrhea</w:t>
      </w:r>
      <w:r w:rsidRPr="00375C7A">
        <w:rPr>
          <w:bCs/>
        </w:rPr>
        <w:tab/>
      </w:r>
      <w:r w:rsidRPr="00375C7A">
        <w:rPr>
          <w:bCs/>
        </w:rPr>
        <w:tab/>
        <w:t xml:space="preserve"> |__|</w:t>
      </w:r>
    </w:p>
    <w:p w14:paraId="220F1521" w14:textId="77777777" w:rsidR="00375C7A" w:rsidRPr="00375C7A" w:rsidRDefault="00375C7A" w:rsidP="00375C7A">
      <w:pPr>
        <w:spacing w:line="276" w:lineRule="auto"/>
        <w:ind w:left="720"/>
        <w:contextualSpacing/>
      </w:pPr>
      <w:r w:rsidRPr="00375C7A">
        <w:rPr>
          <w:bCs/>
        </w:rPr>
        <w:t>c.</w:t>
      </w:r>
      <w:r w:rsidRPr="00375C7A">
        <w:t xml:space="preserve"> </w:t>
      </w:r>
      <w:r w:rsidRPr="00375C7A">
        <w:tab/>
        <w:t>Nausea/vomiting</w:t>
      </w:r>
      <w:r w:rsidRPr="00375C7A">
        <w:tab/>
        <w:t xml:space="preserve"> |__|</w:t>
      </w:r>
    </w:p>
    <w:p w14:paraId="37AA524E" w14:textId="77777777" w:rsidR="00375C7A" w:rsidRPr="00375C7A" w:rsidRDefault="00375C7A" w:rsidP="00375C7A">
      <w:pPr>
        <w:spacing w:line="360" w:lineRule="auto"/>
        <w:rPr>
          <w:bCs/>
        </w:rPr>
      </w:pPr>
      <w:r w:rsidRPr="00375C7A">
        <w:rPr>
          <w:b/>
        </w:rPr>
        <w:t>14.</w:t>
      </w:r>
      <w:r w:rsidRPr="00375C7A">
        <w:t xml:space="preserve"> </w:t>
      </w:r>
      <w:r w:rsidRPr="00375C7A">
        <w:rPr>
          <w:b/>
        </w:rPr>
        <w:t>Chest CT findings on admission</w:t>
      </w:r>
      <w:r w:rsidRPr="00375C7A">
        <w:t xml:space="preserve"> |__| </w:t>
      </w:r>
      <w:r w:rsidRPr="00375C7A">
        <w:rPr>
          <w:bCs/>
        </w:rPr>
        <w:t xml:space="preserve">Yes </w:t>
      </w:r>
      <w:r w:rsidRPr="00375C7A">
        <w:t>|__| No</w:t>
      </w:r>
      <w:r w:rsidRPr="00375C7A">
        <w:rPr>
          <w:b/>
        </w:rPr>
        <w:tab/>
      </w:r>
      <w:r w:rsidRPr="00375C7A">
        <w:rPr>
          <w:bCs/>
        </w:rPr>
        <w:t>Degree of involvement (CT score) ____________________</w:t>
      </w:r>
    </w:p>
    <w:p w14:paraId="1C244079" w14:textId="77777777" w:rsidR="00375C7A" w:rsidRPr="00375C7A" w:rsidRDefault="00375C7A" w:rsidP="00375C7A">
      <w:pPr>
        <w:pBdr>
          <w:top w:val="single" w:sz="4" w:space="1" w:color="auto"/>
        </w:pBdr>
        <w:rPr>
          <w:b/>
        </w:rPr>
      </w:pPr>
    </w:p>
    <w:p w14:paraId="35CA1608" w14:textId="77777777" w:rsidR="00375C7A" w:rsidRPr="00375C7A" w:rsidRDefault="00375C7A" w:rsidP="00375C7A">
      <w:pPr>
        <w:pBdr>
          <w:top w:val="single" w:sz="4" w:space="1" w:color="auto"/>
        </w:pBdr>
        <w:jc w:val="center"/>
        <w:rPr>
          <w:b/>
          <w:bCs/>
        </w:rPr>
      </w:pPr>
      <w:r w:rsidRPr="00375C7A">
        <w:rPr>
          <w:b/>
          <w:bCs/>
        </w:rPr>
        <w:t>NASOPHARYNGEAL SWAB SAMPLES</w:t>
      </w:r>
    </w:p>
    <w:p w14:paraId="24BC13F7" w14:textId="77777777" w:rsidR="00375C7A" w:rsidRPr="00375C7A" w:rsidRDefault="00375C7A" w:rsidP="00375C7A">
      <w:pPr>
        <w:pBdr>
          <w:top w:val="single" w:sz="4" w:space="1" w:color="auto"/>
        </w:pBdr>
        <w:jc w:val="center"/>
        <w:rPr>
          <w:b/>
          <w:bCs/>
        </w:rPr>
      </w:pPr>
    </w:p>
    <w:p w14:paraId="5E56A326" w14:textId="77777777" w:rsidR="00375C7A" w:rsidRPr="00442E78" w:rsidRDefault="00375C7A" w:rsidP="00375C7A">
      <w:pPr>
        <w:pBdr>
          <w:top w:val="single" w:sz="4" w:space="1" w:color="auto"/>
        </w:pBdr>
        <w:spacing w:line="276" w:lineRule="auto"/>
        <w:rPr>
          <w:bCs/>
        </w:rPr>
      </w:pPr>
      <w:r w:rsidRPr="00375C7A">
        <w:rPr>
          <w:b/>
          <w:bCs/>
        </w:rPr>
        <w:t>15. Date of nasopharyngeal swab sample</w:t>
      </w:r>
      <w:r w:rsidRPr="00375C7A">
        <w:rPr>
          <w:b/>
        </w:rPr>
        <w:t xml:space="preserve"> </w:t>
      </w:r>
      <w:r w:rsidRPr="00375C7A">
        <w:t>(dd/mm/yyyy) admission day</w:t>
      </w:r>
      <w:r w:rsidRPr="00375C7A">
        <w:rPr>
          <w:b/>
        </w:rPr>
        <w:tab/>
      </w:r>
      <w:r w:rsidRPr="00442E78">
        <w:rPr>
          <w:bCs/>
        </w:rPr>
        <w:t xml:space="preserve">|__|__| / |__|__| / |__|__|__|__|  </w:t>
      </w:r>
    </w:p>
    <w:p w14:paraId="3CBDE064" w14:textId="77777777" w:rsidR="00375C7A" w:rsidRPr="00442E78" w:rsidRDefault="00375C7A" w:rsidP="00375C7A">
      <w:pPr>
        <w:pBdr>
          <w:top w:val="single" w:sz="4" w:space="1" w:color="auto"/>
        </w:pBdr>
        <w:spacing w:line="276" w:lineRule="auto"/>
        <w:rPr>
          <w:bCs/>
        </w:rPr>
      </w:pPr>
      <w:r w:rsidRPr="00375C7A">
        <w:rPr>
          <w:b/>
        </w:rPr>
        <w:t xml:space="preserve">16. </w:t>
      </w:r>
      <w:r w:rsidRPr="00375C7A">
        <w:rPr>
          <w:b/>
          <w:bCs/>
        </w:rPr>
        <w:t>Date of nasopharyngeal swab sample</w:t>
      </w:r>
      <w:r w:rsidRPr="00375C7A">
        <w:rPr>
          <w:b/>
        </w:rPr>
        <w:t xml:space="preserve"> </w:t>
      </w:r>
      <w:r w:rsidRPr="00375C7A">
        <w:t>(dd/mm/yyyy)</w:t>
      </w:r>
      <w:r w:rsidRPr="00375C7A">
        <w:rPr>
          <w:b/>
        </w:rPr>
        <w:t xml:space="preserve"> </w:t>
      </w:r>
      <w:r w:rsidRPr="00375C7A">
        <w:rPr>
          <w:b/>
        </w:rPr>
        <w:tab/>
      </w:r>
      <w:r w:rsidRPr="00375C7A">
        <w:rPr>
          <w:b/>
        </w:rPr>
        <w:tab/>
      </w:r>
      <w:r w:rsidRPr="00375C7A">
        <w:rPr>
          <w:b/>
        </w:rPr>
        <w:tab/>
      </w:r>
      <w:r w:rsidRPr="00442E78">
        <w:rPr>
          <w:bCs/>
        </w:rPr>
        <w:t xml:space="preserve">|__|__| / |__|__| / |__|__|__|__| </w:t>
      </w:r>
    </w:p>
    <w:p w14:paraId="5B563245" w14:textId="058E2EE0" w:rsidR="00375C7A" w:rsidRPr="00442E78" w:rsidRDefault="00375C7A" w:rsidP="00375C7A">
      <w:pPr>
        <w:pBdr>
          <w:top w:val="single" w:sz="4" w:space="1" w:color="auto"/>
        </w:pBdr>
        <w:spacing w:line="276" w:lineRule="auto"/>
        <w:rPr>
          <w:bCs/>
        </w:rPr>
      </w:pPr>
      <w:r w:rsidRPr="00375C7A">
        <w:rPr>
          <w:b/>
        </w:rPr>
        <w:t xml:space="preserve">17. </w:t>
      </w:r>
      <w:r w:rsidRPr="00375C7A">
        <w:rPr>
          <w:b/>
          <w:bCs/>
        </w:rPr>
        <w:t>Date of nasopharyngeal swab sample</w:t>
      </w:r>
      <w:r w:rsidRPr="00375C7A">
        <w:rPr>
          <w:b/>
        </w:rPr>
        <w:t xml:space="preserve"> </w:t>
      </w:r>
      <w:r w:rsidRPr="00375C7A">
        <w:t>(dd/mm/yyyy) discharge day</w:t>
      </w:r>
      <w:r w:rsidRPr="00375C7A">
        <w:rPr>
          <w:b/>
        </w:rPr>
        <w:tab/>
      </w:r>
      <w:r w:rsidR="005718B9">
        <w:rPr>
          <w:b/>
        </w:rPr>
        <w:tab/>
      </w:r>
      <w:r w:rsidRPr="00442E78">
        <w:rPr>
          <w:bCs/>
        </w:rPr>
        <w:t xml:space="preserve">|__|__| / |__|__| / |__|__|__|__|  </w:t>
      </w:r>
    </w:p>
    <w:p w14:paraId="14D36805" w14:textId="77777777" w:rsidR="00375C7A" w:rsidRPr="00375C7A" w:rsidRDefault="00375C7A" w:rsidP="00375C7A">
      <w:pPr>
        <w:pBdr>
          <w:top w:val="single" w:sz="4" w:space="1" w:color="auto"/>
        </w:pBdr>
        <w:spacing w:line="276" w:lineRule="auto"/>
        <w:rPr>
          <w:b/>
        </w:rPr>
      </w:pPr>
    </w:p>
    <w:p w14:paraId="0D4A5153" w14:textId="77777777" w:rsidR="00375C7A" w:rsidRPr="00375C7A" w:rsidRDefault="00375C7A" w:rsidP="00375C7A">
      <w:pPr>
        <w:pBdr>
          <w:top w:val="single" w:sz="4" w:space="1" w:color="auto"/>
        </w:pBdr>
        <w:spacing w:line="276" w:lineRule="auto"/>
        <w:jc w:val="center"/>
        <w:rPr>
          <w:b/>
        </w:rPr>
      </w:pPr>
      <w:r w:rsidRPr="00375C7A">
        <w:rPr>
          <w:b/>
        </w:rPr>
        <w:t>BLOOD SAMPLES</w:t>
      </w:r>
    </w:p>
    <w:p w14:paraId="771E97E5" w14:textId="77777777" w:rsidR="00375C7A" w:rsidRPr="00375C7A" w:rsidRDefault="00375C7A" w:rsidP="00375C7A">
      <w:pPr>
        <w:pBdr>
          <w:top w:val="single" w:sz="4" w:space="1" w:color="auto"/>
        </w:pBdr>
        <w:spacing w:line="276" w:lineRule="auto"/>
      </w:pPr>
    </w:p>
    <w:p w14:paraId="6BB6159D" w14:textId="77777777" w:rsidR="00375C7A" w:rsidRPr="00442E78" w:rsidRDefault="00375C7A" w:rsidP="00375C7A">
      <w:pPr>
        <w:pBdr>
          <w:top w:val="single" w:sz="4" w:space="1" w:color="auto"/>
        </w:pBdr>
        <w:spacing w:line="276" w:lineRule="auto"/>
        <w:rPr>
          <w:bCs/>
        </w:rPr>
      </w:pPr>
      <w:r w:rsidRPr="00375C7A">
        <w:rPr>
          <w:b/>
        </w:rPr>
        <w:t xml:space="preserve">18. </w:t>
      </w:r>
      <w:r w:rsidRPr="00375C7A">
        <w:rPr>
          <w:b/>
          <w:bCs/>
        </w:rPr>
        <w:t>Date of blood sample</w:t>
      </w:r>
      <w:r w:rsidRPr="00375C7A">
        <w:rPr>
          <w:b/>
        </w:rPr>
        <w:t xml:space="preserve"> </w:t>
      </w:r>
      <w:r w:rsidRPr="00375C7A">
        <w:t>(dd/mm/yyyy) admission day</w:t>
      </w:r>
      <w:r w:rsidRPr="00375C7A">
        <w:rPr>
          <w:b/>
        </w:rPr>
        <w:tab/>
      </w:r>
      <w:r w:rsidRPr="00375C7A">
        <w:tab/>
      </w:r>
      <w:r w:rsidRPr="00375C7A">
        <w:rPr>
          <w:b/>
        </w:rPr>
        <w:tab/>
      </w:r>
      <w:r w:rsidRPr="00375C7A">
        <w:rPr>
          <w:b/>
        </w:rPr>
        <w:tab/>
      </w:r>
      <w:r w:rsidRPr="00442E78">
        <w:rPr>
          <w:bCs/>
        </w:rPr>
        <w:t xml:space="preserve">|__|__| / |__|__| / |__|__|__|__|  </w:t>
      </w:r>
    </w:p>
    <w:p w14:paraId="436817C1" w14:textId="77777777" w:rsidR="00375C7A" w:rsidRPr="00442E78" w:rsidRDefault="00375C7A" w:rsidP="00375C7A">
      <w:pPr>
        <w:pBdr>
          <w:top w:val="single" w:sz="4" w:space="1" w:color="auto"/>
        </w:pBdr>
        <w:spacing w:line="276" w:lineRule="auto"/>
        <w:rPr>
          <w:bCs/>
        </w:rPr>
      </w:pPr>
      <w:r w:rsidRPr="00375C7A">
        <w:rPr>
          <w:b/>
        </w:rPr>
        <w:t xml:space="preserve">19. </w:t>
      </w:r>
      <w:r w:rsidRPr="00375C7A">
        <w:rPr>
          <w:b/>
          <w:bCs/>
        </w:rPr>
        <w:t>Date of blood sample</w:t>
      </w:r>
      <w:r w:rsidRPr="00375C7A">
        <w:rPr>
          <w:b/>
        </w:rPr>
        <w:t xml:space="preserve"> </w:t>
      </w:r>
      <w:r w:rsidRPr="00375C7A">
        <w:t>(dd/mm/yyyy)</w:t>
      </w:r>
      <w:r w:rsidRPr="00375C7A">
        <w:rPr>
          <w:b/>
        </w:rPr>
        <w:t xml:space="preserve"> </w:t>
      </w:r>
      <w:r w:rsidRPr="00375C7A">
        <w:rPr>
          <w:b/>
        </w:rPr>
        <w:tab/>
      </w:r>
      <w:r w:rsidRPr="00375C7A">
        <w:rPr>
          <w:b/>
        </w:rPr>
        <w:tab/>
      </w:r>
      <w:r w:rsidRPr="00375C7A">
        <w:rPr>
          <w:b/>
        </w:rPr>
        <w:tab/>
      </w:r>
      <w:r w:rsidRPr="00375C7A">
        <w:rPr>
          <w:b/>
        </w:rPr>
        <w:tab/>
      </w:r>
      <w:r w:rsidRPr="00375C7A">
        <w:rPr>
          <w:b/>
        </w:rPr>
        <w:tab/>
      </w:r>
      <w:r w:rsidRPr="00442E78">
        <w:rPr>
          <w:bCs/>
        </w:rPr>
        <w:t xml:space="preserve">|__|__| / |__|__| / |__|__|__|__| </w:t>
      </w:r>
    </w:p>
    <w:p w14:paraId="0B641A5D" w14:textId="77777777" w:rsidR="00375C7A" w:rsidRPr="00442E78" w:rsidRDefault="00375C7A" w:rsidP="00375C7A">
      <w:pPr>
        <w:pBdr>
          <w:top w:val="single" w:sz="4" w:space="1" w:color="auto"/>
        </w:pBdr>
        <w:spacing w:line="276" w:lineRule="auto"/>
        <w:rPr>
          <w:bCs/>
        </w:rPr>
      </w:pPr>
      <w:r w:rsidRPr="00375C7A">
        <w:rPr>
          <w:b/>
        </w:rPr>
        <w:t xml:space="preserve">20. </w:t>
      </w:r>
      <w:r w:rsidRPr="00375C7A">
        <w:rPr>
          <w:b/>
          <w:bCs/>
        </w:rPr>
        <w:t>Date of blood sample</w:t>
      </w:r>
      <w:r w:rsidRPr="00375C7A">
        <w:rPr>
          <w:b/>
        </w:rPr>
        <w:t xml:space="preserve"> </w:t>
      </w:r>
      <w:r w:rsidRPr="00375C7A">
        <w:t>(dd/mm/yyyy) discharge day</w:t>
      </w:r>
      <w:r w:rsidRPr="00375C7A">
        <w:rPr>
          <w:b/>
        </w:rPr>
        <w:tab/>
      </w:r>
      <w:r w:rsidRPr="00375C7A">
        <w:rPr>
          <w:b/>
        </w:rPr>
        <w:tab/>
      </w:r>
      <w:r w:rsidRPr="00375C7A">
        <w:rPr>
          <w:b/>
        </w:rPr>
        <w:tab/>
      </w:r>
      <w:r w:rsidRPr="00375C7A">
        <w:rPr>
          <w:b/>
        </w:rPr>
        <w:tab/>
      </w:r>
      <w:r w:rsidRPr="00442E78">
        <w:rPr>
          <w:bCs/>
        </w:rPr>
        <w:t xml:space="preserve">|__|__| / |__|__| / |__|__|__|__|  </w:t>
      </w:r>
    </w:p>
    <w:p w14:paraId="259E2A13" w14:textId="77777777" w:rsidR="00375C7A" w:rsidRPr="00375C7A" w:rsidRDefault="00375C7A" w:rsidP="00375C7A">
      <w:pPr>
        <w:rPr>
          <w:b/>
        </w:rPr>
      </w:pPr>
    </w:p>
    <w:p w14:paraId="3FC0EE86" w14:textId="77777777" w:rsidR="00375C7A" w:rsidRPr="00375C7A" w:rsidRDefault="00375C7A" w:rsidP="00375C7A">
      <w:pPr>
        <w:jc w:val="center"/>
        <w:rPr>
          <w:b/>
        </w:rPr>
      </w:pPr>
      <w:r w:rsidRPr="00375C7A">
        <w:rPr>
          <w:b/>
        </w:rPr>
        <w:t>PATIENT`S CHARACTERISTICS</w:t>
      </w:r>
    </w:p>
    <w:p w14:paraId="678B596D" w14:textId="77777777" w:rsidR="00375C7A" w:rsidRPr="00375C7A" w:rsidRDefault="00375C7A" w:rsidP="00375C7A"/>
    <w:p w14:paraId="67F2A720" w14:textId="77777777" w:rsidR="00375C7A" w:rsidRPr="00375C7A" w:rsidRDefault="00375C7A" w:rsidP="00375C7A">
      <w:r w:rsidRPr="00375C7A">
        <w:rPr>
          <w:b/>
        </w:rPr>
        <w:t xml:space="preserve">21. Chronic diseases: </w:t>
      </w:r>
    </w:p>
    <w:tbl>
      <w:tblPr>
        <w:tblW w:w="0" w:type="auto"/>
        <w:tblInd w:w="108" w:type="dxa"/>
        <w:tblLayout w:type="fixed"/>
        <w:tblLook w:val="0000" w:firstRow="0" w:lastRow="0" w:firstColumn="0" w:lastColumn="0" w:noHBand="0" w:noVBand="0"/>
      </w:tblPr>
      <w:tblGrid>
        <w:gridCol w:w="6402"/>
        <w:gridCol w:w="872"/>
      </w:tblGrid>
      <w:tr w:rsidR="00375C7A" w:rsidRPr="00375C7A" w14:paraId="34B65FAB" w14:textId="77777777" w:rsidTr="00375C7A">
        <w:trPr>
          <w:trHeight w:val="260"/>
        </w:trPr>
        <w:tc>
          <w:tcPr>
            <w:tcW w:w="6402" w:type="dxa"/>
            <w:shd w:val="clear" w:color="auto" w:fill="auto"/>
          </w:tcPr>
          <w:p w14:paraId="6302727B" w14:textId="77777777" w:rsidR="00375C7A" w:rsidRPr="00375C7A" w:rsidRDefault="00375C7A" w:rsidP="00375C7A">
            <w:pPr>
              <w:rPr>
                <w:rFonts w:ascii="Wingdings" w:hAnsi="Wingdings"/>
              </w:rPr>
            </w:pPr>
            <w:r w:rsidRPr="00375C7A">
              <w:t xml:space="preserve">     </w:t>
            </w:r>
            <w:r w:rsidRPr="00375C7A">
              <w:rPr>
                <w:lang w:val="en-GB"/>
              </w:rPr>
              <w:t>a</w:t>
            </w:r>
            <w:r w:rsidRPr="00375C7A">
              <w:t>. Cardio-vascular diseases</w:t>
            </w:r>
          </w:p>
        </w:tc>
        <w:tc>
          <w:tcPr>
            <w:tcW w:w="872" w:type="dxa"/>
            <w:shd w:val="clear" w:color="auto" w:fill="auto"/>
          </w:tcPr>
          <w:p w14:paraId="6FEEBC30" w14:textId="77777777" w:rsidR="00375C7A" w:rsidRPr="00375C7A" w:rsidRDefault="00375C7A" w:rsidP="00375C7A">
            <w:pPr>
              <w:ind w:right="-249"/>
              <w:rPr>
                <w:rFonts w:ascii="Wingdings" w:hAnsi="Wingdings"/>
              </w:rPr>
            </w:pPr>
            <w:r w:rsidRPr="00375C7A">
              <w:t>|__|</w:t>
            </w:r>
          </w:p>
        </w:tc>
      </w:tr>
      <w:tr w:rsidR="00375C7A" w:rsidRPr="00375C7A" w14:paraId="751AE896" w14:textId="77777777" w:rsidTr="00375C7A">
        <w:trPr>
          <w:trHeight w:val="260"/>
        </w:trPr>
        <w:tc>
          <w:tcPr>
            <w:tcW w:w="6402" w:type="dxa"/>
            <w:shd w:val="clear" w:color="auto" w:fill="auto"/>
          </w:tcPr>
          <w:p w14:paraId="5381020E" w14:textId="77777777" w:rsidR="00375C7A" w:rsidRPr="00375C7A" w:rsidRDefault="00375C7A" w:rsidP="00375C7A">
            <w:r w:rsidRPr="00375C7A">
              <w:t xml:space="preserve">     </w:t>
            </w:r>
            <w:r w:rsidRPr="00375C7A">
              <w:rPr>
                <w:lang w:val="en-GB"/>
              </w:rPr>
              <w:t>b</w:t>
            </w:r>
            <w:r w:rsidRPr="00375C7A">
              <w:t>. Chronic obstructive pulmonary disease</w:t>
            </w:r>
          </w:p>
        </w:tc>
        <w:tc>
          <w:tcPr>
            <w:tcW w:w="872" w:type="dxa"/>
            <w:shd w:val="clear" w:color="auto" w:fill="auto"/>
          </w:tcPr>
          <w:p w14:paraId="1738B23F" w14:textId="77777777" w:rsidR="00375C7A" w:rsidRPr="00375C7A" w:rsidRDefault="00375C7A" w:rsidP="00375C7A">
            <w:pPr>
              <w:ind w:right="-249"/>
              <w:rPr>
                <w:rFonts w:ascii="Wingdings" w:hAnsi="Wingdings"/>
              </w:rPr>
            </w:pPr>
            <w:r w:rsidRPr="00375C7A">
              <w:rPr>
                <w:lang w:val="en-GB"/>
              </w:rPr>
              <w:t>|__|</w:t>
            </w:r>
          </w:p>
        </w:tc>
      </w:tr>
      <w:tr w:rsidR="00375C7A" w:rsidRPr="00375C7A" w14:paraId="05E89263" w14:textId="77777777" w:rsidTr="00375C7A">
        <w:trPr>
          <w:trHeight w:val="260"/>
        </w:trPr>
        <w:tc>
          <w:tcPr>
            <w:tcW w:w="6402" w:type="dxa"/>
            <w:shd w:val="clear" w:color="auto" w:fill="auto"/>
          </w:tcPr>
          <w:p w14:paraId="2459AA32" w14:textId="77777777" w:rsidR="00375C7A" w:rsidRPr="00375C7A" w:rsidRDefault="00375C7A" w:rsidP="00375C7A">
            <w:pPr>
              <w:rPr>
                <w:rFonts w:ascii="Wingdings" w:hAnsi="Wingdings"/>
              </w:rPr>
            </w:pPr>
            <w:r w:rsidRPr="00375C7A">
              <w:t xml:space="preserve">     </w:t>
            </w:r>
            <w:r w:rsidRPr="00375C7A">
              <w:rPr>
                <w:lang w:val="en-GB"/>
              </w:rPr>
              <w:t>c</w:t>
            </w:r>
            <w:r w:rsidRPr="00375C7A">
              <w:t>. Bronchial asthma</w:t>
            </w:r>
          </w:p>
        </w:tc>
        <w:tc>
          <w:tcPr>
            <w:tcW w:w="872" w:type="dxa"/>
            <w:shd w:val="clear" w:color="auto" w:fill="auto"/>
          </w:tcPr>
          <w:p w14:paraId="1EE302A1" w14:textId="77777777" w:rsidR="00375C7A" w:rsidRPr="00375C7A" w:rsidRDefault="00375C7A" w:rsidP="00375C7A">
            <w:pPr>
              <w:ind w:right="-249"/>
              <w:rPr>
                <w:rFonts w:ascii="Wingdings" w:hAnsi="Wingdings"/>
              </w:rPr>
            </w:pPr>
            <w:r w:rsidRPr="00375C7A">
              <w:rPr>
                <w:lang w:val="en-GB"/>
              </w:rPr>
              <w:t>|__|</w:t>
            </w:r>
          </w:p>
        </w:tc>
      </w:tr>
      <w:tr w:rsidR="00375C7A" w:rsidRPr="00375C7A" w14:paraId="7BCC7562" w14:textId="77777777" w:rsidTr="00375C7A">
        <w:trPr>
          <w:trHeight w:val="260"/>
        </w:trPr>
        <w:tc>
          <w:tcPr>
            <w:tcW w:w="6402" w:type="dxa"/>
            <w:shd w:val="clear" w:color="auto" w:fill="auto"/>
          </w:tcPr>
          <w:p w14:paraId="4644A6C6" w14:textId="77777777" w:rsidR="00375C7A" w:rsidRPr="00375C7A" w:rsidRDefault="00375C7A" w:rsidP="00375C7A">
            <w:pPr>
              <w:rPr>
                <w:rFonts w:ascii="Wingdings" w:hAnsi="Wingdings"/>
              </w:rPr>
            </w:pPr>
            <w:r w:rsidRPr="00375C7A">
              <w:t xml:space="preserve">     </w:t>
            </w:r>
            <w:r w:rsidRPr="00375C7A">
              <w:rPr>
                <w:lang w:val="en-GB"/>
              </w:rPr>
              <w:t>d</w:t>
            </w:r>
            <w:r w:rsidRPr="00375C7A">
              <w:t>. Diabetes mellitus</w:t>
            </w:r>
          </w:p>
        </w:tc>
        <w:tc>
          <w:tcPr>
            <w:tcW w:w="872" w:type="dxa"/>
            <w:shd w:val="clear" w:color="auto" w:fill="auto"/>
          </w:tcPr>
          <w:p w14:paraId="52BEC65B" w14:textId="77777777" w:rsidR="00375C7A" w:rsidRPr="00375C7A" w:rsidRDefault="00375C7A" w:rsidP="00375C7A">
            <w:pPr>
              <w:ind w:right="-249"/>
              <w:rPr>
                <w:rFonts w:ascii="Wingdings" w:hAnsi="Wingdings"/>
              </w:rPr>
            </w:pPr>
            <w:r w:rsidRPr="00375C7A">
              <w:rPr>
                <w:lang w:val="en-GB"/>
              </w:rPr>
              <w:t>|__|</w:t>
            </w:r>
          </w:p>
        </w:tc>
      </w:tr>
      <w:tr w:rsidR="00375C7A" w:rsidRPr="00375C7A" w14:paraId="26029E4C" w14:textId="77777777" w:rsidTr="00375C7A">
        <w:trPr>
          <w:trHeight w:val="260"/>
        </w:trPr>
        <w:tc>
          <w:tcPr>
            <w:tcW w:w="6402" w:type="dxa"/>
            <w:shd w:val="clear" w:color="auto" w:fill="auto"/>
          </w:tcPr>
          <w:p w14:paraId="6DC0391E" w14:textId="77777777" w:rsidR="00375C7A" w:rsidRPr="00375C7A" w:rsidRDefault="00375C7A" w:rsidP="00375C7A">
            <w:pPr>
              <w:rPr>
                <w:rFonts w:ascii="Wingdings" w:hAnsi="Wingdings"/>
              </w:rPr>
            </w:pPr>
            <w:r w:rsidRPr="00375C7A">
              <w:t xml:space="preserve">     </w:t>
            </w:r>
            <w:r w:rsidRPr="00375C7A">
              <w:rPr>
                <w:lang w:val="en-GB"/>
              </w:rPr>
              <w:t>e</w:t>
            </w:r>
            <w:r w:rsidRPr="00375C7A">
              <w:t>. Immunodeficiency (except HIV)</w:t>
            </w:r>
          </w:p>
        </w:tc>
        <w:tc>
          <w:tcPr>
            <w:tcW w:w="872" w:type="dxa"/>
            <w:shd w:val="clear" w:color="auto" w:fill="auto"/>
          </w:tcPr>
          <w:p w14:paraId="025C324E" w14:textId="77777777" w:rsidR="00375C7A" w:rsidRPr="00375C7A" w:rsidRDefault="00375C7A" w:rsidP="00375C7A">
            <w:pPr>
              <w:ind w:right="-249"/>
              <w:rPr>
                <w:rFonts w:ascii="Wingdings" w:hAnsi="Wingdings"/>
              </w:rPr>
            </w:pPr>
            <w:r w:rsidRPr="00375C7A">
              <w:rPr>
                <w:lang w:val="en-GB"/>
              </w:rPr>
              <w:t>|__|</w:t>
            </w:r>
            <w:r w:rsidRPr="00375C7A">
              <w:t xml:space="preserve">                    </w:t>
            </w:r>
          </w:p>
        </w:tc>
      </w:tr>
      <w:tr w:rsidR="00375C7A" w:rsidRPr="00375C7A" w14:paraId="0E7BE592" w14:textId="77777777" w:rsidTr="00375C7A">
        <w:trPr>
          <w:trHeight w:val="260"/>
        </w:trPr>
        <w:tc>
          <w:tcPr>
            <w:tcW w:w="6402" w:type="dxa"/>
            <w:shd w:val="clear" w:color="auto" w:fill="auto"/>
          </w:tcPr>
          <w:p w14:paraId="4D7F99C9" w14:textId="77777777" w:rsidR="00375C7A" w:rsidRPr="00375C7A" w:rsidRDefault="00375C7A" w:rsidP="00375C7A">
            <w:pPr>
              <w:rPr>
                <w:rFonts w:ascii="Wingdings" w:hAnsi="Wingdings"/>
              </w:rPr>
            </w:pPr>
            <w:r w:rsidRPr="00375C7A">
              <w:t xml:space="preserve">     </w:t>
            </w:r>
            <w:r w:rsidRPr="00375C7A">
              <w:rPr>
                <w:lang w:val="en-GB"/>
              </w:rPr>
              <w:t>f</w:t>
            </w:r>
            <w:r w:rsidRPr="00375C7A">
              <w:t>. Kidney disease</w:t>
            </w:r>
          </w:p>
        </w:tc>
        <w:tc>
          <w:tcPr>
            <w:tcW w:w="872" w:type="dxa"/>
            <w:shd w:val="clear" w:color="auto" w:fill="auto"/>
          </w:tcPr>
          <w:p w14:paraId="333B8C23" w14:textId="77777777" w:rsidR="00375C7A" w:rsidRPr="00375C7A" w:rsidRDefault="00375C7A" w:rsidP="00375C7A">
            <w:pPr>
              <w:ind w:right="-249"/>
              <w:rPr>
                <w:rFonts w:ascii="Wingdings" w:hAnsi="Wingdings"/>
              </w:rPr>
            </w:pPr>
            <w:r w:rsidRPr="00375C7A">
              <w:rPr>
                <w:lang w:val="en-GB"/>
              </w:rPr>
              <w:t>|__|</w:t>
            </w:r>
          </w:p>
        </w:tc>
      </w:tr>
      <w:tr w:rsidR="00375C7A" w:rsidRPr="00375C7A" w14:paraId="1B1349D3" w14:textId="77777777" w:rsidTr="00375C7A">
        <w:trPr>
          <w:trHeight w:val="260"/>
        </w:trPr>
        <w:tc>
          <w:tcPr>
            <w:tcW w:w="6402" w:type="dxa"/>
            <w:shd w:val="clear" w:color="auto" w:fill="auto"/>
          </w:tcPr>
          <w:p w14:paraId="4222D720" w14:textId="77777777" w:rsidR="00375C7A" w:rsidRPr="00375C7A" w:rsidRDefault="00375C7A" w:rsidP="00375C7A">
            <w:pPr>
              <w:rPr>
                <w:rFonts w:ascii="Wingdings" w:hAnsi="Wingdings"/>
              </w:rPr>
            </w:pPr>
            <w:r w:rsidRPr="00375C7A">
              <w:rPr>
                <w:lang w:val="en-GB"/>
              </w:rPr>
              <w:t xml:space="preserve">     g. Rheumatological</w:t>
            </w:r>
            <w:r w:rsidRPr="00375C7A">
              <w:t>/Autoimmune diseases</w:t>
            </w:r>
          </w:p>
        </w:tc>
        <w:tc>
          <w:tcPr>
            <w:tcW w:w="872" w:type="dxa"/>
            <w:shd w:val="clear" w:color="auto" w:fill="auto"/>
          </w:tcPr>
          <w:p w14:paraId="4DA3AC3C" w14:textId="77777777" w:rsidR="00375C7A" w:rsidRPr="00375C7A" w:rsidRDefault="00375C7A" w:rsidP="00375C7A">
            <w:pPr>
              <w:ind w:right="-249"/>
              <w:rPr>
                <w:rFonts w:ascii="Wingdings" w:hAnsi="Wingdings"/>
              </w:rPr>
            </w:pPr>
            <w:r w:rsidRPr="00375C7A">
              <w:rPr>
                <w:lang w:val="en-GB"/>
              </w:rPr>
              <w:t>|__|</w:t>
            </w:r>
          </w:p>
        </w:tc>
      </w:tr>
      <w:tr w:rsidR="00375C7A" w:rsidRPr="00375C7A" w14:paraId="5A312B38" w14:textId="77777777" w:rsidTr="00375C7A">
        <w:trPr>
          <w:trHeight w:val="260"/>
        </w:trPr>
        <w:tc>
          <w:tcPr>
            <w:tcW w:w="6402" w:type="dxa"/>
            <w:shd w:val="clear" w:color="auto" w:fill="auto"/>
          </w:tcPr>
          <w:p w14:paraId="4E03D6D4" w14:textId="77777777" w:rsidR="00375C7A" w:rsidRPr="00375C7A" w:rsidRDefault="00375C7A" w:rsidP="00375C7A">
            <w:pPr>
              <w:rPr>
                <w:rFonts w:ascii="Wingdings" w:hAnsi="Wingdings"/>
              </w:rPr>
            </w:pPr>
            <w:r w:rsidRPr="00375C7A">
              <w:rPr>
                <w:lang w:val="en-GB"/>
              </w:rPr>
              <w:lastRenderedPageBreak/>
              <w:t xml:space="preserve">     h. </w:t>
            </w:r>
            <w:r w:rsidRPr="00375C7A">
              <w:t>Neurological diseases</w:t>
            </w:r>
          </w:p>
        </w:tc>
        <w:tc>
          <w:tcPr>
            <w:tcW w:w="872" w:type="dxa"/>
            <w:shd w:val="clear" w:color="auto" w:fill="auto"/>
          </w:tcPr>
          <w:p w14:paraId="04555F2E" w14:textId="77777777" w:rsidR="00375C7A" w:rsidRPr="00375C7A" w:rsidRDefault="00375C7A" w:rsidP="00375C7A">
            <w:pPr>
              <w:ind w:right="-249"/>
              <w:rPr>
                <w:rFonts w:ascii="Wingdings" w:hAnsi="Wingdings"/>
              </w:rPr>
            </w:pPr>
            <w:r w:rsidRPr="00375C7A">
              <w:rPr>
                <w:lang w:val="en-GB"/>
              </w:rPr>
              <w:t>|__|</w:t>
            </w:r>
          </w:p>
        </w:tc>
      </w:tr>
      <w:tr w:rsidR="00375C7A" w:rsidRPr="00375C7A" w14:paraId="60BB4EEE" w14:textId="77777777" w:rsidTr="00375C7A">
        <w:trPr>
          <w:trHeight w:val="260"/>
        </w:trPr>
        <w:tc>
          <w:tcPr>
            <w:tcW w:w="6402" w:type="dxa"/>
            <w:shd w:val="clear" w:color="auto" w:fill="auto"/>
          </w:tcPr>
          <w:p w14:paraId="2B53F66F" w14:textId="77777777" w:rsidR="00375C7A" w:rsidRPr="00375C7A" w:rsidRDefault="00375C7A" w:rsidP="00375C7A">
            <w:pPr>
              <w:rPr>
                <w:rFonts w:ascii="Wingdings" w:hAnsi="Wingdings"/>
              </w:rPr>
            </w:pPr>
            <w:r w:rsidRPr="00375C7A">
              <w:rPr>
                <w:lang w:val="en-GB"/>
              </w:rPr>
              <w:t xml:space="preserve">     i. Cirrhosis</w:t>
            </w:r>
            <w:r w:rsidRPr="00375C7A">
              <w:t>/liver disease</w:t>
            </w:r>
          </w:p>
        </w:tc>
        <w:tc>
          <w:tcPr>
            <w:tcW w:w="872" w:type="dxa"/>
            <w:shd w:val="clear" w:color="auto" w:fill="auto"/>
          </w:tcPr>
          <w:p w14:paraId="4F21DA2A" w14:textId="77777777" w:rsidR="00375C7A" w:rsidRPr="00375C7A" w:rsidRDefault="00375C7A" w:rsidP="00375C7A">
            <w:pPr>
              <w:ind w:right="-249"/>
              <w:rPr>
                <w:rFonts w:ascii="Wingdings" w:hAnsi="Wingdings"/>
              </w:rPr>
            </w:pPr>
            <w:r w:rsidRPr="00375C7A">
              <w:rPr>
                <w:lang w:val="en-GB"/>
              </w:rPr>
              <w:t>|__|</w:t>
            </w:r>
          </w:p>
        </w:tc>
      </w:tr>
      <w:tr w:rsidR="00375C7A" w:rsidRPr="00375C7A" w14:paraId="413AD81E" w14:textId="77777777" w:rsidTr="00375C7A">
        <w:trPr>
          <w:trHeight w:val="1349"/>
        </w:trPr>
        <w:tc>
          <w:tcPr>
            <w:tcW w:w="6402" w:type="dxa"/>
            <w:shd w:val="clear" w:color="auto" w:fill="auto"/>
          </w:tcPr>
          <w:p w14:paraId="0CCFD9DB" w14:textId="77777777" w:rsidR="00375C7A" w:rsidRPr="00375C7A" w:rsidRDefault="00375C7A" w:rsidP="00375C7A">
            <w:r w:rsidRPr="00375C7A">
              <w:t xml:space="preserve">     </w:t>
            </w:r>
            <w:r w:rsidRPr="00375C7A">
              <w:rPr>
                <w:lang w:val="en-GB"/>
              </w:rPr>
              <w:t>j</w:t>
            </w:r>
            <w:r w:rsidRPr="00375C7A">
              <w:t>. Cancer</w:t>
            </w:r>
          </w:p>
          <w:p w14:paraId="1CE54E6C" w14:textId="77777777" w:rsidR="00375C7A" w:rsidRPr="00375C7A" w:rsidRDefault="00375C7A" w:rsidP="00375C7A">
            <w:r w:rsidRPr="00375C7A">
              <w:t xml:space="preserve">     k. Obesity</w:t>
            </w:r>
          </w:p>
          <w:p w14:paraId="23FE50FD" w14:textId="77777777" w:rsidR="00375C7A" w:rsidRPr="00375C7A" w:rsidRDefault="00375C7A" w:rsidP="00375C7A">
            <w:r w:rsidRPr="00375C7A">
              <w:t xml:space="preserve">     l. Tuberculosis (active form)</w:t>
            </w:r>
          </w:p>
          <w:p w14:paraId="6E75C5E3" w14:textId="77777777" w:rsidR="00375C7A" w:rsidRPr="00375C7A" w:rsidRDefault="00375C7A" w:rsidP="00375C7A">
            <w:r w:rsidRPr="00375C7A">
              <w:t xml:space="preserve">     m. HIV</w:t>
            </w:r>
          </w:p>
          <w:p w14:paraId="37357659" w14:textId="77777777" w:rsidR="00375C7A" w:rsidRPr="00375C7A" w:rsidRDefault="00375C7A" w:rsidP="00375C7A">
            <w:r w:rsidRPr="00375C7A">
              <w:t xml:space="preserve">     p. Other </w:t>
            </w:r>
          </w:p>
          <w:p w14:paraId="190A08EE" w14:textId="77777777" w:rsidR="00375C7A" w:rsidRPr="00375C7A" w:rsidRDefault="00375C7A" w:rsidP="00375C7A">
            <w:pPr>
              <w:rPr>
                <w:rFonts w:ascii="Wingdings" w:hAnsi="Wingdings"/>
              </w:rPr>
            </w:pPr>
          </w:p>
        </w:tc>
        <w:tc>
          <w:tcPr>
            <w:tcW w:w="872" w:type="dxa"/>
            <w:shd w:val="clear" w:color="auto" w:fill="auto"/>
          </w:tcPr>
          <w:p w14:paraId="310548B6" w14:textId="77777777" w:rsidR="00375C7A" w:rsidRPr="00375C7A" w:rsidRDefault="00375C7A" w:rsidP="00375C7A">
            <w:pPr>
              <w:ind w:right="-249"/>
            </w:pPr>
            <w:r w:rsidRPr="00375C7A">
              <w:t>|__|</w:t>
            </w:r>
          </w:p>
          <w:p w14:paraId="32C33513" w14:textId="77777777" w:rsidR="00375C7A" w:rsidRPr="00375C7A" w:rsidRDefault="00375C7A" w:rsidP="00375C7A">
            <w:pPr>
              <w:ind w:right="-249"/>
            </w:pPr>
            <w:r w:rsidRPr="00375C7A">
              <w:t>|__|</w:t>
            </w:r>
          </w:p>
          <w:p w14:paraId="05D7F445" w14:textId="77777777" w:rsidR="00375C7A" w:rsidRPr="00375C7A" w:rsidRDefault="00375C7A" w:rsidP="00375C7A">
            <w:pPr>
              <w:ind w:right="-249"/>
            </w:pPr>
            <w:r w:rsidRPr="00375C7A">
              <w:t>|__|</w:t>
            </w:r>
          </w:p>
          <w:p w14:paraId="48C2B0CA" w14:textId="77777777" w:rsidR="00375C7A" w:rsidRPr="00375C7A" w:rsidRDefault="00375C7A" w:rsidP="00375C7A">
            <w:pPr>
              <w:ind w:right="-249"/>
            </w:pPr>
            <w:r w:rsidRPr="00375C7A">
              <w:t>|__|</w:t>
            </w:r>
          </w:p>
          <w:p w14:paraId="70051849" w14:textId="77777777" w:rsidR="00375C7A" w:rsidRPr="00375C7A" w:rsidRDefault="00375C7A" w:rsidP="00375C7A">
            <w:pPr>
              <w:ind w:right="-249"/>
            </w:pPr>
            <w:r w:rsidRPr="00375C7A">
              <w:t>|__|</w:t>
            </w:r>
          </w:p>
          <w:p w14:paraId="0E819FBC" w14:textId="77777777" w:rsidR="00375C7A" w:rsidRPr="00375C7A" w:rsidRDefault="00375C7A" w:rsidP="00375C7A">
            <w:pPr>
              <w:ind w:right="-249"/>
            </w:pPr>
          </w:p>
          <w:p w14:paraId="1DD9A27A" w14:textId="77777777" w:rsidR="00375C7A" w:rsidRPr="00375C7A" w:rsidRDefault="00375C7A" w:rsidP="00375C7A">
            <w:pPr>
              <w:ind w:right="-249"/>
              <w:rPr>
                <w:rFonts w:ascii="Wingdings" w:hAnsi="Wingdings"/>
              </w:rPr>
            </w:pPr>
          </w:p>
        </w:tc>
      </w:tr>
    </w:tbl>
    <w:p w14:paraId="0981E0C7" w14:textId="77777777" w:rsidR="00375C7A" w:rsidRPr="00375C7A" w:rsidRDefault="00375C7A" w:rsidP="00375C7A">
      <w:pPr>
        <w:spacing w:line="360" w:lineRule="auto"/>
        <w:rPr>
          <w:b/>
        </w:rPr>
      </w:pPr>
      <w:r w:rsidRPr="00375C7A">
        <w:rPr>
          <w:b/>
        </w:rPr>
        <w:t xml:space="preserve">22. Antiviral therapy </w:t>
      </w:r>
      <w:r w:rsidRPr="00375C7A">
        <w:rPr>
          <w:b/>
          <w:bCs/>
        </w:rPr>
        <w:t>before hospitalization (during symptoms onset)</w:t>
      </w:r>
    </w:p>
    <w:p w14:paraId="5698D8A8" w14:textId="77777777" w:rsidR="00375C7A" w:rsidRPr="00375C7A" w:rsidRDefault="00375C7A" w:rsidP="00375C7A">
      <w:pPr>
        <w:spacing w:line="360" w:lineRule="auto"/>
        <w:rPr>
          <w:bCs/>
        </w:rPr>
      </w:pPr>
      <w:r w:rsidRPr="00375C7A">
        <w:t xml:space="preserve">|__| </w:t>
      </w:r>
      <w:r w:rsidRPr="00375C7A">
        <w:rPr>
          <w:bCs/>
        </w:rPr>
        <w:t xml:space="preserve">Yes </w:t>
      </w:r>
      <w:r w:rsidRPr="00375C7A">
        <w:t>|__| No |__| Unknown</w:t>
      </w:r>
      <w:r w:rsidRPr="00375C7A">
        <w:rPr>
          <w:b/>
        </w:rPr>
        <w:tab/>
      </w:r>
      <w:r w:rsidRPr="00375C7A">
        <w:rPr>
          <w:b/>
        </w:rPr>
        <w:tab/>
      </w:r>
      <w:r w:rsidRPr="00375C7A">
        <w:rPr>
          <w:bCs/>
        </w:rPr>
        <w:t xml:space="preserve">Which drugs? ____________________________________________        </w:t>
      </w:r>
    </w:p>
    <w:p w14:paraId="40BC7EDF" w14:textId="77777777" w:rsidR="00375C7A" w:rsidRPr="00375C7A" w:rsidRDefault="00375C7A" w:rsidP="00375C7A">
      <w:pPr>
        <w:spacing w:line="360" w:lineRule="auto"/>
        <w:rPr>
          <w:b/>
        </w:rPr>
      </w:pPr>
      <w:r w:rsidRPr="00375C7A">
        <w:rPr>
          <w:b/>
          <w:bCs/>
        </w:rPr>
        <w:t>23. Antibiotics therapy before hospitalization (during symptoms onset)</w:t>
      </w:r>
    </w:p>
    <w:p w14:paraId="1A5C02B0" w14:textId="77777777" w:rsidR="00375C7A" w:rsidRPr="00375C7A" w:rsidRDefault="00375C7A" w:rsidP="00375C7A">
      <w:pPr>
        <w:spacing w:line="360" w:lineRule="auto"/>
        <w:rPr>
          <w:bCs/>
        </w:rPr>
      </w:pPr>
      <w:r w:rsidRPr="00375C7A">
        <w:t xml:space="preserve">|__| </w:t>
      </w:r>
      <w:r w:rsidRPr="00375C7A">
        <w:rPr>
          <w:bCs/>
        </w:rPr>
        <w:t xml:space="preserve">Yes </w:t>
      </w:r>
      <w:r w:rsidRPr="00375C7A">
        <w:t>|__| No |__| Unknown</w:t>
      </w:r>
      <w:r w:rsidRPr="00375C7A">
        <w:rPr>
          <w:b/>
        </w:rPr>
        <w:tab/>
      </w:r>
      <w:r w:rsidRPr="00375C7A">
        <w:rPr>
          <w:b/>
        </w:rPr>
        <w:tab/>
      </w:r>
      <w:r w:rsidRPr="00375C7A">
        <w:rPr>
          <w:bCs/>
        </w:rPr>
        <w:t xml:space="preserve">Which drugs? ____________________________________________        </w:t>
      </w:r>
    </w:p>
    <w:p w14:paraId="56DFCCF6" w14:textId="77777777" w:rsidR="00375C7A" w:rsidRPr="00375C7A" w:rsidRDefault="00375C7A" w:rsidP="00375C7A">
      <w:pPr>
        <w:spacing w:line="360" w:lineRule="auto"/>
        <w:rPr>
          <w:b/>
        </w:rPr>
      </w:pPr>
      <w:r w:rsidRPr="00375C7A">
        <w:rPr>
          <w:b/>
        </w:rPr>
        <w:t xml:space="preserve">24. Antiviral therapy </w:t>
      </w:r>
      <w:r w:rsidRPr="00375C7A">
        <w:rPr>
          <w:b/>
          <w:bCs/>
        </w:rPr>
        <w:t>during hospitalization</w:t>
      </w:r>
    </w:p>
    <w:p w14:paraId="62C6EDF4" w14:textId="77777777" w:rsidR="00375C7A" w:rsidRPr="00375C7A" w:rsidRDefault="00375C7A" w:rsidP="00375C7A">
      <w:pPr>
        <w:spacing w:line="360" w:lineRule="auto"/>
        <w:rPr>
          <w:bCs/>
        </w:rPr>
      </w:pPr>
      <w:r w:rsidRPr="00375C7A">
        <w:t xml:space="preserve">|__| </w:t>
      </w:r>
      <w:r w:rsidRPr="00375C7A">
        <w:rPr>
          <w:bCs/>
        </w:rPr>
        <w:t xml:space="preserve">Yes </w:t>
      </w:r>
      <w:r w:rsidRPr="00375C7A">
        <w:t>|__| No |__| Unknown</w:t>
      </w:r>
      <w:r w:rsidRPr="00375C7A">
        <w:rPr>
          <w:b/>
        </w:rPr>
        <w:tab/>
      </w:r>
      <w:r w:rsidRPr="00375C7A">
        <w:rPr>
          <w:b/>
        </w:rPr>
        <w:tab/>
      </w:r>
      <w:r w:rsidRPr="00375C7A">
        <w:rPr>
          <w:bCs/>
        </w:rPr>
        <w:t xml:space="preserve">Which drugs? ____________________________________________        </w:t>
      </w:r>
    </w:p>
    <w:p w14:paraId="04A39BC3" w14:textId="77777777" w:rsidR="00375C7A" w:rsidRPr="00375C7A" w:rsidRDefault="00375C7A" w:rsidP="00375C7A">
      <w:pPr>
        <w:spacing w:line="360" w:lineRule="auto"/>
        <w:rPr>
          <w:b/>
        </w:rPr>
      </w:pPr>
      <w:r w:rsidRPr="00375C7A">
        <w:rPr>
          <w:b/>
          <w:bCs/>
        </w:rPr>
        <w:t>25. Antibiotics therapy during hospitalization</w:t>
      </w:r>
    </w:p>
    <w:p w14:paraId="139B2D75" w14:textId="77777777" w:rsidR="00375C7A" w:rsidRPr="00375C7A" w:rsidRDefault="00375C7A" w:rsidP="00375C7A">
      <w:pPr>
        <w:spacing w:line="360" w:lineRule="auto"/>
        <w:rPr>
          <w:bCs/>
        </w:rPr>
      </w:pPr>
      <w:r w:rsidRPr="00375C7A">
        <w:t xml:space="preserve">|__| </w:t>
      </w:r>
      <w:r w:rsidRPr="00375C7A">
        <w:rPr>
          <w:bCs/>
        </w:rPr>
        <w:t xml:space="preserve">Yes </w:t>
      </w:r>
      <w:r w:rsidRPr="00375C7A">
        <w:t>|__| No |__| Unknown</w:t>
      </w:r>
      <w:r w:rsidRPr="00375C7A">
        <w:rPr>
          <w:b/>
        </w:rPr>
        <w:tab/>
      </w:r>
      <w:r w:rsidRPr="00375C7A">
        <w:rPr>
          <w:b/>
        </w:rPr>
        <w:tab/>
      </w:r>
      <w:r w:rsidRPr="00375C7A">
        <w:rPr>
          <w:bCs/>
        </w:rPr>
        <w:t xml:space="preserve">Which drugs? ____________________________________________        </w:t>
      </w:r>
    </w:p>
    <w:p w14:paraId="432B9C06" w14:textId="77777777" w:rsidR="00375C7A" w:rsidRPr="00375C7A" w:rsidRDefault="00375C7A" w:rsidP="00375C7A">
      <w:pPr>
        <w:spacing w:line="360" w:lineRule="auto"/>
        <w:rPr>
          <w:b/>
          <w:bCs/>
        </w:rPr>
      </w:pPr>
      <w:r w:rsidRPr="00375C7A">
        <w:rPr>
          <w:b/>
        </w:rPr>
        <w:t xml:space="preserve">26. Immunosuppressive therapy </w:t>
      </w:r>
      <w:r w:rsidRPr="00375C7A">
        <w:rPr>
          <w:b/>
          <w:bCs/>
        </w:rPr>
        <w:t>before hospitalization (during symptoms onset)</w:t>
      </w:r>
    </w:p>
    <w:p w14:paraId="7B0D66B2" w14:textId="77777777" w:rsidR="00375C7A" w:rsidRPr="00375C7A" w:rsidRDefault="00375C7A" w:rsidP="00375C7A">
      <w:pPr>
        <w:spacing w:line="360" w:lineRule="auto"/>
        <w:rPr>
          <w:bCs/>
        </w:rPr>
      </w:pPr>
      <w:r w:rsidRPr="00375C7A">
        <w:t xml:space="preserve">|__| </w:t>
      </w:r>
      <w:r w:rsidRPr="00375C7A">
        <w:rPr>
          <w:bCs/>
        </w:rPr>
        <w:t xml:space="preserve">Yes </w:t>
      </w:r>
      <w:r w:rsidRPr="00375C7A">
        <w:t>|__| No |__| Unknown</w:t>
      </w:r>
      <w:r w:rsidRPr="00375C7A">
        <w:rPr>
          <w:b/>
        </w:rPr>
        <w:tab/>
      </w:r>
      <w:r w:rsidRPr="00375C7A">
        <w:rPr>
          <w:b/>
        </w:rPr>
        <w:tab/>
      </w:r>
      <w:r w:rsidRPr="00375C7A">
        <w:rPr>
          <w:bCs/>
        </w:rPr>
        <w:t xml:space="preserve">Which drugs? ____________________________________________        </w:t>
      </w:r>
    </w:p>
    <w:p w14:paraId="4C29B6AC" w14:textId="77777777" w:rsidR="00375C7A" w:rsidRPr="00375C7A" w:rsidRDefault="00375C7A" w:rsidP="00375C7A">
      <w:pPr>
        <w:spacing w:line="360" w:lineRule="auto"/>
        <w:rPr>
          <w:b/>
          <w:bCs/>
        </w:rPr>
      </w:pPr>
      <w:r w:rsidRPr="00375C7A">
        <w:rPr>
          <w:b/>
        </w:rPr>
        <w:t xml:space="preserve">27. Immunosuppressive therapy </w:t>
      </w:r>
      <w:r w:rsidRPr="00375C7A">
        <w:rPr>
          <w:b/>
          <w:bCs/>
        </w:rPr>
        <w:t>during hospitalization (Tocilizumab)</w:t>
      </w:r>
    </w:p>
    <w:p w14:paraId="13CBE12D" w14:textId="3AA8F30F" w:rsidR="00375C7A" w:rsidRDefault="00375C7A" w:rsidP="00375C7A">
      <w:pPr>
        <w:spacing w:line="360" w:lineRule="auto"/>
        <w:rPr>
          <w:bCs/>
        </w:rPr>
      </w:pPr>
      <w:r w:rsidRPr="00375C7A">
        <w:t xml:space="preserve">|__| </w:t>
      </w:r>
      <w:r w:rsidRPr="00375C7A">
        <w:rPr>
          <w:bCs/>
        </w:rPr>
        <w:t xml:space="preserve">Yes </w:t>
      </w:r>
      <w:r w:rsidRPr="00375C7A">
        <w:t>|__| No |__| Unknown</w:t>
      </w:r>
      <w:r w:rsidRPr="00375C7A">
        <w:rPr>
          <w:b/>
        </w:rPr>
        <w:tab/>
      </w:r>
      <w:r w:rsidRPr="00375C7A">
        <w:rPr>
          <w:b/>
        </w:rPr>
        <w:tab/>
      </w:r>
      <w:r w:rsidRPr="00375C7A">
        <w:rPr>
          <w:bCs/>
        </w:rPr>
        <w:t xml:space="preserve">Which drugs? ____________________________________________        </w:t>
      </w:r>
    </w:p>
    <w:p w14:paraId="7E815C50" w14:textId="77777777" w:rsidR="005718B9" w:rsidRPr="00375C7A" w:rsidRDefault="005718B9" w:rsidP="00375C7A">
      <w:pPr>
        <w:spacing w:line="360" w:lineRule="auto"/>
        <w:rPr>
          <w:bCs/>
        </w:rPr>
      </w:pPr>
    </w:p>
    <w:p w14:paraId="0F8A30A0" w14:textId="77777777" w:rsidR="00375C7A" w:rsidRPr="00375C7A" w:rsidRDefault="00375C7A" w:rsidP="00375C7A">
      <w:pPr>
        <w:spacing w:line="276" w:lineRule="auto"/>
        <w:jc w:val="center"/>
        <w:rPr>
          <w:b/>
        </w:rPr>
      </w:pPr>
      <w:r w:rsidRPr="00375C7A">
        <w:rPr>
          <w:b/>
        </w:rPr>
        <w:t>CRITERIA OF SEVERITY</w:t>
      </w:r>
    </w:p>
    <w:p w14:paraId="43782338" w14:textId="77777777" w:rsidR="00375C7A" w:rsidRPr="00375C7A" w:rsidRDefault="00375C7A" w:rsidP="00375C7A">
      <w:pPr>
        <w:spacing w:line="276" w:lineRule="auto"/>
        <w:jc w:val="center"/>
        <w:rPr>
          <w:b/>
        </w:rPr>
      </w:pPr>
    </w:p>
    <w:p w14:paraId="72EC04EA" w14:textId="77777777" w:rsidR="00375C7A" w:rsidRPr="00375C7A" w:rsidRDefault="00375C7A" w:rsidP="00375C7A">
      <w:pPr>
        <w:spacing w:line="276" w:lineRule="auto"/>
      </w:pPr>
      <w:r w:rsidRPr="00375C7A">
        <w:rPr>
          <w:b/>
        </w:rPr>
        <w:t>28. Disorientation upon admission</w:t>
      </w:r>
      <w:r w:rsidRPr="00375C7A">
        <w:rPr>
          <w:b/>
        </w:rPr>
        <w:tab/>
      </w:r>
      <w:r w:rsidRPr="00375C7A">
        <w:rPr>
          <w:b/>
        </w:rPr>
        <w:tab/>
      </w:r>
      <w:r w:rsidRPr="00375C7A">
        <w:rPr>
          <w:b/>
        </w:rPr>
        <w:tab/>
      </w:r>
      <w:r w:rsidRPr="00375C7A">
        <w:t>|__| Yes</w:t>
      </w:r>
      <w:r w:rsidRPr="00375C7A">
        <w:rPr>
          <w:bCs/>
        </w:rPr>
        <w:t xml:space="preserve"> </w:t>
      </w:r>
      <w:r w:rsidRPr="00375C7A">
        <w:t xml:space="preserve">|__| No </w:t>
      </w:r>
    </w:p>
    <w:p w14:paraId="63858296" w14:textId="77777777" w:rsidR="00375C7A" w:rsidRPr="00375C7A" w:rsidRDefault="00375C7A" w:rsidP="00375C7A">
      <w:pPr>
        <w:spacing w:line="276" w:lineRule="auto"/>
        <w:rPr>
          <w:b/>
        </w:rPr>
      </w:pPr>
      <w:r w:rsidRPr="00375C7A">
        <w:rPr>
          <w:b/>
        </w:rPr>
        <w:t>29. Blood pressure</w:t>
      </w:r>
      <w:r w:rsidRPr="00375C7A">
        <w:rPr>
          <w:b/>
        </w:rPr>
        <w:tab/>
      </w:r>
      <w:r w:rsidRPr="00375C7A">
        <w:rPr>
          <w:b/>
        </w:rPr>
        <w:tab/>
      </w:r>
      <w:r w:rsidRPr="00375C7A">
        <w:rPr>
          <w:b/>
        </w:rPr>
        <w:tab/>
      </w:r>
      <w:r w:rsidRPr="00375C7A">
        <w:rPr>
          <w:b/>
        </w:rPr>
        <w:tab/>
      </w:r>
      <w:r w:rsidRPr="00375C7A">
        <w:rPr>
          <w:b/>
        </w:rPr>
        <w:tab/>
      </w:r>
      <w:r w:rsidRPr="00442E78">
        <w:rPr>
          <w:bCs/>
        </w:rPr>
        <w:t>|__|__|__|__| /__|__|__|__mmHg</w:t>
      </w:r>
      <w:r w:rsidRPr="00375C7A">
        <w:rPr>
          <w:bCs/>
        </w:rPr>
        <w:t xml:space="preserve">  </w:t>
      </w:r>
      <w:r w:rsidRPr="00375C7A">
        <w:rPr>
          <w:b/>
        </w:rPr>
        <w:t xml:space="preserve"> </w:t>
      </w:r>
    </w:p>
    <w:p w14:paraId="13EF9ED2" w14:textId="77777777" w:rsidR="00375C7A" w:rsidRPr="00375C7A" w:rsidRDefault="00375C7A" w:rsidP="00375C7A">
      <w:pPr>
        <w:spacing w:line="276" w:lineRule="auto"/>
        <w:rPr>
          <w:b/>
        </w:rPr>
      </w:pPr>
      <w:r w:rsidRPr="00375C7A">
        <w:rPr>
          <w:b/>
        </w:rPr>
        <w:t xml:space="preserve">30. Respiratory rate </w:t>
      </w:r>
      <w:r w:rsidRPr="00375C7A">
        <w:t>(breaths per min, bpm)</w:t>
      </w:r>
      <w:r w:rsidRPr="00375C7A">
        <w:rPr>
          <w:b/>
        </w:rPr>
        <w:t xml:space="preserve"> </w:t>
      </w:r>
      <w:r w:rsidRPr="00375C7A">
        <w:rPr>
          <w:b/>
        </w:rPr>
        <w:tab/>
      </w:r>
      <w:r w:rsidRPr="00375C7A">
        <w:rPr>
          <w:b/>
        </w:rPr>
        <w:tab/>
      </w:r>
      <w:r w:rsidRPr="00375C7A">
        <w:t>|__|__|</w:t>
      </w:r>
    </w:p>
    <w:p w14:paraId="6AAC8819" w14:textId="77777777" w:rsidR="00375C7A" w:rsidRPr="00375C7A" w:rsidRDefault="00375C7A" w:rsidP="00375C7A">
      <w:pPr>
        <w:spacing w:line="276" w:lineRule="auto"/>
      </w:pPr>
      <w:r w:rsidRPr="00375C7A">
        <w:rPr>
          <w:b/>
        </w:rPr>
        <w:t xml:space="preserve">31. </w:t>
      </w:r>
      <w:bookmarkStart w:id="5" w:name="OLE_LINK3"/>
      <w:r w:rsidRPr="00375C7A">
        <w:rPr>
          <w:b/>
        </w:rPr>
        <w:t>Oxygen support without m</w:t>
      </w:r>
      <w:r w:rsidRPr="00375C7A">
        <w:rPr>
          <w:b/>
          <w:bCs/>
        </w:rPr>
        <w:t>echanical ventilation</w:t>
      </w:r>
      <w:bookmarkEnd w:id="5"/>
      <w:r w:rsidRPr="00375C7A">
        <w:rPr>
          <w:b/>
        </w:rPr>
        <w:tab/>
      </w:r>
      <w:r w:rsidRPr="00375C7A">
        <w:t>|__| Yes</w:t>
      </w:r>
      <w:r w:rsidRPr="00375C7A">
        <w:rPr>
          <w:bCs/>
        </w:rPr>
        <w:t xml:space="preserve"> </w:t>
      </w:r>
      <w:r w:rsidRPr="00375C7A">
        <w:t>|__| No</w:t>
      </w:r>
    </w:p>
    <w:p w14:paraId="77EE0E8E" w14:textId="77777777" w:rsidR="00375C7A" w:rsidRPr="00375C7A" w:rsidRDefault="00375C7A" w:rsidP="00375C7A">
      <w:pPr>
        <w:spacing w:line="276" w:lineRule="auto"/>
        <w:rPr>
          <w:b/>
        </w:rPr>
      </w:pPr>
      <w:r w:rsidRPr="00375C7A">
        <w:rPr>
          <w:b/>
        </w:rPr>
        <w:t>32. Vasopressor support</w:t>
      </w:r>
      <w:r w:rsidRPr="00375C7A">
        <w:rPr>
          <w:b/>
        </w:rPr>
        <w:tab/>
      </w:r>
      <w:r w:rsidRPr="00375C7A">
        <w:rPr>
          <w:b/>
        </w:rPr>
        <w:tab/>
      </w:r>
      <w:r w:rsidRPr="00375C7A">
        <w:rPr>
          <w:b/>
        </w:rPr>
        <w:tab/>
      </w:r>
      <w:r w:rsidRPr="00375C7A">
        <w:rPr>
          <w:b/>
        </w:rPr>
        <w:tab/>
      </w:r>
      <w:r w:rsidRPr="00375C7A">
        <w:t>|__| Yes</w:t>
      </w:r>
      <w:r w:rsidRPr="00375C7A">
        <w:rPr>
          <w:bCs/>
        </w:rPr>
        <w:t xml:space="preserve"> </w:t>
      </w:r>
      <w:r w:rsidRPr="00375C7A">
        <w:t>|__| No</w:t>
      </w:r>
    </w:p>
    <w:p w14:paraId="02B157DF" w14:textId="77777777" w:rsidR="00375C7A" w:rsidRPr="00375C7A" w:rsidRDefault="00375C7A" w:rsidP="00375C7A">
      <w:pPr>
        <w:spacing w:line="276" w:lineRule="auto"/>
        <w:rPr>
          <w:bCs/>
        </w:rPr>
      </w:pPr>
      <w:r w:rsidRPr="00375C7A">
        <w:rPr>
          <w:b/>
          <w:bCs/>
        </w:rPr>
        <w:lastRenderedPageBreak/>
        <w:t xml:space="preserve">33. </w:t>
      </w:r>
      <w:r w:rsidRPr="00375C7A">
        <w:rPr>
          <w:b/>
        </w:rPr>
        <w:t>Oxygen support with m</w:t>
      </w:r>
      <w:r w:rsidRPr="00375C7A">
        <w:rPr>
          <w:b/>
          <w:bCs/>
        </w:rPr>
        <w:t>echanical ventilation</w:t>
      </w:r>
      <w:r w:rsidRPr="00375C7A">
        <w:rPr>
          <w:b/>
        </w:rPr>
        <w:tab/>
      </w:r>
      <w:r w:rsidRPr="00375C7A">
        <w:t>|__| Yes |__| No</w:t>
      </w:r>
    </w:p>
    <w:p w14:paraId="4950A51D" w14:textId="7D4255AF" w:rsidR="00375C7A" w:rsidRPr="005718B9" w:rsidRDefault="00375C7A" w:rsidP="00375C7A">
      <w:pPr>
        <w:spacing w:line="276" w:lineRule="auto"/>
        <w:rPr>
          <w:bCs/>
        </w:rPr>
      </w:pPr>
      <w:r w:rsidRPr="00375C7A">
        <w:rPr>
          <w:b/>
          <w:bCs/>
        </w:rPr>
        <w:t>34. Apnea</w:t>
      </w:r>
      <w:r w:rsidRPr="00375C7A">
        <w:rPr>
          <w:b/>
        </w:rPr>
        <w:tab/>
      </w:r>
      <w:r w:rsidRPr="00375C7A">
        <w:rPr>
          <w:b/>
        </w:rPr>
        <w:tab/>
      </w:r>
      <w:r w:rsidRPr="00375C7A">
        <w:rPr>
          <w:b/>
        </w:rPr>
        <w:tab/>
      </w:r>
      <w:r w:rsidRPr="00375C7A">
        <w:rPr>
          <w:b/>
        </w:rPr>
        <w:tab/>
      </w:r>
      <w:r w:rsidRPr="00375C7A">
        <w:rPr>
          <w:b/>
        </w:rPr>
        <w:tab/>
      </w:r>
      <w:r w:rsidRPr="00375C7A">
        <w:rPr>
          <w:b/>
        </w:rPr>
        <w:tab/>
      </w:r>
      <w:r w:rsidRPr="00375C7A">
        <w:t>|__| Yes |__| No</w:t>
      </w:r>
    </w:p>
    <w:p w14:paraId="35DB3788" w14:textId="77777777" w:rsidR="00375C7A" w:rsidRPr="00375C7A" w:rsidRDefault="00375C7A" w:rsidP="00375C7A">
      <w:pPr>
        <w:spacing w:line="276" w:lineRule="auto"/>
        <w:jc w:val="center"/>
        <w:rPr>
          <w:b/>
        </w:rPr>
      </w:pPr>
    </w:p>
    <w:p w14:paraId="35EE28C2" w14:textId="77777777" w:rsidR="00375C7A" w:rsidRPr="00375C7A" w:rsidRDefault="00375C7A" w:rsidP="00375C7A">
      <w:pPr>
        <w:spacing w:line="276" w:lineRule="auto"/>
        <w:jc w:val="center"/>
        <w:rPr>
          <w:b/>
        </w:rPr>
      </w:pPr>
      <w:r w:rsidRPr="00375C7A">
        <w:rPr>
          <w:b/>
        </w:rPr>
        <w:t>DISEASE OUTCOME</w:t>
      </w:r>
    </w:p>
    <w:p w14:paraId="0C9E77D7" w14:textId="77777777" w:rsidR="00375C7A" w:rsidRPr="00375C7A" w:rsidRDefault="00375C7A" w:rsidP="00375C7A">
      <w:pPr>
        <w:spacing w:line="276" w:lineRule="auto"/>
        <w:jc w:val="center"/>
        <w:rPr>
          <w:b/>
        </w:rPr>
      </w:pPr>
    </w:p>
    <w:p w14:paraId="36683305" w14:textId="06D00A2B" w:rsidR="00375C7A" w:rsidRPr="00375C7A" w:rsidRDefault="00375C7A" w:rsidP="00375C7A">
      <w:pPr>
        <w:spacing w:line="276" w:lineRule="auto"/>
        <w:rPr>
          <w:bCs/>
        </w:rPr>
      </w:pPr>
      <w:r w:rsidRPr="00375C7A">
        <w:rPr>
          <w:b/>
          <w:bCs/>
        </w:rPr>
        <w:t>35. ICU</w:t>
      </w:r>
      <w:r w:rsidRPr="00375C7A">
        <w:rPr>
          <w:bCs/>
        </w:rPr>
        <w:tab/>
      </w:r>
      <w:r w:rsidRPr="00375C7A">
        <w:rPr>
          <w:bCs/>
        </w:rPr>
        <w:tab/>
      </w:r>
      <w:r w:rsidRPr="00375C7A">
        <w:rPr>
          <w:b/>
        </w:rPr>
        <w:tab/>
      </w:r>
      <w:r w:rsidRPr="00375C7A">
        <w:rPr>
          <w:b/>
        </w:rPr>
        <w:tab/>
      </w:r>
      <w:r w:rsidRPr="00375C7A">
        <w:rPr>
          <w:b/>
        </w:rPr>
        <w:tab/>
      </w:r>
      <w:r w:rsidR="005718B9">
        <w:rPr>
          <w:b/>
        </w:rPr>
        <w:tab/>
      </w:r>
      <w:r w:rsidRPr="00375C7A">
        <w:tab/>
      </w:r>
      <w:r w:rsidRPr="00375C7A">
        <w:rPr>
          <w:bCs/>
        </w:rPr>
        <w:t>|__| Yes |__| No</w:t>
      </w:r>
    </w:p>
    <w:p w14:paraId="567A1E55" w14:textId="77777777" w:rsidR="00375C7A" w:rsidRPr="00375C7A" w:rsidRDefault="00375C7A" w:rsidP="00375C7A">
      <w:pPr>
        <w:spacing w:line="276" w:lineRule="auto"/>
      </w:pPr>
      <w:r w:rsidRPr="00375C7A">
        <w:rPr>
          <w:b/>
          <w:bCs/>
        </w:rPr>
        <w:t>36. Death during hospitalization</w:t>
      </w:r>
      <w:r w:rsidRPr="00375C7A">
        <w:tab/>
      </w:r>
      <w:r w:rsidRPr="00375C7A">
        <w:tab/>
      </w:r>
      <w:r w:rsidRPr="00375C7A">
        <w:tab/>
        <w:t>|__| Yes |__| No</w:t>
      </w:r>
    </w:p>
    <w:p w14:paraId="25EA82B7" w14:textId="77777777" w:rsidR="00375C7A" w:rsidRPr="00375C7A" w:rsidRDefault="00375C7A" w:rsidP="00375C7A">
      <w:pPr>
        <w:spacing w:line="276" w:lineRule="auto"/>
      </w:pPr>
      <w:r w:rsidRPr="00375C7A">
        <w:rPr>
          <w:b/>
          <w:bCs/>
        </w:rPr>
        <w:t xml:space="preserve">37. Date of death/discharge </w:t>
      </w:r>
      <w:r w:rsidRPr="00375C7A">
        <w:t>(dd/mm/yyyy)</w:t>
      </w:r>
      <w:r w:rsidRPr="00375C7A">
        <w:rPr>
          <w:b/>
          <w:bCs/>
        </w:rPr>
        <w:tab/>
      </w:r>
      <w:r w:rsidRPr="00375C7A">
        <w:tab/>
        <w:t>|__|__| / |__|__| / |__|__|__|__|</w:t>
      </w:r>
    </w:p>
    <w:p w14:paraId="30A5662C" w14:textId="77777777" w:rsidR="00375C7A" w:rsidRPr="00375C7A" w:rsidRDefault="00375C7A" w:rsidP="00375C7A">
      <w:pPr>
        <w:spacing w:line="276" w:lineRule="auto"/>
        <w:rPr>
          <w:b/>
          <w:bCs/>
        </w:rPr>
      </w:pPr>
      <w:r w:rsidRPr="00375C7A">
        <w:rPr>
          <w:b/>
        </w:rPr>
        <w:t>38. Transfer to another hospital</w:t>
      </w:r>
      <w:r w:rsidRPr="00375C7A">
        <w:tab/>
      </w:r>
      <w:r w:rsidRPr="00375C7A">
        <w:tab/>
      </w:r>
      <w:r w:rsidRPr="00375C7A">
        <w:tab/>
        <w:t>|__| Yes |__| No</w:t>
      </w:r>
    </w:p>
    <w:p w14:paraId="544D6898" w14:textId="77777777" w:rsidR="00375C7A" w:rsidRPr="00375C7A" w:rsidRDefault="00375C7A" w:rsidP="00375C7A">
      <w:pPr>
        <w:spacing w:line="276" w:lineRule="auto"/>
        <w:rPr>
          <w:b/>
          <w:bCs/>
        </w:rPr>
      </w:pPr>
      <w:r w:rsidRPr="00375C7A">
        <w:rPr>
          <w:b/>
          <w:bCs/>
        </w:rPr>
        <w:t xml:space="preserve">39. </w:t>
      </w:r>
      <w:r w:rsidRPr="00375C7A">
        <w:rPr>
          <w:b/>
          <w:bCs/>
          <w:lang w:val="en-GB"/>
        </w:rPr>
        <w:t>a</w:t>
      </w:r>
      <w:r w:rsidRPr="00375C7A">
        <w:rPr>
          <w:b/>
          <w:bCs/>
        </w:rPr>
        <w:t>. Main 1 diagnosis (ICD-10)</w:t>
      </w:r>
    </w:p>
    <w:p w14:paraId="38B27B6A" w14:textId="77777777" w:rsidR="00375C7A" w:rsidRPr="00375C7A" w:rsidRDefault="00375C7A" w:rsidP="00375C7A">
      <w:pPr>
        <w:spacing w:line="276" w:lineRule="auto"/>
      </w:pPr>
      <w:r w:rsidRPr="00375C7A">
        <w:tab/>
        <w:t>|__| / |__|__|__| . |__|__|</w:t>
      </w:r>
      <w:r w:rsidRPr="00375C7A">
        <w:tab/>
      </w:r>
    </w:p>
    <w:p w14:paraId="32357670" w14:textId="77777777" w:rsidR="00375C7A" w:rsidRPr="00375C7A" w:rsidRDefault="00375C7A" w:rsidP="00375C7A">
      <w:pPr>
        <w:spacing w:line="276" w:lineRule="auto"/>
      </w:pPr>
      <w:r w:rsidRPr="00375C7A">
        <w:rPr>
          <w:b/>
          <w:bCs/>
        </w:rPr>
        <w:t xml:space="preserve">      </w:t>
      </w:r>
      <w:r w:rsidRPr="00375C7A">
        <w:rPr>
          <w:b/>
          <w:bCs/>
          <w:lang w:val="en-GB"/>
        </w:rPr>
        <w:t>b</w:t>
      </w:r>
      <w:r w:rsidRPr="00375C7A">
        <w:rPr>
          <w:b/>
          <w:bCs/>
        </w:rPr>
        <w:t xml:space="preserve">. Secondary 2 diagnosis (Complications) </w:t>
      </w:r>
    </w:p>
    <w:p w14:paraId="480D73DD" w14:textId="77777777" w:rsidR="00375C7A" w:rsidRPr="00375C7A" w:rsidRDefault="00375C7A" w:rsidP="00375C7A">
      <w:pPr>
        <w:spacing w:line="276" w:lineRule="auto"/>
      </w:pPr>
      <w:r w:rsidRPr="00375C7A">
        <w:tab/>
        <w:t>|__| / |__|__|__| . |__|__|</w:t>
      </w:r>
      <w:r w:rsidRPr="00375C7A">
        <w:tab/>
      </w:r>
      <w:r w:rsidRPr="00375C7A">
        <w:tab/>
        <w:t>Pneumonias</w:t>
      </w:r>
      <w:r w:rsidRPr="00375C7A">
        <w:tab/>
      </w:r>
      <w:r w:rsidRPr="00375C7A">
        <w:rPr>
          <w:bCs/>
        </w:rPr>
        <w:t>|__| Yes |__| No</w:t>
      </w:r>
    </w:p>
    <w:p w14:paraId="4722C292" w14:textId="316C2CF8" w:rsidR="00375C7A" w:rsidRPr="00375C7A" w:rsidRDefault="00375C7A" w:rsidP="00375C7A">
      <w:pPr>
        <w:spacing w:line="276" w:lineRule="auto"/>
      </w:pPr>
      <w:r w:rsidRPr="00375C7A">
        <w:tab/>
      </w:r>
      <w:r w:rsidRPr="00375C7A">
        <w:tab/>
      </w:r>
      <w:r w:rsidRPr="00375C7A">
        <w:tab/>
      </w:r>
      <w:r w:rsidRPr="00375C7A">
        <w:tab/>
      </w:r>
      <w:r w:rsidR="005718B9">
        <w:tab/>
      </w:r>
      <w:r w:rsidRPr="00375C7A">
        <w:tab/>
        <w:t>Bronchitis</w:t>
      </w:r>
      <w:r w:rsidRPr="00375C7A">
        <w:tab/>
      </w:r>
      <w:r w:rsidRPr="00375C7A">
        <w:rPr>
          <w:bCs/>
        </w:rPr>
        <w:t>|__| Yes |__| No</w:t>
      </w:r>
    </w:p>
    <w:p w14:paraId="1B8F3A5A" w14:textId="77777777" w:rsidR="00375C7A" w:rsidRPr="00375C7A" w:rsidRDefault="00375C7A" w:rsidP="00375C7A">
      <w:pPr>
        <w:spacing w:line="276" w:lineRule="auto"/>
        <w:ind w:left="360"/>
      </w:pPr>
      <w:r w:rsidRPr="00375C7A">
        <w:rPr>
          <w:b/>
          <w:bCs/>
        </w:rPr>
        <w:t xml:space="preserve">c. Secondary 3 diagnosis (Chronic diseases) </w:t>
      </w:r>
    </w:p>
    <w:p w14:paraId="60BE43F8" w14:textId="77777777" w:rsidR="00375C7A" w:rsidRPr="00375C7A" w:rsidRDefault="00375C7A" w:rsidP="00375C7A">
      <w:pPr>
        <w:spacing w:line="276" w:lineRule="auto"/>
      </w:pPr>
      <w:r w:rsidRPr="00375C7A">
        <w:tab/>
        <w:t>|__| / |__|__|__| . |__|__|</w:t>
      </w:r>
    </w:p>
    <w:p w14:paraId="7E42608D" w14:textId="77777777" w:rsidR="00375C7A" w:rsidRPr="00375C7A" w:rsidRDefault="00375C7A" w:rsidP="00375C7A"/>
    <w:p w14:paraId="537EEACC" w14:textId="77777777" w:rsidR="00375C7A" w:rsidRPr="00375C7A" w:rsidRDefault="00375C7A" w:rsidP="00375C7A">
      <w:pPr>
        <w:jc w:val="center"/>
        <w:rPr>
          <w:b/>
        </w:rPr>
      </w:pPr>
      <w:r w:rsidRPr="00375C7A">
        <w:rPr>
          <w:b/>
        </w:rPr>
        <w:t>RESULTS OF PCR</w:t>
      </w:r>
    </w:p>
    <w:p w14:paraId="47026B67" w14:textId="77777777" w:rsidR="00375C7A" w:rsidRPr="00375C7A" w:rsidRDefault="00375C7A" w:rsidP="00375C7A">
      <w:pPr>
        <w:spacing w:line="360" w:lineRule="auto"/>
        <w:rPr>
          <w:b/>
        </w:rPr>
      </w:pPr>
    </w:p>
    <w:tbl>
      <w:tblPr>
        <w:tblStyle w:val="14"/>
        <w:tblW w:w="0" w:type="auto"/>
        <w:jc w:val="center"/>
        <w:tblLook w:val="04A0" w:firstRow="1" w:lastRow="0" w:firstColumn="1" w:lastColumn="0" w:noHBand="0" w:noVBand="1"/>
      </w:tblPr>
      <w:tblGrid>
        <w:gridCol w:w="2802"/>
        <w:gridCol w:w="2473"/>
        <w:gridCol w:w="2638"/>
        <w:gridCol w:w="2638"/>
      </w:tblGrid>
      <w:tr w:rsidR="00375C7A" w:rsidRPr="00375C7A" w14:paraId="33EF5027" w14:textId="77777777" w:rsidTr="00375C7A">
        <w:trPr>
          <w:jc w:val="center"/>
        </w:trPr>
        <w:tc>
          <w:tcPr>
            <w:tcW w:w="2802" w:type="dxa"/>
          </w:tcPr>
          <w:p w14:paraId="42DF1959" w14:textId="77777777" w:rsidR="00375C7A" w:rsidRPr="00375C7A" w:rsidRDefault="00375C7A" w:rsidP="00375C7A">
            <w:pPr>
              <w:spacing w:line="360" w:lineRule="auto"/>
              <w:jc w:val="center"/>
              <w:rPr>
                <w:b/>
              </w:rPr>
            </w:pPr>
            <w:r w:rsidRPr="00375C7A">
              <w:rPr>
                <w:b/>
              </w:rPr>
              <w:t>Result</w:t>
            </w:r>
          </w:p>
        </w:tc>
        <w:tc>
          <w:tcPr>
            <w:tcW w:w="2473" w:type="dxa"/>
          </w:tcPr>
          <w:p w14:paraId="03DC3763" w14:textId="77777777" w:rsidR="00375C7A" w:rsidRPr="00375C7A" w:rsidRDefault="00375C7A" w:rsidP="00375C7A">
            <w:pPr>
              <w:spacing w:line="360" w:lineRule="auto"/>
              <w:jc w:val="center"/>
              <w:rPr>
                <w:b/>
              </w:rPr>
            </w:pPr>
            <w:r w:rsidRPr="00375C7A">
              <w:rPr>
                <w:b/>
              </w:rPr>
              <w:t>Admission day</w:t>
            </w:r>
          </w:p>
        </w:tc>
        <w:tc>
          <w:tcPr>
            <w:tcW w:w="2638" w:type="dxa"/>
          </w:tcPr>
          <w:p w14:paraId="32459274" w14:textId="77777777" w:rsidR="00375C7A" w:rsidRPr="00375C7A" w:rsidRDefault="00375C7A" w:rsidP="00375C7A">
            <w:pPr>
              <w:spacing w:line="360" w:lineRule="auto"/>
              <w:jc w:val="center"/>
              <w:rPr>
                <w:b/>
              </w:rPr>
            </w:pPr>
            <w:r w:rsidRPr="00375C7A">
              <w:rPr>
                <w:b/>
              </w:rPr>
              <w:t>5 ± 2 day</w:t>
            </w:r>
          </w:p>
        </w:tc>
        <w:tc>
          <w:tcPr>
            <w:tcW w:w="2638" w:type="dxa"/>
          </w:tcPr>
          <w:p w14:paraId="32103C8A" w14:textId="77777777" w:rsidR="00375C7A" w:rsidRPr="00375C7A" w:rsidRDefault="00375C7A" w:rsidP="00375C7A">
            <w:pPr>
              <w:spacing w:line="360" w:lineRule="auto"/>
              <w:jc w:val="center"/>
              <w:rPr>
                <w:b/>
              </w:rPr>
            </w:pPr>
            <w:r w:rsidRPr="00375C7A">
              <w:rPr>
                <w:b/>
              </w:rPr>
              <w:t>Discharge day</w:t>
            </w:r>
          </w:p>
        </w:tc>
      </w:tr>
      <w:tr w:rsidR="00375C7A" w:rsidRPr="00375C7A" w14:paraId="70030E13" w14:textId="77777777" w:rsidTr="00375C7A">
        <w:trPr>
          <w:jc w:val="center"/>
        </w:trPr>
        <w:tc>
          <w:tcPr>
            <w:tcW w:w="2802" w:type="dxa"/>
          </w:tcPr>
          <w:p w14:paraId="7EE2AFB9" w14:textId="77777777" w:rsidR="00375C7A" w:rsidRPr="00375C7A" w:rsidRDefault="00375C7A" w:rsidP="00375C7A">
            <w:pPr>
              <w:spacing w:line="360" w:lineRule="auto"/>
              <w:jc w:val="center"/>
              <w:rPr>
                <w:b/>
              </w:rPr>
            </w:pPr>
            <w:r w:rsidRPr="00375C7A">
              <w:rPr>
                <w:b/>
              </w:rPr>
              <w:t>Positive COVID-19</w:t>
            </w:r>
          </w:p>
        </w:tc>
        <w:tc>
          <w:tcPr>
            <w:tcW w:w="2473" w:type="dxa"/>
          </w:tcPr>
          <w:p w14:paraId="597C37F4" w14:textId="77777777" w:rsidR="00375C7A" w:rsidRPr="00375C7A" w:rsidRDefault="00375C7A" w:rsidP="00375C7A">
            <w:pPr>
              <w:spacing w:line="360" w:lineRule="auto"/>
              <w:jc w:val="center"/>
              <w:rPr>
                <w:b/>
              </w:rPr>
            </w:pPr>
            <w:r w:rsidRPr="00375C7A">
              <w:t>|__|Yes|__|No</w:t>
            </w:r>
          </w:p>
        </w:tc>
        <w:tc>
          <w:tcPr>
            <w:tcW w:w="2638" w:type="dxa"/>
          </w:tcPr>
          <w:p w14:paraId="0D7B6D47" w14:textId="77777777" w:rsidR="00375C7A" w:rsidRPr="00375C7A" w:rsidRDefault="00375C7A" w:rsidP="00375C7A">
            <w:pPr>
              <w:spacing w:line="360" w:lineRule="auto"/>
              <w:jc w:val="center"/>
              <w:rPr>
                <w:b/>
              </w:rPr>
            </w:pPr>
            <w:r w:rsidRPr="00375C7A">
              <w:t>|__|Yes|__|No</w:t>
            </w:r>
          </w:p>
        </w:tc>
        <w:tc>
          <w:tcPr>
            <w:tcW w:w="2638" w:type="dxa"/>
          </w:tcPr>
          <w:p w14:paraId="531BE3E8" w14:textId="77777777" w:rsidR="00375C7A" w:rsidRPr="00375C7A" w:rsidRDefault="00375C7A" w:rsidP="00375C7A">
            <w:pPr>
              <w:spacing w:line="360" w:lineRule="auto"/>
              <w:jc w:val="center"/>
              <w:rPr>
                <w:b/>
              </w:rPr>
            </w:pPr>
            <w:r w:rsidRPr="00375C7A">
              <w:t>|__|Yes|__|No</w:t>
            </w:r>
          </w:p>
        </w:tc>
      </w:tr>
    </w:tbl>
    <w:p w14:paraId="403FE417" w14:textId="77777777" w:rsidR="00375C7A" w:rsidRPr="00375C7A" w:rsidRDefault="00375C7A" w:rsidP="00375C7A">
      <w:pPr>
        <w:spacing w:line="360" w:lineRule="auto"/>
      </w:pPr>
    </w:p>
    <w:p w14:paraId="6E1E237D" w14:textId="77777777" w:rsidR="00375C7A" w:rsidRPr="00375C7A" w:rsidRDefault="00375C7A" w:rsidP="00375C7A">
      <w:pPr>
        <w:spacing w:line="360" w:lineRule="auto"/>
      </w:pPr>
      <w:r w:rsidRPr="00375C7A">
        <w:rPr>
          <w:b/>
        </w:rPr>
        <w:t xml:space="preserve">     Another respiratory virus infection</w:t>
      </w:r>
      <w:r w:rsidRPr="00375C7A">
        <w:rPr>
          <w:b/>
        </w:rPr>
        <w:tab/>
      </w:r>
      <w:r w:rsidRPr="00375C7A">
        <w:t>|__|Yes* |__|No</w:t>
      </w:r>
    </w:p>
    <w:p w14:paraId="15446A26" w14:textId="77777777" w:rsidR="00375C7A" w:rsidRPr="00375C7A" w:rsidRDefault="00375C7A" w:rsidP="00375C7A">
      <w:pPr>
        <w:spacing w:line="360" w:lineRule="auto"/>
      </w:pPr>
      <w:r w:rsidRPr="00375C7A">
        <w:t>*if the answer was “Yes”, point the infection__________________________________________________________</w:t>
      </w:r>
    </w:p>
    <w:p w14:paraId="7CA8F178" w14:textId="77777777" w:rsidR="00375C7A" w:rsidRPr="00375C7A" w:rsidRDefault="00375C7A" w:rsidP="00375C7A">
      <w:pPr>
        <w:spacing w:line="360" w:lineRule="auto"/>
        <w:rPr>
          <w:b/>
        </w:rPr>
      </w:pPr>
    </w:p>
    <w:p w14:paraId="7844753D" w14:textId="77777777" w:rsidR="00375C7A" w:rsidRPr="00375C7A" w:rsidRDefault="00375C7A" w:rsidP="00375C7A">
      <w:pPr>
        <w:spacing w:line="360" w:lineRule="auto"/>
        <w:rPr>
          <w:b/>
        </w:rPr>
      </w:pPr>
    </w:p>
    <w:p w14:paraId="75528DAF" w14:textId="77777777" w:rsidR="00375C7A" w:rsidRPr="00375C7A" w:rsidRDefault="00375C7A" w:rsidP="00375C7A">
      <w:pPr>
        <w:spacing w:line="360" w:lineRule="auto"/>
        <w:rPr>
          <w:b/>
        </w:rPr>
      </w:pPr>
    </w:p>
    <w:p w14:paraId="7B125B65" w14:textId="77777777" w:rsidR="00375C7A" w:rsidRPr="00375C7A" w:rsidRDefault="00375C7A" w:rsidP="00375C7A">
      <w:pPr>
        <w:spacing w:line="360" w:lineRule="auto"/>
        <w:rPr>
          <w:b/>
        </w:rPr>
      </w:pPr>
    </w:p>
    <w:p w14:paraId="659481CD" w14:textId="53B6F87B" w:rsidR="00375C7A" w:rsidRPr="00375C7A" w:rsidRDefault="00375C7A" w:rsidP="00375C7A">
      <w:pPr>
        <w:spacing w:line="360" w:lineRule="auto"/>
        <w:rPr>
          <w:b/>
        </w:rPr>
        <w:sectPr w:rsidR="00375C7A" w:rsidRPr="00375C7A" w:rsidSect="00C737F6">
          <w:pgSz w:w="11906" w:h="16838"/>
          <w:pgMar w:top="1134" w:right="851" w:bottom="1134" w:left="284" w:header="709" w:footer="709" w:gutter="0"/>
          <w:cols w:space="708"/>
          <w:docGrid w:linePitch="360"/>
        </w:sectPr>
      </w:pPr>
    </w:p>
    <w:p w14:paraId="0D4486FE" w14:textId="77777777" w:rsidR="00375C7A" w:rsidRPr="00375C7A" w:rsidRDefault="00375C7A" w:rsidP="00C737F6">
      <w:pPr>
        <w:rPr>
          <w:b/>
        </w:rPr>
      </w:pPr>
    </w:p>
    <w:p w14:paraId="3BF71726" w14:textId="77777777" w:rsidR="0087311E" w:rsidRPr="00375C7A" w:rsidRDefault="0087311E" w:rsidP="0087311E">
      <w:pPr>
        <w:rPr>
          <w:rFonts w:ascii="Times New Roman" w:hAnsi="Times New Roman" w:cs="Times New Roman"/>
          <w:b/>
          <w:iCs/>
          <w:sz w:val="24"/>
          <w:szCs w:val="24"/>
        </w:rPr>
      </w:pPr>
      <w:r w:rsidRPr="00375C7A">
        <w:rPr>
          <w:rFonts w:ascii="Times New Roman" w:hAnsi="Times New Roman" w:cs="Times New Roman"/>
          <w:b/>
          <w:sz w:val="24"/>
          <w:szCs w:val="28"/>
        </w:rPr>
        <w:t>S</w:t>
      </w:r>
      <w:r>
        <w:rPr>
          <w:rFonts w:ascii="Times New Roman" w:hAnsi="Times New Roman" w:cs="Times New Roman"/>
          <w:b/>
          <w:sz w:val="24"/>
          <w:szCs w:val="28"/>
        </w:rPr>
        <w:t>upplementary</w:t>
      </w:r>
      <w:r w:rsidRPr="00375C7A">
        <w:rPr>
          <w:rFonts w:ascii="Times New Roman" w:hAnsi="Times New Roman" w:cs="Times New Roman"/>
          <w:b/>
          <w:iCs/>
          <w:sz w:val="24"/>
          <w:szCs w:val="24"/>
        </w:rPr>
        <w:t xml:space="preserve"> </w:t>
      </w:r>
      <w:r>
        <w:rPr>
          <w:rFonts w:ascii="Times New Roman" w:hAnsi="Times New Roman" w:cs="Times New Roman"/>
          <w:b/>
          <w:iCs/>
          <w:sz w:val="24"/>
          <w:szCs w:val="24"/>
        </w:rPr>
        <w:t>references</w:t>
      </w:r>
    </w:p>
    <w:p w14:paraId="61159A78" w14:textId="77777777" w:rsidR="006A67CE" w:rsidRPr="006A67CE" w:rsidRDefault="0087311E" w:rsidP="00511116">
      <w:pPr>
        <w:pStyle w:val="af3"/>
        <w:jc w:val="both"/>
        <w:rPr>
          <w:rFonts w:ascii="Times New Roman" w:hAnsi="Times New Roman" w:cs="Times New Roman"/>
        </w:rPr>
      </w:pPr>
      <w:r w:rsidRPr="00375C7A">
        <w:rPr>
          <w:bCs/>
        </w:rPr>
        <w:fldChar w:fldCharType="begin"/>
      </w:r>
      <w:r w:rsidR="006A67CE">
        <w:rPr>
          <w:bCs/>
        </w:rPr>
        <w:instrText xml:space="preserve"> ADDIN ZOTERO_BIBL {"uncited":[],"omitted":[],"custom":[]} CSL_BIBLIOGRAPHY </w:instrText>
      </w:r>
      <w:r w:rsidRPr="00375C7A">
        <w:rPr>
          <w:bCs/>
        </w:rPr>
        <w:fldChar w:fldCharType="separate"/>
      </w:r>
      <w:r w:rsidR="006A67CE" w:rsidRPr="006A67CE">
        <w:rPr>
          <w:rFonts w:ascii="Times New Roman" w:hAnsi="Times New Roman" w:cs="Times New Roman"/>
        </w:rPr>
        <w:t xml:space="preserve">1. </w:t>
      </w:r>
      <w:r w:rsidR="006A67CE" w:rsidRPr="006A67CE">
        <w:rPr>
          <w:rFonts w:ascii="Times New Roman" w:hAnsi="Times New Roman" w:cs="Times New Roman"/>
        </w:rPr>
        <w:tab/>
        <w:t xml:space="preserve">Long Q-X, Liu B-Z, Deng H-J, Wu G-C, Deng K, Chen Y-K, et al. Antibody responses to SARS-CoV-2 in patients with COVID-19. Nat Med. 2020 Jun;26(6):845–8. </w:t>
      </w:r>
    </w:p>
    <w:p w14:paraId="14D3E1CF"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 </w:t>
      </w:r>
      <w:r w:rsidRPr="006A67CE">
        <w:rPr>
          <w:rFonts w:ascii="Times New Roman" w:hAnsi="Times New Roman" w:cs="Times New Roman"/>
        </w:rPr>
        <w:tab/>
        <w:t xml:space="preserve">Zhao J, Yuan Q, Wang H, Liu W, Liao X, Su Y, et al. Antibody Responses to SARS-CoV-2 in Patients With Novel Coronavirus Disease 2019. Clin Infect Dis. 2020 Nov 19;71(16):2027–34. </w:t>
      </w:r>
    </w:p>
    <w:p w14:paraId="1F8A917A"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3. </w:t>
      </w:r>
      <w:r w:rsidRPr="006A67CE">
        <w:rPr>
          <w:rFonts w:ascii="Times New Roman" w:hAnsi="Times New Roman" w:cs="Times New Roman"/>
        </w:rPr>
        <w:tab/>
        <w:t>Lou B, Li T-D, Zheng S-F, Su Y-Y, Li Z-Y, Liu W, et al. Serology characteristics of SARS-CoV-2 infection since exposure and post symptom onset. Eur Respir J [Internet]. 2020 May 19 [cited 2021 Apr 21]; Available from: https://www.ncbi.nlm.nih.gov/pmc/articles/PMC7401320/</w:t>
      </w:r>
    </w:p>
    <w:p w14:paraId="21FBAF8B"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4. </w:t>
      </w:r>
      <w:r w:rsidRPr="006A67CE">
        <w:rPr>
          <w:rFonts w:ascii="Times New Roman" w:hAnsi="Times New Roman" w:cs="Times New Roman"/>
        </w:rPr>
        <w:tab/>
        <w:t>COVID-19 Clinical management: living guidance [Internet]. 2020 [cited 2021 Apr 20]. Available from: https://www.who.int/publications/i/item/WHO-2019-nCoV-clinical-2021-1</w:t>
      </w:r>
    </w:p>
    <w:p w14:paraId="4F8A2024"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5. </w:t>
      </w:r>
      <w:r w:rsidRPr="006A67CE">
        <w:rPr>
          <w:rFonts w:ascii="Times New Roman" w:hAnsi="Times New Roman" w:cs="Times New Roman"/>
        </w:rPr>
        <w:tab/>
        <w:t xml:space="preserve">Del Valle DM, Kim-Schulze S, Huang H-H, Beckmann ND, Nirenberg S, Wang B, et al. An inflammatory cytokine signature predicts COVID-19 severity and survival. Nat Med. 2020 Oct;26(10):1636–43. </w:t>
      </w:r>
    </w:p>
    <w:p w14:paraId="00FFEB36"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6. </w:t>
      </w:r>
      <w:r w:rsidRPr="006A67CE">
        <w:rPr>
          <w:rFonts w:ascii="Times New Roman" w:hAnsi="Times New Roman" w:cs="Times New Roman"/>
        </w:rPr>
        <w:tab/>
        <w:t xml:space="preserve">Satış H, Özger HS, Aysert Yıldız P, Hızel K, Gulbahar Ö, Erbaş G, et al. Prognostic value of interleukin-18 and its association with other inflammatory markers and disease severity in COVID-19. Cytokine. 2021 Jan;137:155302. </w:t>
      </w:r>
    </w:p>
    <w:p w14:paraId="74EF19D5"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7. </w:t>
      </w:r>
      <w:r w:rsidRPr="006A67CE">
        <w:rPr>
          <w:rFonts w:ascii="Times New Roman" w:hAnsi="Times New Roman" w:cs="Times New Roman"/>
        </w:rPr>
        <w:tab/>
        <w:t xml:space="preserve">Petrey AC, Qeadan F, Middleton EA, Pinchuk IV, Campbell RA, Beswick EJ. Cytokine release syndrome in COVID-19: Innate immune, vascular, and platelet pathogenic factors differ in severity of disease and sex. J Leukoc Biol. 2021;109(1):55–66. </w:t>
      </w:r>
    </w:p>
    <w:p w14:paraId="13BEE875"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8. </w:t>
      </w:r>
      <w:r w:rsidRPr="006A67CE">
        <w:rPr>
          <w:rFonts w:ascii="Times New Roman" w:hAnsi="Times New Roman" w:cs="Times New Roman"/>
        </w:rPr>
        <w:tab/>
        <w:t xml:space="preserve">Klein SL, Flanagan KL. Sex differences in immune responses. Nat Rev Immunol. 2016 Oct;16(10):626–38. </w:t>
      </w:r>
    </w:p>
    <w:p w14:paraId="1DE89B0F"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9. </w:t>
      </w:r>
      <w:r w:rsidRPr="006A67CE">
        <w:rPr>
          <w:rFonts w:ascii="Times New Roman" w:hAnsi="Times New Roman" w:cs="Times New Roman"/>
        </w:rPr>
        <w:tab/>
        <w:t>Capuano A, Rossi F, Paolisso G. Covid-19 Kills More Men Than Women: An Overview of Possible Reasons. Front Cardiovasc Med [Internet]. 2020 [cited 2021 Apr 21];7. Available from: https://www.frontiersin.org/articles/10.3389/fcvm.2020.00131/full</w:t>
      </w:r>
    </w:p>
    <w:p w14:paraId="7F915E05"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10. </w:t>
      </w:r>
      <w:r w:rsidRPr="006A67CE">
        <w:rPr>
          <w:rFonts w:ascii="Times New Roman" w:hAnsi="Times New Roman" w:cs="Times New Roman"/>
        </w:rPr>
        <w:tab/>
        <w:t xml:space="preserve">Angioni R, Sánchez-Rodríguez R, Munari F, Bertoldi N, Arcidiacono D, Cavinato S, et al. Age-severity matched cytokine profiling reveals specific signatures in Covid-19 patients. Cell Death Dis. 2020 Nov 6;11(11):1–12. </w:t>
      </w:r>
    </w:p>
    <w:p w14:paraId="06D0E247"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11. </w:t>
      </w:r>
      <w:r w:rsidRPr="006A67CE">
        <w:rPr>
          <w:rFonts w:ascii="Times New Roman" w:hAnsi="Times New Roman" w:cs="Times New Roman"/>
        </w:rPr>
        <w:tab/>
        <w:t xml:space="preserve">Arend WP. The balance between IL-1 and IL-1Ra in disease. Cytokine Growth Factor Rev. 2002 Aug 1;13(4):323–40. </w:t>
      </w:r>
    </w:p>
    <w:p w14:paraId="16856608"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12. </w:t>
      </w:r>
      <w:r w:rsidRPr="006A67CE">
        <w:rPr>
          <w:rFonts w:ascii="Times New Roman" w:hAnsi="Times New Roman" w:cs="Times New Roman"/>
        </w:rPr>
        <w:tab/>
        <w:t xml:space="preserve">Li M, Dong Y, Wang H, Guo W, Zhou H, Zhang Z, et al. Cardiovascular disease potentially contributes to the progression and poor prognosis of COVID-19. Nutr Metab Cardiovasc Dis. 2020 Jun 25;30(7):1061–7. </w:t>
      </w:r>
    </w:p>
    <w:p w14:paraId="16A80924"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13. </w:t>
      </w:r>
      <w:r w:rsidRPr="006A67CE">
        <w:rPr>
          <w:rFonts w:ascii="Times New Roman" w:hAnsi="Times New Roman" w:cs="Times New Roman"/>
        </w:rPr>
        <w:tab/>
        <w:t xml:space="preserve">Emami Ardestani M, Zaerin O. Role of Serum Interleukin 6, Albumin and C-Reactive Protein in COPD Patients. Tanaffos. 2015;14(2):134–40. </w:t>
      </w:r>
    </w:p>
    <w:p w14:paraId="47736173"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14. </w:t>
      </w:r>
      <w:r w:rsidRPr="006A67CE">
        <w:rPr>
          <w:rFonts w:ascii="Times New Roman" w:hAnsi="Times New Roman" w:cs="Times New Roman"/>
        </w:rPr>
        <w:tab/>
        <w:t xml:space="preserve">Stefano AD, Coccini T, Roda E, Signorini C, Balbi B, Brunetti G, et al. Blood MCP-1 levels are increased in chronic obstructive pulmonary disease patients with prevalent emphysema. Int J Chron Obstruct Pulmon Dis. 2018 May 24;13:1691–700. </w:t>
      </w:r>
    </w:p>
    <w:p w14:paraId="306E5B89"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15. </w:t>
      </w:r>
      <w:r w:rsidRPr="006A67CE">
        <w:rPr>
          <w:rFonts w:ascii="Times New Roman" w:hAnsi="Times New Roman" w:cs="Times New Roman"/>
        </w:rPr>
        <w:tab/>
        <w:t xml:space="preserve">Grumelli S, Corry DB, Song L-Z, Song L, Green L, Huh J, et al. An Immune Basis for Lung Parenchymal Destruction in Chronic Obstructive Pulmonary Disease and Emphysema. PLOS Med. 2004 Oct 19;1(1):e8. </w:t>
      </w:r>
    </w:p>
    <w:p w14:paraId="14BA59AF"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16. </w:t>
      </w:r>
      <w:r w:rsidRPr="006A67CE">
        <w:rPr>
          <w:rFonts w:ascii="Times New Roman" w:hAnsi="Times New Roman" w:cs="Times New Roman"/>
        </w:rPr>
        <w:tab/>
        <w:t xml:space="preserve">Dimitrova D, Youroukova V, Ivanova-Todorova E, Tumangelova-Yuzeir K, Velikova T. Serum levels of IL-5, IL-6, IL-8, IL-13 and IL-17A in pre-defined groups of adult patients with moderate and severe bronchial asthma. Respir Med. 2019 Jul 1;154:144–54. </w:t>
      </w:r>
    </w:p>
    <w:p w14:paraId="4C0F49EB"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lastRenderedPageBreak/>
        <w:t xml:space="preserve">17. </w:t>
      </w:r>
      <w:r w:rsidRPr="006A67CE">
        <w:rPr>
          <w:rFonts w:ascii="Times New Roman" w:hAnsi="Times New Roman" w:cs="Times New Roman"/>
        </w:rPr>
        <w:tab/>
        <w:t xml:space="preserve">Zheng M, Wang X, Guo H, Fan Y, Song Z, Lu Z, et al. The Cytokine Profiles and Immune Response Are Increased in COVID-19 Patients with Type 2 Diabetes Mellitus. J Diabetes Res. 2021 Jan 2;2021:e9526701. </w:t>
      </w:r>
    </w:p>
    <w:p w14:paraId="019390D2"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18. </w:t>
      </w:r>
      <w:r w:rsidRPr="006A67CE">
        <w:rPr>
          <w:rFonts w:ascii="Times New Roman" w:hAnsi="Times New Roman" w:cs="Times New Roman"/>
        </w:rPr>
        <w:tab/>
        <w:t xml:space="preserve">Kasayama S, Ohba Y, Oka T. Epidermal growth factor deficiency associated with diabetes mellitus. Proc Natl Acad Sci. 1989 Oct 1;86(19):7644–8. </w:t>
      </w:r>
    </w:p>
    <w:p w14:paraId="1527709A"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19. </w:t>
      </w:r>
      <w:r w:rsidRPr="006A67CE">
        <w:rPr>
          <w:rFonts w:ascii="Times New Roman" w:hAnsi="Times New Roman" w:cs="Times New Roman"/>
        </w:rPr>
        <w:tab/>
        <w:t xml:space="preserve">Hang H, Yuan S, Yang Q, Yuan D, Liu Q. Multiplex bead array assay of plasma cytokines in type 2 diabetes mellitus with diabetic retinopathy. Mol Vis. 2014 Aug 4;20:1137–45. </w:t>
      </w:r>
    </w:p>
    <w:p w14:paraId="25179326"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20. </w:t>
      </w:r>
      <w:r w:rsidRPr="006A67CE">
        <w:rPr>
          <w:rFonts w:ascii="Times New Roman" w:hAnsi="Times New Roman" w:cs="Times New Roman"/>
        </w:rPr>
        <w:tab/>
        <w:t xml:space="preserve">Ellingsen T, Buus A, Stengaard-Pedersen K. Plasma monocyte chemoattractant protein 1 is a marker for joint inflammation in rheumatoid arthritis. J Rheumatol. 2001 Jan 1;28(1):41–6. </w:t>
      </w:r>
    </w:p>
    <w:p w14:paraId="1474D78F"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21. </w:t>
      </w:r>
      <w:r w:rsidRPr="006A67CE">
        <w:rPr>
          <w:rFonts w:ascii="Times New Roman" w:hAnsi="Times New Roman" w:cs="Times New Roman"/>
        </w:rPr>
        <w:tab/>
        <w:t xml:space="preserve">Zoltan S, Gabriella S, Sandor S, Alisa EK. Chemokines in Rheumatic Diseases. Curr Drug Targets. 2005 Dec 31;7(1):91–102. </w:t>
      </w:r>
    </w:p>
    <w:p w14:paraId="617E545D"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22. </w:t>
      </w:r>
      <w:r w:rsidRPr="006A67CE">
        <w:rPr>
          <w:rFonts w:ascii="Times New Roman" w:hAnsi="Times New Roman" w:cs="Times New Roman"/>
        </w:rPr>
        <w:tab/>
        <w:t xml:space="preserve">Pezzano M. MIG in autoimmune thyroiditis: review of the literature. Clin Ter. 2019 Aug;170(4):e295–300. </w:t>
      </w:r>
    </w:p>
    <w:p w14:paraId="467759F3"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23. </w:t>
      </w:r>
      <w:r w:rsidRPr="006A67CE">
        <w:rPr>
          <w:rFonts w:ascii="Times New Roman" w:hAnsi="Times New Roman" w:cs="Times New Roman"/>
        </w:rPr>
        <w:tab/>
        <w:t xml:space="preserve">Lim S, Shin SM, Nam GE, Jung CH, Koo BK. Proper Management of People with Obesity during the COVID-19 Pandemic. J Obes Metab Syndr. 2020 Jun 30;29(2):84–98. </w:t>
      </w:r>
    </w:p>
    <w:p w14:paraId="6BC29F7C"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24. </w:t>
      </w:r>
      <w:r w:rsidRPr="006A67CE">
        <w:rPr>
          <w:rFonts w:ascii="Times New Roman" w:hAnsi="Times New Roman" w:cs="Times New Roman"/>
        </w:rPr>
        <w:tab/>
        <w:t xml:space="preserve">Schmidt FM, Weschenfelder J, Sander C, Minkwitz J, Thormann J, Chittka T, et al. Inflammatory Cytokines in General and Central Obesity and Modulating Effects of Physical Activity. PLOS ONE. 2015 Mar 17;10(3):e0121971. </w:t>
      </w:r>
    </w:p>
    <w:p w14:paraId="246D3A94"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25. </w:t>
      </w:r>
      <w:r w:rsidRPr="006A67CE">
        <w:rPr>
          <w:rFonts w:ascii="Times New Roman" w:hAnsi="Times New Roman" w:cs="Times New Roman"/>
        </w:rPr>
        <w:tab/>
        <w:t xml:space="preserve">Hueso L, Ortega R, Selles F, Wu-Xiong NY, Ortega J, Civera M, et al. Upregulation of angiostatic chemokines IP-10/CXCL10 and I-TAC/CXCL11 in human obesity and their implication for adipose tissue angiogenesis. Int J Obes. 2018 Aug;42(8):1406–17. </w:t>
      </w:r>
    </w:p>
    <w:p w14:paraId="0D6D1437" w14:textId="77777777" w:rsidR="006A67CE" w:rsidRPr="006A67CE" w:rsidRDefault="006A67CE" w:rsidP="006A67CE">
      <w:pPr>
        <w:pStyle w:val="af3"/>
        <w:rPr>
          <w:rFonts w:ascii="Times New Roman" w:hAnsi="Times New Roman" w:cs="Times New Roman"/>
        </w:rPr>
      </w:pPr>
      <w:r w:rsidRPr="006A67CE">
        <w:rPr>
          <w:rFonts w:ascii="Times New Roman" w:hAnsi="Times New Roman" w:cs="Times New Roman"/>
        </w:rPr>
        <w:t xml:space="preserve">26. </w:t>
      </w:r>
      <w:r w:rsidRPr="006A67CE">
        <w:rPr>
          <w:rFonts w:ascii="Times New Roman" w:hAnsi="Times New Roman" w:cs="Times New Roman"/>
        </w:rPr>
        <w:tab/>
        <w:t xml:space="preserve">Xue W, Fan Z, Li L, Lu J, Zhai Y, Zhao J. The chemokine system and its role in obesity. J Cell Physiol. 2019;234(4):3336–46. </w:t>
      </w:r>
    </w:p>
    <w:p w14:paraId="469F7F01" w14:textId="37D4F56A" w:rsidR="0087311E" w:rsidRDefault="0087311E" w:rsidP="0087311E">
      <w:pPr>
        <w:spacing w:line="240" w:lineRule="auto"/>
        <w:jc w:val="both"/>
        <w:rPr>
          <w:rFonts w:ascii="Times New Roman" w:hAnsi="Times New Roman" w:cs="Times New Roman"/>
          <w:bCs/>
        </w:rPr>
      </w:pPr>
      <w:r w:rsidRPr="00375C7A">
        <w:rPr>
          <w:rFonts w:ascii="Times New Roman" w:hAnsi="Times New Roman" w:cs="Times New Roman"/>
          <w:bCs/>
        </w:rPr>
        <w:fldChar w:fldCharType="end"/>
      </w:r>
    </w:p>
    <w:p w14:paraId="6FD81809" w14:textId="77777777" w:rsidR="0087311E" w:rsidRDefault="0087311E" w:rsidP="0087311E">
      <w:pPr>
        <w:spacing w:line="240" w:lineRule="auto"/>
        <w:jc w:val="both"/>
        <w:rPr>
          <w:rFonts w:ascii="Times New Roman" w:hAnsi="Times New Roman" w:cs="Times New Roman"/>
          <w:bCs/>
        </w:rPr>
      </w:pPr>
    </w:p>
    <w:p w14:paraId="501F06D5" w14:textId="77777777" w:rsidR="0087311E" w:rsidRDefault="0087311E" w:rsidP="0087311E">
      <w:pPr>
        <w:spacing w:line="240" w:lineRule="auto"/>
        <w:jc w:val="both"/>
        <w:rPr>
          <w:rFonts w:ascii="Times New Roman" w:hAnsi="Times New Roman" w:cs="Times New Roman"/>
          <w:bCs/>
        </w:rPr>
      </w:pPr>
    </w:p>
    <w:p w14:paraId="5155F311" w14:textId="77777777" w:rsidR="0087311E" w:rsidRDefault="0087311E" w:rsidP="0087311E">
      <w:pPr>
        <w:spacing w:line="240" w:lineRule="auto"/>
        <w:jc w:val="both"/>
        <w:rPr>
          <w:rFonts w:ascii="Times New Roman" w:hAnsi="Times New Roman" w:cs="Times New Roman"/>
          <w:bCs/>
        </w:rPr>
      </w:pPr>
    </w:p>
    <w:p w14:paraId="695ABD46" w14:textId="77777777" w:rsidR="0087311E" w:rsidRDefault="0087311E" w:rsidP="0087311E">
      <w:pPr>
        <w:spacing w:line="240" w:lineRule="auto"/>
        <w:jc w:val="both"/>
        <w:rPr>
          <w:rFonts w:ascii="Times New Roman" w:hAnsi="Times New Roman" w:cs="Times New Roman"/>
          <w:bCs/>
        </w:rPr>
      </w:pPr>
    </w:p>
    <w:p w14:paraId="19278FFD" w14:textId="23C22A90" w:rsidR="00375C7A" w:rsidRPr="00442E78" w:rsidRDefault="00375C7A" w:rsidP="00C737F6">
      <w:pPr>
        <w:spacing w:line="240" w:lineRule="auto"/>
        <w:jc w:val="both"/>
        <w:rPr>
          <w:rFonts w:ascii="Times New Roman" w:hAnsi="Times New Roman" w:cs="Times New Roman"/>
          <w:bCs/>
        </w:rPr>
      </w:pPr>
    </w:p>
    <w:sectPr w:rsidR="00375C7A" w:rsidRPr="00442E78" w:rsidSect="00C737F6">
      <w:footerReference w:type="default" r:id="rId15"/>
      <w:pgSz w:w="11906" w:h="16838"/>
      <w:pgMar w:top="426"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CE7BA" w14:textId="77777777" w:rsidR="00A443E6" w:rsidRDefault="00A443E6" w:rsidP="00F07AFF">
      <w:pPr>
        <w:spacing w:after="0" w:line="240" w:lineRule="auto"/>
      </w:pPr>
      <w:r>
        <w:separator/>
      </w:r>
    </w:p>
  </w:endnote>
  <w:endnote w:type="continuationSeparator" w:id="0">
    <w:p w14:paraId="4C62B706" w14:textId="77777777" w:rsidR="00A443E6" w:rsidRDefault="00A443E6" w:rsidP="00F07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dvOT07517017">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dvAgfaRS">
    <w:altName w:val="Cambria"/>
    <w:panose1 w:val="00000000000000000000"/>
    <w:charset w:val="00"/>
    <w:family w:val="roman"/>
    <w:notTrueType/>
    <w:pitch w:val="default"/>
  </w:font>
  <w:font w:name="AdvAgfaRSI">
    <w:altName w:val="Cambria"/>
    <w:panose1 w:val="00000000000000000000"/>
    <w:charset w:val="00"/>
    <w:family w:val="roman"/>
    <w:notTrueType/>
    <w:pitch w:val="default"/>
  </w:font>
  <w:font w:name="AdvAgfaRS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886343"/>
      <w:docPartObj>
        <w:docPartGallery w:val="Page Numbers (Bottom of Page)"/>
        <w:docPartUnique/>
      </w:docPartObj>
    </w:sdtPr>
    <w:sdtEndPr/>
    <w:sdtContent>
      <w:p w14:paraId="0D713001" w14:textId="720F8268" w:rsidR="00190CB8" w:rsidRDefault="00190CB8">
        <w:pPr>
          <w:pStyle w:val="ab"/>
          <w:jc w:val="right"/>
        </w:pPr>
        <w:r>
          <w:fldChar w:fldCharType="begin"/>
        </w:r>
        <w:r>
          <w:instrText>PAGE   \* MERGEFORMAT</w:instrText>
        </w:r>
        <w:r>
          <w:fldChar w:fldCharType="separate"/>
        </w:r>
        <w:r w:rsidR="00891F91" w:rsidRPr="00891F91">
          <w:rPr>
            <w:noProof/>
            <w:lang w:val="ru-RU"/>
          </w:rPr>
          <w:t>20</w:t>
        </w:r>
        <w:r>
          <w:fldChar w:fldCharType="end"/>
        </w:r>
      </w:p>
    </w:sdtContent>
  </w:sdt>
  <w:p w14:paraId="69550F17" w14:textId="77777777" w:rsidR="00190CB8" w:rsidRDefault="00190CB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0242C" w14:textId="77777777" w:rsidR="00A443E6" w:rsidRDefault="00A443E6" w:rsidP="00F07AFF">
      <w:pPr>
        <w:spacing w:after="0" w:line="240" w:lineRule="auto"/>
      </w:pPr>
      <w:r>
        <w:separator/>
      </w:r>
    </w:p>
  </w:footnote>
  <w:footnote w:type="continuationSeparator" w:id="0">
    <w:p w14:paraId="5637EFE1" w14:textId="77777777" w:rsidR="00A443E6" w:rsidRDefault="00A443E6" w:rsidP="00F07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E0C"/>
    <w:multiLevelType w:val="hybridMultilevel"/>
    <w:tmpl w:val="0E088EDA"/>
    <w:lvl w:ilvl="0" w:tplc="819224E2">
      <w:start w:val="1"/>
      <w:numFmt w:val="decimal"/>
      <w:lvlText w:val="%1."/>
      <w:lvlJc w:val="left"/>
      <w:pPr>
        <w:ind w:left="720" w:hanging="360"/>
      </w:pPr>
      <w:rPr>
        <w:rFonts w:ascii="Helvetica" w:hAnsi="Helvetica" w:hint="default"/>
        <w:color w:val="202020"/>
        <w:sz w:val="20"/>
      </w:rPr>
    </w:lvl>
    <w:lvl w:ilvl="1" w:tplc="58869C3A" w:tentative="1">
      <w:start w:val="1"/>
      <w:numFmt w:val="lowerLetter"/>
      <w:lvlText w:val="%2."/>
      <w:lvlJc w:val="left"/>
      <w:pPr>
        <w:ind w:left="1440" w:hanging="360"/>
      </w:pPr>
    </w:lvl>
    <w:lvl w:ilvl="2" w:tplc="0B96F176" w:tentative="1">
      <w:start w:val="1"/>
      <w:numFmt w:val="lowerRoman"/>
      <w:lvlText w:val="%3."/>
      <w:lvlJc w:val="right"/>
      <w:pPr>
        <w:ind w:left="2160" w:hanging="180"/>
      </w:pPr>
    </w:lvl>
    <w:lvl w:ilvl="3" w:tplc="DAB4AF60" w:tentative="1">
      <w:start w:val="1"/>
      <w:numFmt w:val="decimal"/>
      <w:lvlText w:val="%4."/>
      <w:lvlJc w:val="left"/>
      <w:pPr>
        <w:ind w:left="2880" w:hanging="360"/>
      </w:pPr>
    </w:lvl>
    <w:lvl w:ilvl="4" w:tplc="7264DC3C" w:tentative="1">
      <w:start w:val="1"/>
      <w:numFmt w:val="lowerLetter"/>
      <w:lvlText w:val="%5."/>
      <w:lvlJc w:val="left"/>
      <w:pPr>
        <w:ind w:left="3600" w:hanging="360"/>
      </w:pPr>
    </w:lvl>
    <w:lvl w:ilvl="5" w:tplc="9566F7AC" w:tentative="1">
      <w:start w:val="1"/>
      <w:numFmt w:val="lowerRoman"/>
      <w:lvlText w:val="%6."/>
      <w:lvlJc w:val="right"/>
      <w:pPr>
        <w:ind w:left="4320" w:hanging="180"/>
      </w:pPr>
    </w:lvl>
    <w:lvl w:ilvl="6" w:tplc="11B6F4D8" w:tentative="1">
      <w:start w:val="1"/>
      <w:numFmt w:val="decimal"/>
      <w:lvlText w:val="%7."/>
      <w:lvlJc w:val="left"/>
      <w:pPr>
        <w:ind w:left="5040" w:hanging="360"/>
      </w:pPr>
    </w:lvl>
    <w:lvl w:ilvl="7" w:tplc="A834532A" w:tentative="1">
      <w:start w:val="1"/>
      <w:numFmt w:val="lowerLetter"/>
      <w:lvlText w:val="%8."/>
      <w:lvlJc w:val="left"/>
      <w:pPr>
        <w:ind w:left="5760" w:hanging="360"/>
      </w:pPr>
    </w:lvl>
    <w:lvl w:ilvl="8" w:tplc="0DD638E2" w:tentative="1">
      <w:start w:val="1"/>
      <w:numFmt w:val="lowerRoman"/>
      <w:lvlText w:val="%9."/>
      <w:lvlJc w:val="right"/>
      <w:pPr>
        <w:ind w:left="6480" w:hanging="180"/>
      </w:pPr>
    </w:lvl>
  </w:abstractNum>
  <w:abstractNum w:abstractNumId="1" w15:restartNumberingAfterBreak="0">
    <w:nsid w:val="1F8F5D9C"/>
    <w:multiLevelType w:val="multilevel"/>
    <w:tmpl w:val="C6E8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0C5AC9"/>
    <w:multiLevelType w:val="hybridMultilevel"/>
    <w:tmpl w:val="CCF2FB72"/>
    <w:lvl w:ilvl="0" w:tplc="6428B442">
      <w:start w:val="1"/>
      <w:numFmt w:val="decimal"/>
      <w:lvlText w:val="%1."/>
      <w:lvlJc w:val="left"/>
      <w:pPr>
        <w:ind w:left="927" w:hanging="360"/>
      </w:pPr>
      <w:rPr>
        <w:rFonts w:hint="default"/>
      </w:rPr>
    </w:lvl>
    <w:lvl w:ilvl="1" w:tplc="DA3CF26C" w:tentative="1">
      <w:start w:val="1"/>
      <w:numFmt w:val="lowerLetter"/>
      <w:lvlText w:val="%2."/>
      <w:lvlJc w:val="left"/>
      <w:pPr>
        <w:ind w:left="1647" w:hanging="360"/>
      </w:pPr>
    </w:lvl>
    <w:lvl w:ilvl="2" w:tplc="C152156E" w:tentative="1">
      <w:start w:val="1"/>
      <w:numFmt w:val="lowerRoman"/>
      <w:lvlText w:val="%3."/>
      <w:lvlJc w:val="right"/>
      <w:pPr>
        <w:ind w:left="2367" w:hanging="180"/>
      </w:pPr>
    </w:lvl>
    <w:lvl w:ilvl="3" w:tplc="5D063288" w:tentative="1">
      <w:start w:val="1"/>
      <w:numFmt w:val="decimal"/>
      <w:lvlText w:val="%4."/>
      <w:lvlJc w:val="left"/>
      <w:pPr>
        <w:ind w:left="3087" w:hanging="360"/>
      </w:pPr>
    </w:lvl>
    <w:lvl w:ilvl="4" w:tplc="032E4484" w:tentative="1">
      <w:start w:val="1"/>
      <w:numFmt w:val="lowerLetter"/>
      <w:lvlText w:val="%5."/>
      <w:lvlJc w:val="left"/>
      <w:pPr>
        <w:ind w:left="3807" w:hanging="360"/>
      </w:pPr>
    </w:lvl>
    <w:lvl w:ilvl="5" w:tplc="F34A0FB0" w:tentative="1">
      <w:start w:val="1"/>
      <w:numFmt w:val="lowerRoman"/>
      <w:lvlText w:val="%6."/>
      <w:lvlJc w:val="right"/>
      <w:pPr>
        <w:ind w:left="4527" w:hanging="180"/>
      </w:pPr>
    </w:lvl>
    <w:lvl w:ilvl="6" w:tplc="5114FA3A" w:tentative="1">
      <w:start w:val="1"/>
      <w:numFmt w:val="decimal"/>
      <w:lvlText w:val="%7."/>
      <w:lvlJc w:val="left"/>
      <w:pPr>
        <w:ind w:left="5247" w:hanging="360"/>
      </w:pPr>
    </w:lvl>
    <w:lvl w:ilvl="7" w:tplc="2AFC5920" w:tentative="1">
      <w:start w:val="1"/>
      <w:numFmt w:val="lowerLetter"/>
      <w:lvlText w:val="%8."/>
      <w:lvlJc w:val="left"/>
      <w:pPr>
        <w:ind w:left="5967" w:hanging="360"/>
      </w:pPr>
    </w:lvl>
    <w:lvl w:ilvl="8" w:tplc="889C3CF0" w:tentative="1">
      <w:start w:val="1"/>
      <w:numFmt w:val="lowerRoman"/>
      <w:lvlText w:val="%9."/>
      <w:lvlJc w:val="right"/>
      <w:pPr>
        <w:ind w:left="6687" w:hanging="180"/>
      </w:pPr>
    </w:lvl>
  </w:abstractNum>
  <w:abstractNum w:abstractNumId="3" w15:restartNumberingAfterBreak="0">
    <w:nsid w:val="36290CA3"/>
    <w:multiLevelType w:val="multilevel"/>
    <w:tmpl w:val="168E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E52F3"/>
    <w:multiLevelType w:val="hybridMultilevel"/>
    <w:tmpl w:val="85DCE5C8"/>
    <w:lvl w:ilvl="0" w:tplc="1654178A">
      <w:numFmt w:val="bullet"/>
      <w:lvlText w:val=""/>
      <w:lvlJc w:val="left"/>
      <w:pPr>
        <w:ind w:left="720" w:hanging="360"/>
      </w:pPr>
      <w:rPr>
        <w:rFonts w:ascii="Symbol" w:eastAsiaTheme="minorHAnsi" w:hAnsi="Symbol" w:cs="AdvOT07517017" w:hint="default"/>
        <w:sz w:val="16"/>
      </w:rPr>
    </w:lvl>
    <w:lvl w:ilvl="1" w:tplc="8840744A" w:tentative="1">
      <w:start w:val="1"/>
      <w:numFmt w:val="bullet"/>
      <w:lvlText w:val="o"/>
      <w:lvlJc w:val="left"/>
      <w:pPr>
        <w:ind w:left="1440" w:hanging="360"/>
      </w:pPr>
      <w:rPr>
        <w:rFonts w:ascii="Courier New" w:hAnsi="Courier New" w:cs="Courier New" w:hint="default"/>
      </w:rPr>
    </w:lvl>
    <w:lvl w:ilvl="2" w:tplc="A45C0D6A" w:tentative="1">
      <w:start w:val="1"/>
      <w:numFmt w:val="bullet"/>
      <w:lvlText w:val=""/>
      <w:lvlJc w:val="left"/>
      <w:pPr>
        <w:ind w:left="2160" w:hanging="360"/>
      </w:pPr>
      <w:rPr>
        <w:rFonts w:ascii="Wingdings" w:hAnsi="Wingdings" w:hint="default"/>
      </w:rPr>
    </w:lvl>
    <w:lvl w:ilvl="3" w:tplc="D954EB46" w:tentative="1">
      <w:start w:val="1"/>
      <w:numFmt w:val="bullet"/>
      <w:lvlText w:val=""/>
      <w:lvlJc w:val="left"/>
      <w:pPr>
        <w:ind w:left="2880" w:hanging="360"/>
      </w:pPr>
      <w:rPr>
        <w:rFonts w:ascii="Symbol" w:hAnsi="Symbol" w:hint="default"/>
      </w:rPr>
    </w:lvl>
    <w:lvl w:ilvl="4" w:tplc="9C6C63FC" w:tentative="1">
      <w:start w:val="1"/>
      <w:numFmt w:val="bullet"/>
      <w:lvlText w:val="o"/>
      <w:lvlJc w:val="left"/>
      <w:pPr>
        <w:ind w:left="3600" w:hanging="360"/>
      </w:pPr>
      <w:rPr>
        <w:rFonts w:ascii="Courier New" w:hAnsi="Courier New" w:cs="Courier New" w:hint="default"/>
      </w:rPr>
    </w:lvl>
    <w:lvl w:ilvl="5" w:tplc="25520D8C" w:tentative="1">
      <w:start w:val="1"/>
      <w:numFmt w:val="bullet"/>
      <w:lvlText w:val=""/>
      <w:lvlJc w:val="left"/>
      <w:pPr>
        <w:ind w:left="4320" w:hanging="360"/>
      </w:pPr>
      <w:rPr>
        <w:rFonts w:ascii="Wingdings" w:hAnsi="Wingdings" w:hint="default"/>
      </w:rPr>
    </w:lvl>
    <w:lvl w:ilvl="6" w:tplc="F7FACF3A" w:tentative="1">
      <w:start w:val="1"/>
      <w:numFmt w:val="bullet"/>
      <w:lvlText w:val=""/>
      <w:lvlJc w:val="left"/>
      <w:pPr>
        <w:ind w:left="5040" w:hanging="360"/>
      </w:pPr>
      <w:rPr>
        <w:rFonts w:ascii="Symbol" w:hAnsi="Symbol" w:hint="default"/>
      </w:rPr>
    </w:lvl>
    <w:lvl w:ilvl="7" w:tplc="8B942DBC" w:tentative="1">
      <w:start w:val="1"/>
      <w:numFmt w:val="bullet"/>
      <w:lvlText w:val="o"/>
      <w:lvlJc w:val="left"/>
      <w:pPr>
        <w:ind w:left="5760" w:hanging="360"/>
      </w:pPr>
      <w:rPr>
        <w:rFonts w:ascii="Courier New" w:hAnsi="Courier New" w:cs="Courier New" w:hint="default"/>
      </w:rPr>
    </w:lvl>
    <w:lvl w:ilvl="8" w:tplc="EBC69C0C" w:tentative="1">
      <w:start w:val="1"/>
      <w:numFmt w:val="bullet"/>
      <w:lvlText w:val=""/>
      <w:lvlJc w:val="left"/>
      <w:pPr>
        <w:ind w:left="6480" w:hanging="360"/>
      </w:pPr>
      <w:rPr>
        <w:rFonts w:ascii="Wingdings" w:hAnsi="Wingdings" w:hint="default"/>
      </w:rPr>
    </w:lvl>
  </w:abstractNum>
  <w:abstractNum w:abstractNumId="5" w15:restartNumberingAfterBreak="0">
    <w:nsid w:val="4A015947"/>
    <w:multiLevelType w:val="hybridMultilevel"/>
    <w:tmpl w:val="AE241E46"/>
    <w:lvl w:ilvl="0" w:tplc="A5B47DDE">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003120"/>
    <w:multiLevelType w:val="multilevel"/>
    <w:tmpl w:val="B846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625428"/>
    <w:multiLevelType w:val="multilevel"/>
    <w:tmpl w:val="886C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E940B0"/>
    <w:multiLevelType w:val="multilevel"/>
    <w:tmpl w:val="B34A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912D6C"/>
    <w:multiLevelType w:val="multilevel"/>
    <w:tmpl w:val="AE68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3"/>
  </w:num>
  <w:num w:numId="5">
    <w:abstractNumId w:val="6"/>
  </w:num>
  <w:num w:numId="6">
    <w:abstractNumId w:val="2"/>
  </w:num>
  <w:num w:numId="7">
    <w:abstractNumId w:val="9"/>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B9"/>
    <w:rsid w:val="00000EC6"/>
    <w:rsid w:val="00002B13"/>
    <w:rsid w:val="00004AA6"/>
    <w:rsid w:val="00011BBC"/>
    <w:rsid w:val="00011D2E"/>
    <w:rsid w:val="00016802"/>
    <w:rsid w:val="000220FB"/>
    <w:rsid w:val="00023556"/>
    <w:rsid w:val="00023B71"/>
    <w:rsid w:val="00023C9D"/>
    <w:rsid w:val="00023CDF"/>
    <w:rsid w:val="0002522B"/>
    <w:rsid w:val="00031552"/>
    <w:rsid w:val="000334C2"/>
    <w:rsid w:val="00034288"/>
    <w:rsid w:val="000354A5"/>
    <w:rsid w:val="00037636"/>
    <w:rsid w:val="00037B88"/>
    <w:rsid w:val="00040DC5"/>
    <w:rsid w:val="000418CB"/>
    <w:rsid w:val="00041F53"/>
    <w:rsid w:val="000436E8"/>
    <w:rsid w:val="00044CD6"/>
    <w:rsid w:val="00045251"/>
    <w:rsid w:val="0004629D"/>
    <w:rsid w:val="00047097"/>
    <w:rsid w:val="000515E4"/>
    <w:rsid w:val="00051AD1"/>
    <w:rsid w:val="0005200E"/>
    <w:rsid w:val="00052E25"/>
    <w:rsid w:val="000531CF"/>
    <w:rsid w:val="00054C78"/>
    <w:rsid w:val="00055954"/>
    <w:rsid w:val="0005639B"/>
    <w:rsid w:val="00057FC3"/>
    <w:rsid w:val="000645E4"/>
    <w:rsid w:val="00064920"/>
    <w:rsid w:val="00065E91"/>
    <w:rsid w:val="00075272"/>
    <w:rsid w:val="00076273"/>
    <w:rsid w:val="00076B1C"/>
    <w:rsid w:val="00076C73"/>
    <w:rsid w:val="00083BF9"/>
    <w:rsid w:val="00084724"/>
    <w:rsid w:val="00084770"/>
    <w:rsid w:val="00086730"/>
    <w:rsid w:val="00086A0B"/>
    <w:rsid w:val="0009021B"/>
    <w:rsid w:val="000947EC"/>
    <w:rsid w:val="00094CCA"/>
    <w:rsid w:val="0009528D"/>
    <w:rsid w:val="00097493"/>
    <w:rsid w:val="0009779B"/>
    <w:rsid w:val="00097866"/>
    <w:rsid w:val="000A06F8"/>
    <w:rsid w:val="000A5E27"/>
    <w:rsid w:val="000A751E"/>
    <w:rsid w:val="000B6403"/>
    <w:rsid w:val="000B6C07"/>
    <w:rsid w:val="000C03A0"/>
    <w:rsid w:val="000C0E63"/>
    <w:rsid w:val="000C13D2"/>
    <w:rsid w:val="000C34CE"/>
    <w:rsid w:val="000C39F2"/>
    <w:rsid w:val="000C449A"/>
    <w:rsid w:val="000C4E6A"/>
    <w:rsid w:val="000C63B4"/>
    <w:rsid w:val="000E34BC"/>
    <w:rsid w:val="000F1471"/>
    <w:rsid w:val="000F2010"/>
    <w:rsid w:val="000F450F"/>
    <w:rsid w:val="000F625B"/>
    <w:rsid w:val="000F6ACB"/>
    <w:rsid w:val="00102346"/>
    <w:rsid w:val="001030CD"/>
    <w:rsid w:val="00104C2B"/>
    <w:rsid w:val="0010645B"/>
    <w:rsid w:val="0010796C"/>
    <w:rsid w:val="00107A6B"/>
    <w:rsid w:val="00110849"/>
    <w:rsid w:val="001123EB"/>
    <w:rsid w:val="00113035"/>
    <w:rsid w:val="001146CB"/>
    <w:rsid w:val="00114F66"/>
    <w:rsid w:val="001179CA"/>
    <w:rsid w:val="001265D1"/>
    <w:rsid w:val="001267DE"/>
    <w:rsid w:val="00134783"/>
    <w:rsid w:val="00135DA2"/>
    <w:rsid w:val="00136995"/>
    <w:rsid w:val="00137220"/>
    <w:rsid w:val="00145139"/>
    <w:rsid w:val="001471B5"/>
    <w:rsid w:val="00153E84"/>
    <w:rsid w:val="00154F83"/>
    <w:rsid w:val="00156AE0"/>
    <w:rsid w:val="001574CF"/>
    <w:rsid w:val="00160BA6"/>
    <w:rsid w:val="00164898"/>
    <w:rsid w:val="001655D0"/>
    <w:rsid w:val="001671DA"/>
    <w:rsid w:val="001679F9"/>
    <w:rsid w:val="00171F01"/>
    <w:rsid w:val="00172F90"/>
    <w:rsid w:val="00173EE3"/>
    <w:rsid w:val="001742B9"/>
    <w:rsid w:val="0018029D"/>
    <w:rsid w:val="0018047F"/>
    <w:rsid w:val="00180C65"/>
    <w:rsid w:val="001813A4"/>
    <w:rsid w:val="0018423A"/>
    <w:rsid w:val="00185200"/>
    <w:rsid w:val="00187245"/>
    <w:rsid w:val="00190876"/>
    <w:rsid w:val="00190CB8"/>
    <w:rsid w:val="00191201"/>
    <w:rsid w:val="00192AF0"/>
    <w:rsid w:val="00192B87"/>
    <w:rsid w:val="00194D46"/>
    <w:rsid w:val="00196EA9"/>
    <w:rsid w:val="001A0EE8"/>
    <w:rsid w:val="001A11DD"/>
    <w:rsid w:val="001A4F96"/>
    <w:rsid w:val="001A6D64"/>
    <w:rsid w:val="001A7B40"/>
    <w:rsid w:val="001A7ECE"/>
    <w:rsid w:val="001B02F5"/>
    <w:rsid w:val="001B09F6"/>
    <w:rsid w:val="001B0E23"/>
    <w:rsid w:val="001B1B1F"/>
    <w:rsid w:val="001B4BCE"/>
    <w:rsid w:val="001B55E6"/>
    <w:rsid w:val="001B70DA"/>
    <w:rsid w:val="001B79BA"/>
    <w:rsid w:val="001C1A5B"/>
    <w:rsid w:val="001C27DF"/>
    <w:rsid w:val="001C313A"/>
    <w:rsid w:val="001C3927"/>
    <w:rsid w:val="001C4E65"/>
    <w:rsid w:val="001C67AC"/>
    <w:rsid w:val="001D0684"/>
    <w:rsid w:val="001D7E48"/>
    <w:rsid w:val="001E0D96"/>
    <w:rsid w:val="001E1D00"/>
    <w:rsid w:val="001E2496"/>
    <w:rsid w:val="001E60F4"/>
    <w:rsid w:val="001E6A8B"/>
    <w:rsid w:val="001E7436"/>
    <w:rsid w:val="001F0131"/>
    <w:rsid w:val="001F06D2"/>
    <w:rsid w:val="001F0901"/>
    <w:rsid w:val="001F1266"/>
    <w:rsid w:val="001F2566"/>
    <w:rsid w:val="001F4905"/>
    <w:rsid w:val="001F5D0A"/>
    <w:rsid w:val="001F7A36"/>
    <w:rsid w:val="00205CEE"/>
    <w:rsid w:val="00207616"/>
    <w:rsid w:val="002104D5"/>
    <w:rsid w:val="002144DB"/>
    <w:rsid w:val="002164C7"/>
    <w:rsid w:val="0021763C"/>
    <w:rsid w:val="002238D2"/>
    <w:rsid w:val="00227640"/>
    <w:rsid w:val="0023061B"/>
    <w:rsid w:val="00232029"/>
    <w:rsid w:val="00234CA5"/>
    <w:rsid w:val="002358F6"/>
    <w:rsid w:val="00236F3E"/>
    <w:rsid w:val="00240C74"/>
    <w:rsid w:val="00240EE1"/>
    <w:rsid w:val="00243271"/>
    <w:rsid w:val="0024495C"/>
    <w:rsid w:val="002457E1"/>
    <w:rsid w:val="002469D0"/>
    <w:rsid w:val="00250A66"/>
    <w:rsid w:val="00257C51"/>
    <w:rsid w:val="00257E0A"/>
    <w:rsid w:val="00261694"/>
    <w:rsid w:val="002618F9"/>
    <w:rsid w:val="002655A7"/>
    <w:rsid w:val="00265B7D"/>
    <w:rsid w:val="00265BAE"/>
    <w:rsid w:val="002664FF"/>
    <w:rsid w:val="0026702C"/>
    <w:rsid w:val="00267966"/>
    <w:rsid w:val="00272D18"/>
    <w:rsid w:val="00276C77"/>
    <w:rsid w:val="00281E2D"/>
    <w:rsid w:val="00283654"/>
    <w:rsid w:val="00284408"/>
    <w:rsid w:val="00287D52"/>
    <w:rsid w:val="00290611"/>
    <w:rsid w:val="002A054C"/>
    <w:rsid w:val="002A205F"/>
    <w:rsid w:val="002A3CC9"/>
    <w:rsid w:val="002A4E2D"/>
    <w:rsid w:val="002A5978"/>
    <w:rsid w:val="002B0835"/>
    <w:rsid w:val="002B4AB9"/>
    <w:rsid w:val="002B5D7D"/>
    <w:rsid w:val="002B7971"/>
    <w:rsid w:val="002C0488"/>
    <w:rsid w:val="002C10B5"/>
    <w:rsid w:val="002C2150"/>
    <w:rsid w:val="002C2817"/>
    <w:rsid w:val="002C668B"/>
    <w:rsid w:val="002C7AFA"/>
    <w:rsid w:val="002D6008"/>
    <w:rsid w:val="002D6B97"/>
    <w:rsid w:val="002D78CD"/>
    <w:rsid w:val="002D7C9F"/>
    <w:rsid w:val="002E0605"/>
    <w:rsid w:val="002E1D17"/>
    <w:rsid w:val="002E1E34"/>
    <w:rsid w:val="002E7331"/>
    <w:rsid w:val="002F1957"/>
    <w:rsid w:val="002F209D"/>
    <w:rsid w:val="002F3DEB"/>
    <w:rsid w:val="002F67F0"/>
    <w:rsid w:val="003031D3"/>
    <w:rsid w:val="00303B51"/>
    <w:rsid w:val="00307B2A"/>
    <w:rsid w:val="00307FF3"/>
    <w:rsid w:val="003132E6"/>
    <w:rsid w:val="00313C2B"/>
    <w:rsid w:val="00313E9A"/>
    <w:rsid w:val="00315E98"/>
    <w:rsid w:val="00316D85"/>
    <w:rsid w:val="0032130F"/>
    <w:rsid w:val="003235FC"/>
    <w:rsid w:val="0032366C"/>
    <w:rsid w:val="00324864"/>
    <w:rsid w:val="00326B7F"/>
    <w:rsid w:val="00326E09"/>
    <w:rsid w:val="00326FF8"/>
    <w:rsid w:val="00332215"/>
    <w:rsid w:val="00334782"/>
    <w:rsid w:val="00334C1E"/>
    <w:rsid w:val="003364FB"/>
    <w:rsid w:val="00337353"/>
    <w:rsid w:val="00341F50"/>
    <w:rsid w:val="00345B75"/>
    <w:rsid w:val="0035055C"/>
    <w:rsid w:val="003546EB"/>
    <w:rsid w:val="003657E8"/>
    <w:rsid w:val="00367DFA"/>
    <w:rsid w:val="00370BE7"/>
    <w:rsid w:val="0037204D"/>
    <w:rsid w:val="00374C1E"/>
    <w:rsid w:val="00375329"/>
    <w:rsid w:val="00375C7A"/>
    <w:rsid w:val="003764BF"/>
    <w:rsid w:val="00383535"/>
    <w:rsid w:val="003842B4"/>
    <w:rsid w:val="00392349"/>
    <w:rsid w:val="00393C89"/>
    <w:rsid w:val="00393DB6"/>
    <w:rsid w:val="00393EE8"/>
    <w:rsid w:val="003942F1"/>
    <w:rsid w:val="00395756"/>
    <w:rsid w:val="003A01E9"/>
    <w:rsid w:val="003A27E3"/>
    <w:rsid w:val="003A2F00"/>
    <w:rsid w:val="003A5132"/>
    <w:rsid w:val="003A695B"/>
    <w:rsid w:val="003A72A5"/>
    <w:rsid w:val="003B0561"/>
    <w:rsid w:val="003B06E1"/>
    <w:rsid w:val="003B4C09"/>
    <w:rsid w:val="003B4FBA"/>
    <w:rsid w:val="003B5735"/>
    <w:rsid w:val="003B60EA"/>
    <w:rsid w:val="003B665A"/>
    <w:rsid w:val="003B6681"/>
    <w:rsid w:val="003C18C8"/>
    <w:rsid w:val="003C613D"/>
    <w:rsid w:val="003D1852"/>
    <w:rsid w:val="003D621E"/>
    <w:rsid w:val="003D794F"/>
    <w:rsid w:val="003E11B6"/>
    <w:rsid w:val="003E3160"/>
    <w:rsid w:val="003E5BC7"/>
    <w:rsid w:val="003E5C7C"/>
    <w:rsid w:val="003E6D2F"/>
    <w:rsid w:val="003E6D39"/>
    <w:rsid w:val="003E7811"/>
    <w:rsid w:val="003F09B4"/>
    <w:rsid w:val="003F1132"/>
    <w:rsid w:val="003F1577"/>
    <w:rsid w:val="003F4A35"/>
    <w:rsid w:val="003F5131"/>
    <w:rsid w:val="003F5745"/>
    <w:rsid w:val="003F6E11"/>
    <w:rsid w:val="00401C09"/>
    <w:rsid w:val="00402EBC"/>
    <w:rsid w:val="004040C3"/>
    <w:rsid w:val="00405066"/>
    <w:rsid w:val="00405D51"/>
    <w:rsid w:val="0040679D"/>
    <w:rsid w:val="00406E49"/>
    <w:rsid w:val="00407BFA"/>
    <w:rsid w:val="0041071A"/>
    <w:rsid w:val="004114A3"/>
    <w:rsid w:val="00412595"/>
    <w:rsid w:val="004126B1"/>
    <w:rsid w:val="00414465"/>
    <w:rsid w:val="00415F0A"/>
    <w:rsid w:val="00416E4D"/>
    <w:rsid w:val="00416FC3"/>
    <w:rsid w:val="004173B7"/>
    <w:rsid w:val="00425B8C"/>
    <w:rsid w:val="00426ED5"/>
    <w:rsid w:val="00426FF1"/>
    <w:rsid w:val="00431C7E"/>
    <w:rsid w:val="00433D76"/>
    <w:rsid w:val="00434C6D"/>
    <w:rsid w:val="0043512A"/>
    <w:rsid w:val="004358DA"/>
    <w:rsid w:val="0043590F"/>
    <w:rsid w:val="00442D75"/>
    <w:rsid w:val="00442E78"/>
    <w:rsid w:val="00445025"/>
    <w:rsid w:val="00445A97"/>
    <w:rsid w:val="00446460"/>
    <w:rsid w:val="00452BA1"/>
    <w:rsid w:val="00454750"/>
    <w:rsid w:val="00455946"/>
    <w:rsid w:val="00455E9C"/>
    <w:rsid w:val="004605F5"/>
    <w:rsid w:val="00460F01"/>
    <w:rsid w:val="004614A3"/>
    <w:rsid w:val="00461722"/>
    <w:rsid w:val="00461844"/>
    <w:rsid w:val="00463386"/>
    <w:rsid w:val="00463E55"/>
    <w:rsid w:val="004653E7"/>
    <w:rsid w:val="004671EF"/>
    <w:rsid w:val="004701E5"/>
    <w:rsid w:val="004711FC"/>
    <w:rsid w:val="00473276"/>
    <w:rsid w:val="004735CE"/>
    <w:rsid w:val="00473807"/>
    <w:rsid w:val="00473FF5"/>
    <w:rsid w:val="004747B7"/>
    <w:rsid w:val="004845C4"/>
    <w:rsid w:val="004846F1"/>
    <w:rsid w:val="00492B62"/>
    <w:rsid w:val="00494280"/>
    <w:rsid w:val="00494F6C"/>
    <w:rsid w:val="004950CD"/>
    <w:rsid w:val="00495578"/>
    <w:rsid w:val="00497DF9"/>
    <w:rsid w:val="004A08C0"/>
    <w:rsid w:val="004A1F01"/>
    <w:rsid w:val="004A1F7C"/>
    <w:rsid w:val="004A6747"/>
    <w:rsid w:val="004B47AB"/>
    <w:rsid w:val="004B4FB7"/>
    <w:rsid w:val="004B51BF"/>
    <w:rsid w:val="004B6ED0"/>
    <w:rsid w:val="004B7F8D"/>
    <w:rsid w:val="004C0CB8"/>
    <w:rsid w:val="004C147A"/>
    <w:rsid w:val="004C2146"/>
    <w:rsid w:val="004C3C87"/>
    <w:rsid w:val="004D1F42"/>
    <w:rsid w:val="004D3667"/>
    <w:rsid w:val="004D5F39"/>
    <w:rsid w:val="004D780E"/>
    <w:rsid w:val="004D7818"/>
    <w:rsid w:val="004E2037"/>
    <w:rsid w:val="004E3F17"/>
    <w:rsid w:val="004E6CE1"/>
    <w:rsid w:val="004F1D2D"/>
    <w:rsid w:val="004F4343"/>
    <w:rsid w:val="004F476C"/>
    <w:rsid w:val="004F4B93"/>
    <w:rsid w:val="004F78EC"/>
    <w:rsid w:val="005000ED"/>
    <w:rsid w:val="00501042"/>
    <w:rsid w:val="00502259"/>
    <w:rsid w:val="005025A1"/>
    <w:rsid w:val="00503879"/>
    <w:rsid w:val="00505758"/>
    <w:rsid w:val="0050626B"/>
    <w:rsid w:val="00507EAC"/>
    <w:rsid w:val="0051037B"/>
    <w:rsid w:val="00510BE2"/>
    <w:rsid w:val="00511116"/>
    <w:rsid w:val="005116A8"/>
    <w:rsid w:val="00515465"/>
    <w:rsid w:val="005157C5"/>
    <w:rsid w:val="00516EDB"/>
    <w:rsid w:val="00517D01"/>
    <w:rsid w:val="00520AF1"/>
    <w:rsid w:val="00521020"/>
    <w:rsid w:val="00521507"/>
    <w:rsid w:val="00521BC4"/>
    <w:rsid w:val="00521D16"/>
    <w:rsid w:val="00523E71"/>
    <w:rsid w:val="005252A8"/>
    <w:rsid w:val="00527748"/>
    <w:rsid w:val="00530219"/>
    <w:rsid w:val="00530BD3"/>
    <w:rsid w:val="00531382"/>
    <w:rsid w:val="005323C6"/>
    <w:rsid w:val="00532922"/>
    <w:rsid w:val="005358C5"/>
    <w:rsid w:val="00536BC8"/>
    <w:rsid w:val="00537E66"/>
    <w:rsid w:val="00540E5F"/>
    <w:rsid w:val="00540F0F"/>
    <w:rsid w:val="00541771"/>
    <w:rsid w:val="00544D1B"/>
    <w:rsid w:val="005452FC"/>
    <w:rsid w:val="005478C4"/>
    <w:rsid w:val="00550029"/>
    <w:rsid w:val="005503B6"/>
    <w:rsid w:val="00550EBE"/>
    <w:rsid w:val="0055171D"/>
    <w:rsid w:val="00554E4D"/>
    <w:rsid w:val="00556036"/>
    <w:rsid w:val="005571E5"/>
    <w:rsid w:val="00560562"/>
    <w:rsid w:val="00561033"/>
    <w:rsid w:val="005635F3"/>
    <w:rsid w:val="00566A6E"/>
    <w:rsid w:val="00566CC0"/>
    <w:rsid w:val="005672B8"/>
    <w:rsid w:val="005705AF"/>
    <w:rsid w:val="005714D1"/>
    <w:rsid w:val="005718B9"/>
    <w:rsid w:val="005723CA"/>
    <w:rsid w:val="00573B64"/>
    <w:rsid w:val="00576D56"/>
    <w:rsid w:val="00577F44"/>
    <w:rsid w:val="00577FF6"/>
    <w:rsid w:val="00581C6B"/>
    <w:rsid w:val="00582D61"/>
    <w:rsid w:val="00582E60"/>
    <w:rsid w:val="005840ED"/>
    <w:rsid w:val="00590118"/>
    <w:rsid w:val="00593568"/>
    <w:rsid w:val="00594473"/>
    <w:rsid w:val="0059552C"/>
    <w:rsid w:val="0059619E"/>
    <w:rsid w:val="005974C2"/>
    <w:rsid w:val="005A0438"/>
    <w:rsid w:val="005A09AB"/>
    <w:rsid w:val="005A21B2"/>
    <w:rsid w:val="005A27CF"/>
    <w:rsid w:val="005A3FF1"/>
    <w:rsid w:val="005A4F16"/>
    <w:rsid w:val="005A63E1"/>
    <w:rsid w:val="005A6C8B"/>
    <w:rsid w:val="005B1F56"/>
    <w:rsid w:val="005B2E37"/>
    <w:rsid w:val="005B3395"/>
    <w:rsid w:val="005B459F"/>
    <w:rsid w:val="005B4C96"/>
    <w:rsid w:val="005B7C71"/>
    <w:rsid w:val="005B7DE4"/>
    <w:rsid w:val="005C16B4"/>
    <w:rsid w:val="005C3B83"/>
    <w:rsid w:val="005C3D5E"/>
    <w:rsid w:val="005C7E37"/>
    <w:rsid w:val="005D0B9F"/>
    <w:rsid w:val="005D0C40"/>
    <w:rsid w:val="005D20C3"/>
    <w:rsid w:val="005D28E6"/>
    <w:rsid w:val="005E43F8"/>
    <w:rsid w:val="005E465F"/>
    <w:rsid w:val="005E46BC"/>
    <w:rsid w:val="005F0180"/>
    <w:rsid w:val="005F1A03"/>
    <w:rsid w:val="005F29A2"/>
    <w:rsid w:val="005F4D86"/>
    <w:rsid w:val="005F7278"/>
    <w:rsid w:val="00600886"/>
    <w:rsid w:val="006077B3"/>
    <w:rsid w:val="006129A6"/>
    <w:rsid w:val="00612B8D"/>
    <w:rsid w:val="006145DD"/>
    <w:rsid w:val="006146F7"/>
    <w:rsid w:val="006156F4"/>
    <w:rsid w:val="0061582F"/>
    <w:rsid w:val="00615AF1"/>
    <w:rsid w:val="006206CB"/>
    <w:rsid w:val="006222B1"/>
    <w:rsid w:val="00622569"/>
    <w:rsid w:val="0062260D"/>
    <w:rsid w:val="00623E27"/>
    <w:rsid w:val="006268B7"/>
    <w:rsid w:val="00626FB4"/>
    <w:rsid w:val="00627531"/>
    <w:rsid w:val="0062772D"/>
    <w:rsid w:val="0063143E"/>
    <w:rsid w:val="006339E8"/>
    <w:rsid w:val="00634327"/>
    <w:rsid w:val="00637DB5"/>
    <w:rsid w:val="00642221"/>
    <w:rsid w:val="00643441"/>
    <w:rsid w:val="00645C8A"/>
    <w:rsid w:val="00646288"/>
    <w:rsid w:val="006516CA"/>
    <w:rsid w:val="00651833"/>
    <w:rsid w:val="00652211"/>
    <w:rsid w:val="006535FD"/>
    <w:rsid w:val="0066378A"/>
    <w:rsid w:val="00666CE6"/>
    <w:rsid w:val="00667434"/>
    <w:rsid w:val="00673425"/>
    <w:rsid w:val="00676F68"/>
    <w:rsid w:val="00682B9D"/>
    <w:rsid w:val="006837C6"/>
    <w:rsid w:val="0068521E"/>
    <w:rsid w:val="00693481"/>
    <w:rsid w:val="0069717F"/>
    <w:rsid w:val="00697190"/>
    <w:rsid w:val="006973A4"/>
    <w:rsid w:val="006A43B1"/>
    <w:rsid w:val="006A6077"/>
    <w:rsid w:val="006A67CE"/>
    <w:rsid w:val="006B0B92"/>
    <w:rsid w:val="006B1C08"/>
    <w:rsid w:val="006B246E"/>
    <w:rsid w:val="006B3E72"/>
    <w:rsid w:val="006B4E0C"/>
    <w:rsid w:val="006C335B"/>
    <w:rsid w:val="006C421C"/>
    <w:rsid w:val="006C4232"/>
    <w:rsid w:val="006C4C69"/>
    <w:rsid w:val="006D0813"/>
    <w:rsid w:val="006D2738"/>
    <w:rsid w:val="006D30E7"/>
    <w:rsid w:val="006D3B23"/>
    <w:rsid w:val="006D4B5A"/>
    <w:rsid w:val="006E0FA5"/>
    <w:rsid w:val="006E130F"/>
    <w:rsid w:val="006E14F6"/>
    <w:rsid w:val="006E15A1"/>
    <w:rsid w:val="006E3CA4"/>
    <w:rsid w:val="006E5E1C"/>
    <w:rsid w:val="006E699F"/>
    <w:rsid w:val="006F3564"/>
    <w:rsid w:val="006F531B"/>
    <w:rsid w:val="00701C5C"/>
    <w:rsid w:val="00703527"/>
    <w:rsid w:val="0070645B"/>
    <w:rsid w:val="00706D58"/>
    <w:rsid w:val="0070739C"/>
    <w:rsid w:val="007113E9"/>
    <w:rsid w:val="0071175D"/>
    <w:rsid w:val="00711CC7"/>
    <w:rsid w:val="00712E2C"/>
    <w:rsid w:val="007170A5"/>
    <w:rsid w:val="0072098A"/>
    <w:rsid w:val="0072657C"/>
    <w:rsid w:val="007277A8"/>
    <w:rsid w:val="00731272"/>
    <w:rsid w:val="00734CC7"/>
    <w:rsid w:val="00736425"/>
    <w:rsid w:val="007368A6"/>
    <w:rsid w:val="00741848"/>
    <w:rsid w:val="007442CA"/>
    <w:rsid w:val="0074509A"/>
    <w:rsid w:val="00747354"/>
    <w:rsid w:val="00750852"/>
    <w:rsid w:val="00753342"/>
    <w:rsid w:val="00755203"/>
    <w:rsid w:val="00756611"/>
    <w:rsid w:val="00756B7A"/>
    <w:rsid w:val="00757200"/>
    <w:rsid w:val="0076058C"/>
    <w:rsid w:val="0076214D"/>
    <w:rsid w:val="00762BEC"/>
    <w:rsid w:val="0076698E"/>
    <w:rsid w:val="00766D79"/>
    <w:rsid w:val="007679E3"/>
    <w:rsid w:val="007747EA"/>
    <w:rsid w:val="00775E56"/>
    <w:rsid w:val="00776C10"/>
    <w:rsid w:val="007806CC"/>
    <w:rsid w:val="0078161E"/>
    <w:rsid w:val="007818FA"/>
    <w:rsid w:val="00781F4A"/>
    <w:rsid w:val="007852B9"/>
    <w:rsid w:val="00785710"/>
    <w:rsid w:val="00786E4C"/>
    <w:rsid w:val="00791DBA"/>
    <w:rsid w:val="007930B7"/>
    <w:rsid w:val="007941AE"/>
    <w:rsid w:val="007950BD"/>
    <w:rsid w:val="00795A34"/>
    <w:rsid w:val="007969A0"/>
    <w:rsid w:val="007A1D30"/>
    <w:rsid w:val="007A32D8"/>
    <w:rsid w:val="007A5CEF"/>
    <w:rsid w:val="007A6711"/>
    <w:rsid w:val="007B12BF"/>
    <w:rsid w:val="007B1912"/>
    <w:rsid w:val="007B3E5A"/>
    <w:rsid w:val="007C4308"/>
    <w:rsid w:val="007D01D3"/>
    <w:rsid w:val="007D460A"/>
    <w:rsid w:val="007D5616"/>
    <w:rsid w:val="007D6A65"/>
    <w:rsid w:val="007D712A"/>
    <w:rsid w:val="007E08CA"/>
    <w:rsid w:val="007E15F9"/>
    <w:rsid w:val="007E3DF4"/>
    <w:rsid w:val="007E598F"/>
    <w:rsid w:val="007E5DBB"/>
    <w:rsid w:val="007F0AAC"/>
    <w:rsid w:val="007F103D"/>
    <w:rsid w:val="007F2CAC"/>
    <w:rsid w:val="007F4F1D"/>
    <w:rsid w:val="007F510D"/>
    <w:rsid w:val="007F74EA"/>
    <w:rsid w:val="00800CE8"/>
    <w:rsid w:val="0080339E"/>
    <w:rsid w:val="00804911"/>
    <w:rsid w:val="00807459"/>
    <w:rsid w:val="00807498"/>
    <w:rsid w:val="00813033"/>
    <w:rsid w:val="008158CD"/>
    <w:rsid w:val="00816FBE"/>
    <w:rsid w:val="00816FF7"/>
    <w:rsid w:val="008178AB"/>
    <w:rsid w:val="00821FB1"/>
    <w:rsid w:val="00823431"/>
    <w:rsid w:val="00823C15"/>
    <w:rsid w:val="00823DBD"/>
    <w:rsid w:val="008248E8"/>
    <w:rsid w:val="00825AAA"/>
    <w:rsid w:val="0083106B"/>
    <w:rsid w:val="008335E6"/>
    <w:rsid w:val="0083451E"/>
    <w:rsid w:val="00834DE1"/>
    <w:rsid w:val="00835285"/>
    <w:rsid w:val="00835649"/>
    <w:rsid w:val="00835E03"/>
    <w:rsid w:val="008360F3"/>
    <w:rsid w:val="00837BC2"/>
    <w:rsid w:val="00837E51"/>
    <w:rsid w:val="008421FE"/>
    <w:rsid w:val="0084242E"/>
    <w:rsid w:val="0084376C"/>
    <w:rsid w:val="00843A34"/>
    <w:rsid w:val="00847EBB"/>
    <w:rsid w:val="00850605"/>
    <w:rsid w:val="00862905"/>
    <w:rsid w:val="00864333"/>
    <w:rsid w:val="0086457A"/>
    <w:rsid w:val="00864EA5"/>
    <w:rsid w:val="00865E00"/>
    <w:rsid w:val="0087311E"/>
    <w:rsid w:val="00875ED6"/>
    <w:rsid w:val="00880E96"/>
    <w:rsid w:val="0088159D"/>
    <w:rsid w:val="00881D69"/>
    <w:rsid w:val="00886595"/>
    <w:rsid w:val="00886EA4"/>
    <w:rsid w:val="00890498"/>
    <w:rsid w:val="00891F91"/>
    <w:rsid w:val="0089343B"/>
    <w:rsid w:val="00894341"/>
    <w:rsid w:val="008953E0"/>
    <w:rsid w:val="00897F90"/>
    <w:rsid w:val="008A0BCC"/>
    <w:rsid w:val="008A6BCD"/>
    <w:rsid w:val="008A75DF"/>
    <w:rsid w:val="008A7B0E"/>
    <w:rsid w:val="008B5275"/>
    <w:rsid w:val="008B5C68"/>
    <w:rsid w:val="008C02F4"/>
    <w:rsid w:val="008C2073"/>
    <w:rsid w:val="008C65D2"/>
    <w:rsid w:val="008D117D"/>
    <w:rsid w:val="008D3CA6"/>
    <w:rsid w:val="008D4B6E"/>
    <w:rsid w:val="008D6A7B"/>
    <w:rsid w:val="008E036A"/>
    <w:rsid w:val="008E2906"/>
    <w:rsid w:val="008E2D5A"/>
    <w:rsid w:val="008E3403"/>
    <w:rsid w:val="008E5378"/>
    <w:rsid w:val="008E53D2"/>
    <w:rsid w:val="008F0719"/>
    <w:rsid w:val="008F47D0"/>
    <w:rsid w:val="008F4C52"/>
    <w:rsid w:val="008F6F56"/>
    <w:rsid w:val="00901CB3"/>
    <w:rsid w:val="009043E3"/>
    <w:rsid w:val="009069BE"/>
    <w:rsid w:val="0091374D"/>
    <w:rsid w:val="00913D98"/>
    <w:rsid w:val="0091409D"/>
    <w:rsid w:val="009154EA"/>
    <w:rsid w:val="009155E4"/>
    <w:rsid w:val="00915DDA"/>
    <w:rsid w:val="00917A4A"/>
    <w:rsid w:val="00917DB9"/>
    <w:rsid w:val="0092216D"/>
    <w:rsid w:val="00924051"/>
    <w:rsid w:val="0092640D"/>
    <w:rsid w:val="00930CE9"/>
    <w:rsid w:val="0093178E"/>
    <w:rsid w:val="0093335C"/>
    <w:rsid w:val="0093790E"/>
    <w:rsid w:val="009416C6"/>
    <w:rsid w:val="00943D5A"/>
    <w:rsid w:val="0094785B"/>
    <w:rsid w:val="00952337"/>
    <w:rsid w:val="009524AA"/>
    <w:rsid w:val="00955B16"/>
    <w:rsid w:val="0095729E"/>
    <w:rsid w:val="00962399"/>
    <w:rsid w:val="00966EF4"/>
    <w:rsid w:val="00970856"/>
    <w:rsid w:val="00970B7B"/>
    <w:rsid w:val="00971FB0"/>
    <w:rsid w:val="00972C4F"/>
    <w:rsid w:val="009732AF"/>
    <w:rsid w:val="00977C69"/>
    <w:rsid w:val="00984AE5"/>
    <w:rsid w:val="00986794"/>
    <w:rsid w:val="00990934"/>
    <w:rsid w:val="009916B8"/>
    <w:rsid w:val="00992F89"/>
    <w:rsid w:val="009932BE"/>
    <w:rsid w:val="00994511"/>
    <w:rsid w:val="00994AAE"/>
    <w:rsid w:val="0099578B"/>
    <w:rsid w:val="00995B0E"/>
    <w:rsid w:val="00995FA9"/>
    <w:rsid w:val="00996F2B"/>
    <w:rsid w:val="009A0C69"/>
    <w:rsid w:val="009A270E"/>
    <w:rsid w:val="009A31D7"/>
    <w:rsid w:val="009A3937"/>
    <w:rsid w:val="009A4342"/>
    <w:rsid w:val="009A5464"/>
    <w:rsid w:val="009A745A"/>
    <w:rsid w:val="009B078D"/>
    <w:rsid w:val="009B3267"/>
    <w:rsid w:val="009B3E56"/>
    <w:rsid w:val="009B41F1"/>
    <w:rsid w:val="009B4311"/>
    <w:rsid w:val="009B654C"/>
    <w:rsid w:val="009C0920"/>
    <w:rsid w:val="009C121E"/>
    <w:rsid w:val="009C34FF"/>
    <w:rsid w:val="009C423C"/>
    <w:rsid w:val="009C5EBE"/>
    <w:rsid w:val="009C6D7C"/>
    <w:rsid w:val="009C7D01"/>
    <w:rsid w:val="009D0BD7"/>
    <w:rsid w:val="009D3D70"/>
    <w:rsid w:val="009D4A28"/>
    <w:rsid w:val="009E03FE"/>
    <w:rsid w:val="009E0AF0"/>
    <w:rsid w:val="009E1620"/>
    <w:rsid w:val="009E45B8"/>
    <w:rsid w:val="009E509C"/>
    <w:rsid w:val="009E67EF"/>
    <w:rsid w:val="009E6864"/>
    <w:rsid w:val="009E690C"/>
    <w:rsid w:val="009E708E"/>
    <w:rsid w:val="009F0973"/>
    <w:rsid w:val="009F44CC"/>
    <w:rsid w:val="009F4565"/>
    <w:rsid w:val="009F6DB0"/>
    <w:rsid w:val="009F7594"/>
    <w:rsid w:val="00A00363"/>
    <w:rsid w:val="00A054B3"/>
    <w:rsid w:val="00A073C3"/>
    <w:rsid w:val="00A0764A"/>
    <w:rsid w:val="00A123B7"/>
    <w:rsid w:val="00A136F3"/>
    <w:rsid w:val="00A17E51"/>
    <w:rsid w:val="00A213F7"/>
    <w:rsid w:val="00A217EF"/>
    <w:rsid w:val="00A22011"/>
    <w:rsid w:val="00A34AFB"/>
    <w:rsid w:val="00A364FD"/>
    <w:rsid w:val="00A41455"/>
    <w:rsid w:val="00A4228B"/>
    <w:rsid w:val="00A42C35"/>
    <w:rsid w:val="00A443E6"/>
    <w:rsid w:val="00A46A30"/>
    <w:rsid w:val="00A50BF3"/>
    <w:rsid w:val="00A510B7"/>
    <w:rsid w:val="00A52382"/>
    <w:rsid w:val="00A53051"/>
    <w:rsid w:val="00A54F7E"/>
    <w:rsid w:val="00A55E29"/>
    <w:rsid w:val="00A60969"/>
    <w:rsid w:val="00A61311"/>
    <w:rsid w:val="00A62C6A"/>
    <w:rsid w:val="00A6346E"/>
    <w:rsid w:val="00A6593D"/>
    <w:rsid w:val="00A65DD5"/>
    <w:rsid w:val="00A705B2"/>
    <w:rsid w:val="00A76352"/>
    <w:rsid w:val="00A76C7C"/>
    <w:rsid w:val="00A77F39"/>
    <w:rsid w:val="00A91921"/>
    <w:rsid w:val="00A97836"/>
    <w:rsid w:val="00AA3552"/>
    <w:rsid w:val="00AA51DC"/>
    <w:rsid w:val="00AB0AD7"/>
    <w:rsid w:val="00AB0D70"/>
    <w:rsid w:val="00AB349B"/>
    <w:rsid w:val="00AB4565"/>
    <w:rsid w:val="00AB61A3"/>
    <w:rsid w:val="00AC6FDE"/>
    <w:rsid w:val="00AD2310"/>
    <w:rsid w:val="00AD23C1"/>
    <w:rsid w:val="00AD25E6"/>
    <w:rsid w:val="00AD46CA"/>
    <w:rsid w:val="00AD6054"/>
    <w:rsid w:val="00AD6088"/>
    <w:rsid w:val="00AD6EAB"/>
    <w:rsid w:val="00AD71BB"/>
    <w:rsid w:val="00AE1E6F"/>
    <w:rsid w:val="00AE43E0"/>
    <w:rsid w:val="00AE5E31"/>
    <w:rsid w:val="00AE71D4"/>
    <w:rsid w:val="00AF1E69"/>
    <w:rsid w:val="00AF1F22"/>
    <w:rsid w:val="00AF372A"/>
    <w:rsid w:val="00AF5EBE"/>
    <w:rsid w:val="00AF6CE9"/>
    <w:rsid w:val="00AF6D10"/>
    <w:rsid w:val="00B007B0"/>
    <w:rsid w:val="00B015A9"/>
    <w:rsid w:val="00B016A5"/>
    <w:rsid w:val="00B02D0B"/>
    <w:rsid w:val="00B03909"/>
    <w:rsid w:val="00B1049F"/>
    <w:rsid w:val="00B12132"/>
    <w:rsid w:val="00B1222A"/>
    <w:rsid w:val="00B123FC"/>
    <w:rsid w:val="00B21066"/>
    <w:rsid w:val="00B21211"/>
    <w:rsid w:val="00B219C6"/>
    <w:rsid w:val="00B2227C"/>
    <w:rsid w:val="00B32ACF"/>
    <w:rsid w:val="00B33723"/>
    <w:rsid w:val="00B36B44"/>
    <w:rsid w:val="00B40152"/>
    <w:rsid w:val="00B41091"/>
    <w:rsid w:val="00B4160E"/>
    <w:rsid w:val="00B41B8D"/>
    <w:rsid w:val="00B41BDC"/>
    <w:rsid w:val="00B42C94"/>
    <w:rsid w:val="00B42FCE"/>
    <w:rsid w:val="00B43BBE"/>
    <w:rsid w:val="00B4558F"/>
    <w:rsid w:val="00B461D3"/>
    <w:rsid w:val="00B468B2"/>
    <w:rsid w:val="00B47534"/>
    <w:rsid w:val="00B476AD"/>
    <w:rsid w:val="00B479E3"/>
    <w:rsid w:val="00B53C91"/>
    <w:rsid w:val="00B55673"/>
    <w:rsid w:val="00B5573A"/>
    <w:rsid w:val="00B562B0"/>
    <w:rsid w:val="00B60281"/>
    <w:rsid w:val="00B61B01"/>
    <w:rsid w:val="00B70B72"/>
    <w:rsid w:val="00B72CA7"/>
    <w:rsid w:val="00B7461C"/>
    <w:rsid w:val="00B74F22"/>
    <w:rsid w:val="00B76FD4"/>
    <w:rsid w:val="00B8159B"/>
    <w:rsid w:val="00B81D00"/>
    <w:rsid w:val="00B85F92"/>
    <w:rsid w:val="00B864AB"/>
    <w:rsid w:val="00B90B0F"/>
    <w:rsid w:val="00B968CF"/>
    <w:rsid w:val="00B96F36"/>
    <w:rsid w:val="00BA2FEB"/>
    <w:rsid w:val="00BA43C3"/>
    <w:rsid w:val="00BA43C9"/>
    <w:rsid w:val="00BA509E"/>
    <w:rsid w:val="00BB05AC"/>
    <w:rsid w:val="00BB1136"/>
    <w:rsid w:val="00BB5978"/>
    <w:rsid w:val="00BB65CE"/>
    <w:rsid w:val="00BC2174"/>
    <w:rsid w:val="00BC3466"/>
    <w:rsid w:val="00BC35B5"/>
    <w:rsid w:val="00BC3C25"/>
    <w:rsid w:val="00BC5554"/>
    <w:rsid w:val="00BD103D"/>
    <w:rsid w:val="00BD28A8"/>
    <w:rsid w:val="00BD334C"/>
    <w:rsid w:val="00BD35D7"/>
    <w:rsid w:val="00BE1FB5"/>
    <w:rsid w:val="00BE31FE"/>
    <w:rsid w:val="00BE36BE"/>
    <w:rsid w:val="00BE3966"/>
    <w:rsid w:val="00BE6399"/>
    <w:rsid w:val="00BE71E0"/>
    <w:rsid w:val="00BE72FB"/>
    <w:rsid w:val="00BE7774"/>
    <w:rsid w:val="00BF060F"/>
    <w:rsid w:val="00BF06CF"/>
    <w:rsid w:val="00BF3247"/>
    <w:rsid w:val="00BF615E"/>
    <w:rsid w:val="00BF72EF"/>
    <w:rsid w:val="00BF733F"/>
    <w:rsid w:val="00BF7C83"/>
    <w:rsid w:val="00C00093"/>
    <w:rsid w:val="00C042A7"/>
    <w:rsid w:val="00C04C8A"/>
    <w:rsid w:val="00C0659E"/>
    <w:rsid w:val="00C1330F"/>
    <w:rsid w:val="00C1350E"/>
    <w:rsid w:val="00C144B7"/>
    <w:rsid w:val="00C15A2A"/>
    <w:rsid w:val="00C16C27"/>
    <w:rsid w:val="00C2280C"/>
    <w:rsid w:val="00C22D4A"/>
    <w:rsid w:val="00C22FFF"/>
    <w:rsid w:val="00C25137"/>
    <w:rsid w:val="00C30F7B"/>
    <w:rsid w:val="00C327E4"/>
    <w:rsid w:val="00C34034"/>
    <w:rsid w:val="00C357BD"/>
    <w:rsid w:val="00C35F76"/>
    <w:rsid w:val="00C36488"/>
    <w:rsid w:val="00C42D8E"/>
    <w:rsid w:val="00C44DD9"/>
    <w:rsid w:val="00C45DB4"/>
    <w:rsid w:val="00C4662C"/>
    <w:rsid w:val="00C4790C"/>
    <w:rsid w:val="00C51D19"/>
    <w:rsid w:val="00C535B7"/>
    <w:rsid w:val="00C54EEF"/>
    <w:rsid w:val="00C6208F"/>
    <w:rsid w:val="00C6483C"/>
    <w:rsid w:val="00C64FA7"/>
    <w:rsid w:val="00C71F2B"/>
    <w:rsid w:val="00C737F6"/>
    <w:rsid w:val="00C761EB"/>
    <w:rsid w:val="00C7646A"/>
    <w:rsid w:val="00C82651"/>
    <w:rsid w:val="00C8515D"/>
    <w:rsid w:val="00C876E3"/>
    <w:rsid w:val="00C901DB"/>
    <w:rsid w:val="00C928A4"/>
    <w:rsid w:val="00C92904"/>
    <w:rsid w:val="00C951A9"/>
    <w:rsid w:val="00C97E9A"/>
    <w:rsid w:val="00C97F7C"/>
    <w:rsid w:val="00CA0641"/>
    <w:rsid w:val="00CA0DFC"/>
    <w:rsid w:val="00CA1AED"/>
    <w:rsid w:val="00CA414A"/>
    <w:rsid w:val="00CB4BA4"/>
    <w:rsid w:val="00CB68DE"/>
    <w:rsid w:val="00CB6CB4"/>
    <w:rsid w:val="00CB771D"/>
    <w:rsid w:val="00CB7882"/>
    <w:rsid w:val="00CC3486"/>
    <w:rsid w:val="00CC6D83"/>
    <w:rsid w:val="00CD5135"/>
    <w:rsid w:val="00CD619E"/>
    <w:rsid w:val="00CD71B8"/>
    <w:rsid w:val="00CE00C5"/>
    <w:rsid w:val="00CE0426"/>
    <w:rsid w:val="00CE23FB"/>
    <w:rsid w:val="00CE3E0E"/>
    <w:rsid w:val="00CF0C33"/>
    <w:rsid w:val="00CF0E16"/>
    <w:rsid w:val="00CF42D8"/>
    <w:rsid w:val="00CF7749"/>
    <w:rsid w:val="00D02550"/>
    <w:rsid w:val="00D034FE"/>
    <w:rsid w:val="00D07774"/>
    <w:rsid w:val="00D113E4"/>
    <w:rsid w:val="00D11AC4"/>
    <w:rsid w:val="00D1349E"/>
    <w:rsid w:val="00D13D39"/>
    <w:rsid w:val="00D17D40"/>
    <w:rsid w:val="00D20B14"/>
    <w:rsid w:val="00D210BC"/>
    <w:rsid w:val="00D220DC"/>
    <w:rsid w:val="00D222EE"/>
    <w:rsid w:val="00D23089"/>
    <w:rsid w:val="00D269E1"/>
    <w:rsid w:val="00D304C6"/>
    <w:rsid w:val="00D30A9D"/>
    <w:rsid w:val="00D31120"/>
    <w:rsid w:val="00D31B90"/>
    <w:rsid w:val="00D32CCB"/>
    <w:rsid w:val="00D347EA"/>
    <w:rsid w:val="00D37196"/>
    <w:rsid w:val="00D41E10"/>
    <w:rsid w:val="00D42CF5"/>
    <w:rsid w:val="00D449CE"/>
    <w:rsid w:val="00D466B6"/>
    <w:rsid w:val="00D46E8C"/>
    <w:rsid w:val="00D50176"/>
    <w:rsid w:val="00D502B2"/>
    <w:rsid w:val="00D5339A"/>
    <w:rsid w:val="00D5357E"/>
    <w:rsid w:val="00D539DA"/>
    <w:rsid w:val="00D54225"/>
    <w:rsid w:val="00D57D49"/>
    <w:rsid w:val="00D57F94"/>
    <w:rsid w:val="00D617BD"/>
    <w:rsid w:val="00D632FA"/>
    <w:rsid w:val="00D64599"/>
    <w:rsid w:val="00D65094"/>
    <w:rsid w:val="00D65CF9"/>
    <w:rsid w:val="00D66635"/>
    <w:rsid w:val="00D67241"/>
    <w:rsid w:val="00D67479"/>
    <w:rsid w:val="00D67AEA"/>
    <w:rsid w:val="00D7297A"/>
    <w:rsid w:val="00D7456F"/>
    <w:rsid w:val="00D75D8E"/>
    <w:rsid w:val="00D80D95"/>
    <w:rsid w:val="00D8462A"/>
    <w:rsid w:val="00D84B3B"/>
    <w:rsid w:val="00D857AB"/>
    <w:rsid w:val="00D87B51"/>
    <w:rsid w:val="00D9023F"/>
    <w:rsid w:val="00D912AA"/>
    <w:rsid w:val="00D912D5"/>
    <w:rsid w:val="00D91AAF"/>
    <w:rsid w:val="00D92222"/>
    <w:rsid w:val="00D9248E"/>
    <w:rsid w:val="00D9363D"/>
    <w:rsid w:val="00D9665D"/>
    <w:rsid w:val="00DA176B"/>
    <w:rsid w:val="00DA1B9E"/>
    <w:rsid w:val="00DA1C5D"/>
    <w:rsid w:val="00DA484A"/>
    <w:rsid w:val="00DA50F2"/>
    <w:rsid w:val="00DA5223"/>
    <w:rsid w:val="00DA59C6"/>
    <w:rsid w:val="00DA67A9"/>
    <w:rsid w:val="00DB0ED7"/>
    <w:rsid w:val="00DB5B21"/>
    <w:rsid w:val="00DB6C83"/>
    <w:rsid w:val="00DB78BE"/>
    <w:rsid w:val="00DB7C70"/>
    <w:rsid w:val="00DC43A1"/>
    <w:rsid w:val="00DC5805"/>
    <w:rsid w:val="00DC59AD"/>
    <w:rsid w:val="00DC7E01"/>
    <w:rsid w:val="00DC7E96"/>
    <w:rsid w:val="00DD1CE7"/>
    <w:rsid w:val="00DD2492"/>
    <w:rsid w:val="00DD4054"/>
    <w:rsid w:val="00DD4072"/>
    <w:rsid w:val="00DD436A"/>
    <w:rsid w:val="00DD6476"/>
    <w:rsid w:val="00DD657B"/>
    <w:rsid w:val="00DD70F9"/>
    <w:rsid w:val="00DE444D"/>
    <w:rsid w:val="00DE723F"/>
    <w:rsid w:val="00DF0165"/>
    <w:rsid w:val="00DF78E9"/>
    <w:rsid w:val="00E10D6A"/>
    <w:rsid w:val="00E1192F"/>
    <w:rsid w:val="00E13699"/>
    <w:rsid w:val="00E149CE"/>
    <w:rsid w:val="00E161F2"/>
    <w:rsid w:val="00E17466"/>
    <w:rsid w:val="00E22504"/>
    <w:rsid w:val="00E23939"/>
    <w:rsid w:val="00E245B3"/>
    <w:rsid w:val="00E26C31"/>
    <w:rsid w:val="00E27300"/>
    <w:rsid w:val="00E30FBD"/>
    <w:rsid w:val="00E3245C"/>
    <w:rsid w:val="00E32D71"/>
    <w:rsid w:val="00E34F3E"/>
    <w:rsid w:val="00E36E2E"/>
    <w:rsid w:val="00E415F4"/>
    <w:rsid w:val="00E43375"/>
    <w:rsid w:val="00E46B20"/>
    <w:rsid w:val="00E50225"/>
    <w:rsid w:val="00E53B2B"/>
    <w:rsid w:val="00E53FCC"/>
    <w:rsid w:val="00E54446"/>
    <w:rsid w:val="00E55D3D"/>
    <w:rsid w:val="00E565F9"/>
    <w:rsid w:val="00E570F5"/>
    <w:rsid w:val="00E573AB"/>
    <w:rsid w:val="00E63ADB"/>
    <w:rsid w:val="00E63D06"/>
    <w:rsid w:val="00E64B92"/>
    <w:rsid w:val="00E657D1"/>
    <w:rsid w:val="00E66A6E"/>
    <w:rsid w:val="00E70985"/>
    <w:rsid w:val="00E70DBC"/>
    <w:rsid w:val="00E71264"/>
    <w:rsid w:val="00E72320"/>
    <w:rsid w:val="00E74464"/>
    <w:rsid w:val="00E761D6"/>
    <w:rsid w:val="00E76E60"/>
    <w:rsid w:val="00E77222"/>
    <w:rsid w:val="00E772B2"/>
    <w:rsid w:val="00E778EA"/>
    <w:rsid w:val="00E82EDE"/>
    <w:rsid w:val="00E85B0B"/>
    <w:rsid w:val="00E87438"/>
    <w:rsid w:val="00E9115B"/>
    <w:rsid w:val="00E927B9"/>
    <w:rsid w:val="00E92934"/>
    <w:rsid w:val="00E95889"/>
    <w:rsid w:val="00EA0A0F"/>
    <w:rsid w:val="00EA1982"/>
    <w:rsid w:val="00EA3508"/>
    <w:rsid w:val="00EA42C0"/>
    <w:rsid w:val="00EA6D68"/>
    <w:rsid w:val="00EB3C8F"/>
    <w:rsid w:val="00EB6746"/>
    <w:rsid w:val="00EB6E93"/>
    <w:rsid w:val="00EB7326"/>
    <w:rsid w:val="00EB74AC"/>
    <w:rsid w:val="00EC007D"/>
    <w:rsid w:val="00EC213B"/>
    <w:rsid w:val="00EC2183"/>
    <w:rsid w:val="00EC6ED5"/>
    <w:rsid w:val="00ED281F"/>
    <w:rsid w:val="00ED3A45"/>
    <w:rsid w:val="00ED5058"/>
    <w:rsid w:val="00ED6FD8"/>
    <w:rsid w:val="00EE085E"/>
    <w:rsid w:val="00EE139A"/>
    <w:rsid w:val="00EE2523"/>
    <w:rsid w:val="00EE277E"/>
    <w:rsid w:val="00EE5698"/>
    <w:rsid w:val="00EE60B2"/>
    <w:rsid w:val="00EE671E"/>
    <w:rsid w:val="00EF0DB3"/>
    <w:rsid w:val="00EF1C41"/>
    <w:rsid w:val="00EF2CB7"/>
    <w:rsid w:val="00EF6C38"/>
    <w:rsid w:val="00EF7BDF"/>
    <w:rsid w:val="00F005A4"/>
    <w:rsid w:val="00F00B5D"/>
    <w:rsid w:val="00F02EFC"/>
    <w:rsid w:val="00F03C02"/>
    <w:rsid w:val="00F03CC0"/>
    <w:rsid w:val="00F04B09"/>
    <w:rsid w:val="00F0752D"/>
    <w:rsid w:val="00F07AFF"/>
    <w:rsid w:val="00F11238"/>
    <w:rsid w:val="00F11333"/>
    <w:rsid w:val="00F128BA"/>
    <w:rsid w:val="00F1502E"/>
    <w:rsid w:val="00F21C12"/>
    <w:rsid w:val="00F26100"/>
    <w:rsid w:val="00F31590"/>
    <w:rsid w:val="00F328D1"/>
    <w:rsid w:val="00F338E5"/>
    <w:rsid w:val="00F35786"/>
    <w:rsid w:val="00F35872"/>
    <w:rsid w:val="00F37D4A"/>
    <w:rsid w:val="00F4187D"/>
    <w:rsid w:val="00F41D60"/>
    <w:rsid w:val="00F420E7"/>
    <w:rsid w:val="00F425BB"/>
    <w:rsid w:val="00F51C5C"/>
    <w:rsid w:val="00F5210D"/>
    <w:rsid w:val="00F5343C"/>
    <w:rsid w:val="00F5695F"/>
    <w:rsid w:val="00F56B27"/>
    <w:rsid w:val="00F611E6"/>
    <w:rsid w:val="00F618B5"/>
    <w:rsid w:val="00F652F8"/>
    <w:rsid w:val="00F6685B"/>
    <w:rsid w:val="00F67EBD"/>
    <w:rsid w:val="00F67EFD"/>
    <w:rsid w:val="00F70901"/>
    <w:rsid w:val="00F70DA9"/>
    <w:rsid w:val="00F75CD7"/>
    <w:rsid w:val="00F778C7"/>
    <w:rsid w:val="00F81102"/>
    <w:rsid w:val="00F8601B"/>
    <w:rsid w:val="00F86391"/>
    <w:rsid w:val="00F86493"/>
    <w:rsid w:val="00F87524"/>
    <w:rsid w:val="00F911B9"/>
    <w:rsid w:val="00F97512"/>
    <w:rsid w:val="00FA120C"/>
    <w:rsid w:val="00FA31DC"/>
    <w:rsid w:val="00FA36A3"/>
    <w:rsid w:val="00FA4E4A"/>
    <w:rsid w:val="00FB2359"/>
    <w:rsid w:val="00FB2B6A"/>
    <w:rsid w:val="00FB339A"/>
    <w:rsid w:val="00FB4DC2"/>
    <w:rsid w:val="00FB544E"/>
    <w:rsid w:val="00FB6D61"/>
    <w:rsid w:val="00FC00D1"/>
    <w:rsid w:val="00FC0A47"/>
    <w:rsid w:val="00FC0B3B"/>
    <w:rsid w:val="00FC3C84"/>
    <w:rsid w:val="00FC43F8"/>
    <w:rsid w:val="00FC5F7B"/>
    <w:rsid w:val="00FC6AC5"/>
    <w:rsid w:val="00FC76AC"/>
    <w:rsid w:val="00FD0737"/>
    <w:rsid w:val="00FD0D0F"/>
    <w:rsid w:val="00FD1358"/>
    <w:rsid w:val="00FD2121"/>
    <w:rsid w:val="00FD2C6F"/>
    <w:rsid w:val="00FD4C3D"/>
    <w:rsid w:val="00FD4EA6"/>
    <w:rsid w:val="00FD66C9"/>
    <w:rsid w:val="00FD7FBA"/>
    <w:rsid w:val="00FE0A29"/>
    <w:rsid w:val="00FE19ED"/>
    <w:rsid w:val="00FE2C3C"/>
    <w:rsid w:val="00FE4E14"/>
    <w:rsid w:val="00FE6E26"/>
    <w:rsid w:val="00FF2B0F"/>
    <w:rsid w:val="00FF3D5F"/>
    <w:rsid w:val="00FF4C2D"/>
    <w:rsid w:val="00FF55F6"/>
    <w:rsid w:val="00FF6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48EBC"/>
  <w15:chartTrackingRefBased/>
  <w15:docId w15:val="{220D5220-0A3D-4763-9FF1-BA4E2A8C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552"/>
    <w:rPr>
      <w:lang w:val="en-US"/>
    </w:rPr>
  </w:style>
  <w:style w:type="paragraph" w:styleId="1">
    <w:name w:val="heading 1"/>
    <w:basedOn w:val="a"/>
    <w:link w:val="10"/>
    <w:uiPriority w:val="9"/>
    <w:qFormat/>
    <w:rsid w:val="00D230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0342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089"/>
    <w:rPr>
      <w:rFonts w:ascii="Times New Roman" w:eastAsia="Times New Roman" w:hAnsi="Times New Roman" w:cs="Times New Roman"/>
      <w:b/>
      <w:bCs/>
      <w:kern w:val="36"/>
      <w:sz w:val="48"/>
      <w:szCs w:val="48"/>
      <w:lang w:eastAsia="ru-RU"/>
    </w:rPr>
  </w:style>
  <w:style w:type="character" w:styleId="a3">
    <w:name w:val="annotation reference"/>
    <w:basedOn w:val="a0"/>
    <w:uiPriority w:val="99"/>
    <w:unhideWhenUsed/>
    <w:rsid w:val="00E927B9"/>
    <w:rPr>
      <w:sz w:val="16"/>
      <w:szCs w:val="16"/>
    </w:rPr>
  </w:style>
  <w:style w:type="paragraph" w:styleId="a4">
    <w:name w:val="annotation text"/>
    <w:basedOn w:val="a"/>
    <w:link w:val="a5"/>
    <w:uiPriority w:val="99"/>
    <w:unhideWhenUsed/>
    <w:rsid w:val="00E927B9"/>
    <w:pPr>
      <w:spacing w:line="240" w:lineRule="auto"/>
    </w:pPr>
    <w:rPr>
      <w:sz w:val="20"/>
      <w:szCs w:val="20"/>
    </w:rPr>
  </w:style>
  <w:style w:type="character" w:customStyle="1" w:styleId="a5">
    <w:name w:val="Текст примечания Знак"/>
    <w:basedOn w:val="a0"/>
    <w:link w:val="a4"/>
    <w:uiPriority w:val="99"/>
    <w:rsid w:val="00E927B9"/>
    <w:rPr>
      <w:sz w:val="20"/>
      <w:szCs w:val="20"/>
    </w:rPr>
  </w:style>
  <w:style w:type="paragraph" w:styleId="a6">
    <w:name w:val="Balloon Text"/>
    <w:basedOn w:val="a"/>
    <w:link w:val="a7"/>
    <w:uiPriority w:val="99"/>
    <w:semiHidden/>
    <w:unhideWhenUsed/>
    <w:rsid w:val="00E927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927B9"/>
    <w:rPr>
      <w:rFonts w:ascii="Segoe UI" w:hAnsi="Segoe UI" w:cs="Segoe UI"/>
      <w:sz w:val="18"/>
      <w:szCs w:val="18"/>
    </w:rPr>
  </w:style>
  <w:style w:type="character" w:styleId="a8">
    <w:name w:val="Hyperlink"/>
    <w:basedOn w:val="a0"/>
    <w:uiPriority w:val="99"/>
    <w:unhideWhenUsed/>
    <w:rsid w:val="00D23089"/>
    <w:rPr>
      <w:color w:val="0563C1" w:themeColor="hyperlink"/>
      <w:u w:val="single"/>
    </w:rPr>
  </w:style>
  <w:style w:type="character" w:customStyle="1" w:styleId="access-icon">
    <w:name w:val="access-icon"/>
    <w:basedOn w:val="a0"/>
    <w:rsid w:val="00D23089"/>
  </w:style>
  <w:style w:type="character" w:customStyle="1" w:styleId="id-label">
    <w:name w:val="id-label"/>
    <w:basedOn w:val="a0"/>
    <w:rsid w:val="00D23089"/>
  </w:style>
  <w:style w:type="character" w:customStyle="1" w:styleId="authors">
    <w:name w:val="authors"/>
    <w:basedOn w:val="a0"/>
    <w:rsid w:val="00C42D8E"/>
  </w:style>
  <w:style w:type="character" w:customStyle="1" w:styleId="11">
    <w:name w:val="Дата1"/>
    <w:basedOn w:val="a0"/>
    <w:rsid w:val="00C42D8E"/>
  </w:style>
  <w:style w:type="character" w:customStyle="1" w:styleId="arttitle">
    <w:name w:val="art_title"/>
    <w:basedOn w:val="a0"/>
    <w:rsid w:val="00C42D8E"/>
  </w:style>
  <w:style w:type="character" w:customStyle="1" w:styleId="serialtitle">
    <w:name w:val="serial_title"/>
    <w:basedOn w:val="a0"/>
    <w:rsid w:val="00C42D8E"/>
  </w:style>
  <w:style w:type="character" w:customStyle="1" w:styleId="volumeissue">
    <w:name w:val="volume_issue"/>
    <w:basedOn w:val="a0"/>
    <w:rsid w:val="00C42D8E"/>
  </w:style>
  <w:style w:type="character" w:customStyle="1" w:styleId="pagerange">
    <w:name w:val="page_range"/>
    <w:basedOn w:val="a0"/>
    <w:rsid w:val="00C42D8E"/>
  </w:style>
  <w:style w:type="character" w:customStyle="1" w:styleId="doilink">
    <w:name w:val="doi_link"/>
    <w:basedOn w:val="a0"/>
    <w:rsid w:val="00C42D8E"/>
  </w:style>
  <w:style w:type="paragraph" w:styleId="a9">
    <w:name w:val="header"/>
    <w:basedOn w:val="a"/>
    <w:link w:val="aa"/>
    <w:uiPriority w:val="99"/>
    <w:unhideWhenUsed/>
    <w:rsid w:val="00C42D8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42D8E"/>
  </w:style>
  <w:style w:type="paragraph" w:styleId="ab">
    <w:name w:val="footer"/>
    <w:basedOn w:val="a"/>
    <w:link w:val="ac"/>
    <w:uiPriority w:val="99"/>
    <w:unhideWhenUsed/>
    <w:rsid w:val="00C42D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42D8E"/>
  </w:style>
  <w:style w:type="table" w:styleId="12">
    <w:name w:val="Plain Table 1"/>
    <w:basedOn w:val="a1"/>
    <w:uiPriority w:val="41"/>
    <w:rsid w:val="00B210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d">
    <w:name w:val="Table Grid"/>
    <w:basedOn w:val="a1"/>
    <w:uiPriority w:val="39"/>
    <w:rsid w:val="00025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72"/>
    <w:qFormat/>
    <w:rsid w:val="00473276"/>
    <w:pPr>
      <w:ind w:left="720"/>
      <w:contextualSpacing/>
    </w:pPr>
  </w:style>
  <w:style w:type="paragraph" w:styleId="af">
    <w:name w:val="annotation subject"/>
    <w:basedOn w:val="a4"/>
    <w:next w:val="a4"/>
    <w:link w:val="af0"/>
    <w:uiPriority w:val="99"/>
    <w:semiHidden/>
    <w:unhideWhenUsed/>
    <w:rsid w:val="00473276"/>
    <w:rPr>
      <w:b/>
      <w:bCs/>
    </w:rPr>
  </w:style>
  <w:style w:type="character" w:customStyle="1" w:styleId="af0">
    <w:name w:val="Тема примечания Знак"/>
    <w:basedOn w:val="a5"/>
    <w:link w:val="af"/>
    <w:uiPriority w:val="99"/>
    <w:semiHidden/>
    <w:rsid w:val="00473276"/>
    <w:rPr>
      <w:b/>
      <w:bCs/>
      <w:sz w:val="20"/>
      <w:szCs w:val="20"/>
    </w:rPr>
  </w:style>
  <w:style w:type="character" w:styleId="af1">
    <w:name w:val="Emphasis"/>
    <w:basedOn w:val="a0"/>
    <w:uiPriority w:val="20"/>
    <w:qFormat/>
    <w:rsid w:val="00473276"/>
    <w:rPr>
      <w:i/>
      <w:iCs/>
    </w:rPr>
  </w:style>
  <w:style w:type="character" w:customStyle="1" w:styleId="fontstyle01">
    <w:name w:val="fontstyle01"/>
    <w:basedOn w:val="a0"/>
    <w:rsid w:val="009D3D70"/>
    <w:rPr>
      <w:rFonts w:ascii="AdvAgfaRS" w:hAnsi="AdvAgfaRS" w:hint="default"/>
      <w:b w:val="0"/>
      <w:bCs w:val="0"/>
      <w:i w:val="0"/>
      <w:iCs w:val="0"/>
      <w:color w:val="000000"/>
      <w:sz w:val="18"/>
      <w:szCs w:val="18"/>
    </w:rPr>
  </w:style>
  <w:style w:type="character" w:customStyle="1" w:styleId="fontstyle21">
    <w:name w:val="fontstyle21"/>
    <w:basedOn w:val="a0"/>
    <w:rsid w:val="009D3D70"/>
    <w:rPr>
      <w:rFonts w:ascii="AdvAgfaRSI" w:hAnsi="AdvAgfaRSI" w:hint="default"/>
      <w:b w:val="0"/>
      <w:bCs w:val="0"/>
      <w:i w:val="0"/>
      <w:iCs w:val="0"/>
      <w:color w:val="000000"/>
      <w:sz w:val="18"/>
      <w:szCs w:val="18"/>
    </w:rPr>
  </w:style>
  <w:style w:type="character" w:customStyle="1" w:styleId="fontstyle31">
    <w:name w:val="fontstyle31"/>
    <w:basedOn w:val="a0"/>
    <w:rsid w:val="009D3D70"/>
    <w:rPr>
      <w:rFonts w:ascii="AdvAgfaRSB" w:hAnsi="AdvAgfaRSB" w:hint="default"/>
      <w:b w:val="0"/>
      <w:bCs w:val="0"/>
      <w:i w:val="0"/>
      <w:iCs w:val="0"/>
      <w:color w:val="000000"/>
      <w:sz w:val="18"/>
      <w:szCs w:val="18"/>
    </w:rPr>
  </w:style>
  <w:style w:type="character" w:customStyle="1" w:styleId="authors-list-item">
    <w:name w:val="authors-list-item"/>
    <w:basedOn w:val="a0"/>
    <w:rsid w:val="009D3D70"/>
  </w:style>
  <w:style w:type="character" w:customStyle="1" w:styleId="author-sup-separator">
    <w:name w:val="author-sup-separator"/>
    <w:basedOn w:val="a0"/>
    <w:rsid w:val="009D3D70"/>
  </w:style>
  <w:style w:type="character" w:customStyle="1" w:styleId="comma">
    <w:name w:val="comma"/>
    <w:basedOn w:val="a0"/>
    <w:rsid w:val="009D3D70"/>
  </w:style>
  <w:style w:type="character" w:customStyle="1" w:styleId="identifier">
    <w:name w:val="identifier"/>
    <w:basedOn w:val="a0"/>
    <w:rsid w:val="009D3D70"/>
  </w:style>
  <w:style w:type="character" w:customStyle="1" w:styleId="mixed-citation">
    <w:name w:val="mixed-citation"/>
    <w:basedOn w:val="a0"/>
    <w:rsid w:val="00C22D4A"/>
  </w:style>
  <w:style w:type="character" w:customStyle="1" w:styleId="ref-title">
    <w:name w:val="ref-title"/>
    <w:basedOn w:val="a0"/>
    <w:rsid w:val="00C22D4A"/>
  </w:style>
  <w:style w:type="character" w:customStyle="1" w:styleId="ref-journal">
    <w:name w:val="ref-journal"/>
    <w:basedOn w:val="a0"/>
    <w:rsid w:val="00C22D4A"/>
  </w:style>
  <w:style w:type="character" w:customStyle="1" w:styleId="ref-vol">
    <w:name w:val="ref-vol"/>
    <w:basedOn w:val="a0"/>
    <w:rsid w:val="00C22D4A"/>
  </w:style>
  <w:style w:type="character" w:customStyle="1" w:styleId="nowrap">
    <w:name w:val="nowrap"/>
    <w:basedOn w:val="a0"/>
    <w:rsid w:val="00C22D4A"/>
  </w:style>
  <w:style w:type="character" w:customStyle="1" w:styleId="doi">
    <w:name w:val="doi"/>
    <w:basedOn w:val="a0"/>
    <w:rsid w:val="00C22D4A"/>
  </w:style>
  <w:style w:type="character" w:customStyle="1" w:styleId="fm-citation-ids-label">
    <w:name w:val="fm-citation-ids-label"/>
    <w:basedOn w:val="a0"/>
    <w:rsid w:val="00C22D4A"/>
  </w:style>
  <w:style w:type="character" w:customStyle="1" w:styleId="fm-vol-iss-date">
    <w:name w:val="fm-vol-iss-date"/>
    <w:basedOn w:val="a0"/>
    <w:rsid w:val="00C22D4A"/>
  </w:style>
  <w:style w:type="paragraph" w:styleId="af2">
    <w:name w:val="Revision"/>
    <w:hidden/>
    <w:uiPriority w:val="99"/>
    <w:semiHidden/>
    <w:rsid w:val="00DD2492"/>
    <w:pPr>
      <w:spacing w:after="0" w:line="240" w:lineRule="auto"/>
    </w:pPr>
  </w:style>
  <w:style w:type="paragraph" w:styleId="af3">
    <w:name w:val="Bibliography"/>
    <w:basedOn w:val="a"/>
    <w:next w:val="a"/>
    <w:uiPriority w:val="37"/>
    <w:unhideWhenUsed/>
    <w:rsid w:val="00BA43C3"/>
    <w:pPr>
      <w:tabs>
        <w:tab w:val="left" w:pos="504"/>
      </w:tabs>
      <w:spacing w:after="240" w:line="240" w:lineRule="auto"/>
      <w:ind w:left="504" w:hanging="504"/>
    </w:pPr>
  </w:style>
  <w:style w:type="character" w:styleId="af4">
    <w:name w:val="Placeholder Text"/>
    <w:basedOn w:val="a0"/>
    <w:uiPriority w:val="99"/>
    <w:semiHidden/>
    <w:rsid w:val="00C4662C"/>
    <w:rPr>
      <w:color w:val="808080"/>
    </w:rPr>
  </w:style>
  <w:style w:type="character" w:customStyle="1" w:styleId="orcid-id-https">
    <w:name w:val="orcid-id-https"/>
    <w:basedOn w:val="a0"/>
    <w:rsid w:val="009732AF"/>
  </w:style>
  <w:style w:type="character" w:customStyle="1" w:styleId="40">
    <w:name w:val="Заголовок 4 Знак"/>
    <w:basedOn w:val="a0"/>
    <w:link w:val="4"/>
    <w:uiPriority w:val="9"/>
    <w:semiHidden/>
    <w:rsid w:val="00034288"/>
    <w:rPr>
      <w:rFonts w:asciiTheme="majorHAnsi" w:eastAsiaTheme="majorEastAsia" w:hAnsiTheme="majorHAnsi" w:cstheme="majorBidi"/>
      <w:i/>
      <w:iCs/>
      <w:color w:val="2E74B5" w:themeColor="accent1" w:themeShade="BF"/>
      <w:lang w:val="en-US"/>
    </w:rPr>
  </w:style>
  <w:style w:type="numbering" w:customStyle="1" w:styleId="13">
    <w:name w:val="Нет списка1"/>
    <w:next w:val="a2"/>
    <w:uiPriority w:val="99"/>
    <w:semiHidden/>
    <w:unhideWhenUsed/>
    <w:rsid w:val="00375C7A"/>
  </w:style>
  <w:style w:type="table" w:customStyle="1" w:styleId="14">
    <w:name w:val="Сетка таблицы1"/>
    <w:basedOn w:val="a1"/>
    <w:next w:val="ad"/>
    <w:uiPriority w:val="39"/>
    <w:rsid w:val="00375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 простая 11"/>
    <w:basedOn w:val="a1"/>
    <w:next w:val="12"/>
    <w:uiPriority w:val="41"/>
    <w:rsid w:val="00375C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792001">
      <w:bodyDiv w:val="1"/>
      <w:marLeft w:val="0"/>
      <w:marRight w:val="0"/>
      <w:marTop w:val="0"/>
      <w:marBottom w:val="0"/>
      <w:divBdr>
        <w:top w:val="none" w:sz="0" w:space="0" w:color="auto"/>
        <w:left w:val="none" w:sz="0" w:space="0" w:color="auto"/>
        <w:bottom w:val="none" w:sz="0" w:space="0" w:color="auto"/>
        <w:right w:val="none" w:sz="0" w:space="0" w:color="auto"/>
      </w:divBdr>
    </w:div>
    <w:div w:id="885339675">
      <w:bodyDiv w:val="1"/>
      <w:marLeft w:val="0"/>
      <w:marRight w:val="0"/>
      <w:marTop w:val="0"/>
      <w:marBottom w:val="0"/>
      <w:divBdr>
        <w:top w:val="none" w:sz="0" w:space="0" w:color="auto"/>
        <w:left w:val="none" w:sz="0" w:space="0" w:color="auto"/>
        <w:bottom w:val="none" w:sz="0" w:space="0" w:color="auto"/>
        <w:right w:val="none" w:sz="0" w:space="0" w:color="auto"/>
      </w:divBdr>
    </w:div>
    <w:div w:id="213471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F43B-6539-442A-A851-B7A44DFE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17274</Words>
  <Characters>98468</Characters>
  <Application>Microsoft Office Word</Application>
  <DocSecurity>0</DocSecurity>
  <Lines>820</Lines>
  <Paragraphs>231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Denis</cp:lastModifiedBy>
  <cp:revision>2</cp:revision>
  <cp:lastPrinted>2021-03-29T18:29:00Z</cp:lastPrinted>
  <dcterms:created xsi:type="dcterms:W3CDTF">2021-10-19T15:32:00Z</dcterms:created>
  <dcterms:modified xsi:type="dcterms:W3CDTF">2021-10-19T15:32:00Z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id="AkeASnBu"/&gt;&lt;style id="http://www.zotero.org/styles/vancouver" locale="en-GB"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