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5924F" w14:textId="77777777" w:rsidR="00CE1480" w:rsidRPr="00CE4096" w:rsidRDefault="00EB3697">
      <w:pPr>
        <w:outlineLvl w:val="0"/>
        <w:rPr>
          <w:rFonts w:ascii="Times New Roman" w:eastAsia="DengXian" w:hAnsi="Times New Roman" w:cs="Times New Roman"/>
          <w:b/>
          <w:kern w:val="0"/>
          <w:sz w:val="28"/>
          <w:szCs w:val="28"/>
        </w:rPr>
      </w:pPr>
      <w:bookmarkStart w:id="0" w:name="_Hlk498414835"/>
      <w:r w:rsidRPr="00CE4096">
        <w:rPr>
          <w:rFonts w:ascii="Times New Roman" w:eastAsia="DengXian" w:hAnsi="Times New Roman" w:cs="Times New Roman"/>
          <w:b/>
          <w:kern w:val="0"/>
          <w:sz w:val="28"/>
          <w:szCs w:val="28"/>
        </w:rPr>
        <w:t>Supplementary</w:t>
      </w:r>
    </w:p>
    <w:bookmarkEnd w:id="0"/>
    <w:p w14:paraId="6B9AB0F2" w14:textId="77777777" w:rsidR="00CE1480" w:rsidRPr="00CE4096" w:rsidRDefault="00EB3697">
      <w:pPr>
        <w:spacing w:beforeLines="50" w:before="156" w:afterLines="50" w:after="156"/>
        <w:rPr>
          <w:rFonts w:ascii="Times New Roman" w:eastAsia="DengXian" w:hAnsi="Times New Roman" w:cs="Times New Roman"/>
          <w:szCs w:val="21"/>
        </w:rPr>
      </w:pPr>
      <w:r w:rsidRPr="00CE4096">
        <w:rPr>
          <w:rFonts w:ascii="Times New Roman" w:eastAsia="DengXian" w:hAnsi="Times New Roman" w:cs="Times New Roman" w:hint="eastAsia"/>
          <w:noProof/>
          <w:szCs w:val="21"/>
        </w:rPr>
        <w:drawing>
          <wp:inline distT="0" distB="0" distL="114300" distR="114300" wp14:anchorId="6748F9D0" wp14:editId="75A491C7">
            <wp:extent cx="4286250" cy="2870835"/>
            <wp:effectExtent l="0" t="0" r="6350" b="12065"/>
            <wp:docPr id="3" name="图片 3"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图片1"/>
                    <pic:cNvPicPr>
                      <a:picLocks noChangeAspect="1"/>
                    </pic:cNvPicPr>
                  </pic:nvPicPr>
                  <pic:blipFill>
                    <a:blip r:embed="rId8"/>
                    <a:stretch>
                      <a:fillRect/>
                    </a:stretch>
                  </pic:blipFill>
                  <pic:spPr>
                    <a:xfrm>
                      <a:off x="0" y="0"/>
                      <a:ext cx="4286250" cy="2870835"/>
                    </a:xfrm>
                    <a:prstGeom prst="rect">
                      <a:avLst/>
                    </a:prstGeom>
                  </pic:spPr>
                </pic:pic>
              </a:graphicData>
            </a:graphic>
          </wp:inline>
        </w:drawing>
      </w:r>
    </w:p>
    <w:p w14:paraId="2883225C" w14:textId="77777777" w:rsidR="00CE1480" w:rsidRPr="00CE4096" w:rsidRDefault="00EB3697">
      <w:pPr>
        <w:pStyle w:val="1"/>
        <w:rPr>
          <w:b/>
          <w:bCs/>
        </w:rPr>
      </w:pPr>
      <w:r w:rsidRPr="00CE4096">
        <w:rPr>
          <w:rFonts w:eastAsia="DengXian"/>
          <w:b/>
          <w:bCs/>
        </w:rPr>
        <w:t xml:space="preserve">Figure S1 </w:t>
      </w:r>
      <w:r w:rsidRPr="00CE4096">
        <w:rPr>
          <w:b/>
          <w:bCs/>
          <w:sz w:val="24"/>
          <w:szCs w:val="24"/>
        </w:rPr>
        <w:t>Flowchart of literature search and the selection of the included studies</w:t>
      </w:r>
    </w:p>
    <w:p w14:paraId="49C9F35F" w14:textId="77777777" w:rsidR="00CE1480" w:rsidRPr="00CE4096" w:rsidRDefault="00CE1480">
      <w:pPr>
        <w:spacing w:beforeLines="50" w:before="156" w:afterLines="50" w:after="156"/>
        <w:rPr>
          <w:rFonts w:ascii="Times New Roman" w:eastAsia="DengXian" w:hAnsi="Times New Roman" w:cs="Times New Roman"/>
          <w:szCs w:val="21"/>
        </w:rPr>
      </w:pPr>
    </w:p>
    <w:p w14:paraId="638A5615" w14:textId="77777777" w:rsidR="00CE1480" w:rsidRPr="00CE4096" w:rsidRDefault="00CE1480">
      <w:pPr>
        <w:spacing w:beforeLines="50" w:before="156" w:afterLines="50" w:after="156"/>
        <w:rPr>
          <w:rFonts w:ascii="Times New Roman" w:eastAsia="DengXian" w:hAnsi="Times New Roman" w:cs="Times New Roman"/>
          <w:szCs w:val="21"/>
        </w:rPr>
      </w:pPr>
    </w:p>
    <w:p w14:paraId="4D1543E9" w14:textId="77777777" w:rsidR="00CE1480" w:rsidRPr="00CE4096" w:rsidRDefault="00CE1480">
      <w:pPr>
        <w:spacing w:beforeLines="50" w:before="156" w:afterLines="50" w:after="156"/>
        <w:rPr>
          <w:rFonts w:ascii="Times New Roman" w:eastAsia="DengXian" w:hAnsi="Times New Roman" w:cs="Times New Roman"/>
          <w:szCs w:val="21"/>
        </w:rPr>
      </w:pPr>
    </w:p>
    <w:p w14:paraId="43DB2B25" w14:textId="77777777" w:rsidR="00CE1480" w:rsidRPr="00CE4096" w:rsidRDefault="00CE1480">
      <w:pPr>
        <w:spacing w:beforeLines="50" w:before="156" w:afterLines="50" w:after="156"/>
        <w:rPr>
          <w:rFonts w:ascii="Times New Roman" w:eastAsia="DengXian" w:hAnsi="Times New Roman" w:cs="Times New Roman"/>
          <w:szCs w:val="21"/>
        </w:rPr>
      </w:pPr>
    </w:p>
    <w:p w14:paraId="4A12FAB0" w14:textId="77777777" w:rsidR="00CE1480" w:rsidRPr="00CE4096" w:rsidRDefault="00CE1480">
      <w:pPr>
        <w:spacing w:beforeLines="50" w:before="156" w:afterLines="50" w:after="156"/>
        <w:rPr>
          <w:rFonts w:ascii="Times New Roman" w:eastAsia="DengXian" w:hAnsi="Times New Roman" w:cs="Times New Roman"/>
          <w:szCs w:val="21"/>
        </w:rPr>
      </w:pPr>
    </w:p>
    <w:p w14:paraId="55282061" w14:textId="77777777" w:rsidR="00CE1480" w:rsidRPr="00CE4096" w:rsidRDefault="00CE1480">
      <w:pPr>
        <w:spacing w:beforeLines="50" w:before="156" w:afterLines="50" w:after="156"/>
        <w:rPr>
          <w:rFonts w:ascii="Times New Roman" w:eastAsia="DengXian" w:hAnsi="Times New Roman" w:cs="Times New Roman"/>
          <w:szCs w:val="21"/>
        </w:rPr>
      </w:pPr>
    </w:p>
    <w:p w14:paraId="7F6F1F66" w14:textId="77777777" w:rsidR="00CE1480" w:rsidRPr="00CE4096" w:rsidRDefault="00CE1480">
      <w:pPr>
        <w:rPr>
          <w:rFonts w:ascii="Times New Roman" w:hAnsi="Times New Roman" w:cs="Times New Roman"/>
        </w:rPr>
        <w:sectPr w:rsidR="00CE1480" w:rsidRPr="00CE4096">
          <w:pgSz w:w="11906" w:h="16838"/>
          <w:pgMar w:top="1440" w:right="1800" w:bottom="1440" w:left="1800" w:header="851" w:footer="992" w:gutter="0"/>
          <w:cols w:space="425"/>
          <w:docGrid w:type="lines" w:linePitch="312"/>
        </w:sectPr>
      </w:pPr>
    </w:p>
    <w:p w14:paraId="6514770D" w14:textId="77777777" w:rsidR="00CE1480" w:rsidRPr="00CE4096" w:rsidRDefault="00EB3697">
      <w:pPr>
        <w:rPr>
          <w:rFonts w:ascii="Times New Roman" w:hAnsi="Times New Roman" w:cs="Times New Roman"/>
          <w:b/>
          <w:bCs/>
          <w:sz w:val="24"/>
          <w:szCs w:val="32"/>
        </w:rPr>
      </w:pPr>
      <w:r w:rsidRPr="00CE4096">
        <w:rPr>
          <w:rFonts w:ascii="Times New Roman" w:hAnsi="Times New Roman" w:cs="Times New Roman"/>
          <w:b/>
          <w:bCs/>
          <w:sz w:val="24"/>
          <w:szCs w:val="32"/>
        </w:rPr>
        <w:lastRenderedPageBreak/>
        <w:t>Table S1 Summary of the included studies*</w:t>
      </w:r>
    </w:p>
    <w:tbl>
      <w:tblPr>
        <w:tblStyle w:val="TableGrid"/>
        <w:tblW w:w="494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8"/>
        <w:gridCol w:w="2688"/>
        <w:gridCol w:w="2131"/>
        <w:gridCol w:w="1831"/>
        <w:gridCol w:w="1166"/>
        <w:gridCol w:w="1381"/>
        <w:gridCol w:w="1414"/>
        <w:gridCol w:w="1491"/>
      </w:tblGrid>
      <w:tr w:rsidR="00CE4096" w:rsidRPr="00CE4096" w14:paraId="06154691" w14:textId="77777777" w:rsidTr="00CA7930">
        <w:trPr>
          <w:tblHeader/>
        </w:trPr>
        <w:tc>
          <w:tcPr>
            <w:tcW w:w="618" w:type="pct"/>
            <w:tcBorders>
              <w:top w:val="single" w:sz="12" w:space="0" w:color="auto"/>
              <w:bottom w:val="single" w:sz="12" w:space="0" w:color="auto"/>
            </w:tcBorders>
          </w:tcPr>
          <w:p w14:paraId="5D28163F" w14:textId="77777777" w:rsidR="00CE1480" w:rsidRPr="00CE4096" w:rsidRDefault="00EB3697">
            <w:pPr>
              <w:spacing w:line="360" w:lineRule="auto"/>
              <w:rPr>
                <w:rFonts w:ascii="Arial" w:hAnsi="Arial" w:cs="Arial"/>
                <w:sz w:val="18"/>
                <w:szCs w:val="18"/>
              </w:rPr>
            </w:pPr>
            <w:r w:rsidRPr="00CE4096">
              <w:rPr>
                <w:rFonts w:ascii="Arial" w:hAnsi="Arial" w:cs="Arial"/>
                <w:sz w:val="18"/>
                <w:szCs w:val="18"/>
              </w:rPr>
              <w:t>Reference</w:t>
            </w:r>
          </w:p>
        </w:tc>
        <w:tc>
          <w:tcPr>
            <w:tcW w:w="973" w:type="pct"/>
            <w:tcBorders>
              <w:top w:val="single" w:sz="12" w:space="0" w:color="auto"/>
              <w:bottom w:val="single" w:sz="12" w:space="0" w:color="auto"/>
            </w:tcBorders>
          </w:tcPr>
          <w:p w14:paraId="65EA57A2" w14:textId="77777777" w:rsidR="00CE1480" w:rsidRPr="00CE4096" w:rsidRDefault="00EB3697">
            <w:pPr>
              <w:spacing w:line="360" w:lineRule="auto"/>
              <w:rPr>
                <w:rFonts w:ascii="Arial" w:hAnsi="Arial" w:cs="Arial"/>
                <w:sz w:val="18"/>
                <w:szCs w:val="18"/>
              </w:rPr>
            </w:pPr>
            <w:r w:rsidRPr="00CE4096">
              <w:rPr>
                <w:rFonts w:ascii="Arial" w:hAnsi="Arial" w:cs="Arial"/>
                <w:sz w:val="18"/>
                <w:szCs w:val="18"/>
              </w:rPr>
              <w:t>Treatment</w:t>
            </w:r>
          </w:p>
        </w:tc>
        <w:tc>
          <w:tcPr>
            <w:tcW w:w="771" w:type="pct"/>
            <w:tcBorders>
              <w:top w:val="single" w:sz="12" w:space="0" w:color="auto"/>
              <w:bottom w:val="single" w:sz="12" w:space="0" w:color="auto"/>
            </w:tcBorders>
          </w:tcPr>
          <w:p w14:paraId="6A30DF81" w14:textId="77777777" w:rsidR="00CE1480" w:rsidRPr="00CE4096" w:rsidRDefault="00EB3697">
            <w:pPr>
              <w:spacing w:line="360" w:lineRule="auto"/>
              <w:rPr>
                <w:rFonts w:ascii="Arial" w:hAnsi="Arial" w:cs="Arial"/>
                <w:sz w:val="18"/>
                <w:szCs w:val="18"/>
              </w:rPr>
            </w:pPr>
            <w:r w:rsidRPr="00CE4096">
              <w:rPr>
                <w:rFonts w:ascii="Arial" w:hAnsi="Arial" w:cs="Arial"/>
                <w:sz w:val="18"/>
                <w:szCs w:val="18"/>
              </w:rPr>
              <w:t>Disease setting</w:t>
            </w:r>
          </w:p>
        </w:tc>
        <w:tc>
          <w:tcPr>
            <w:tcW w:w="663" w:type="pct"/>
            <w:tcBorders>
              <w:top w:val="single" w:sz="12" w:space="0" w:color="auto"/>
              <w:bottom w:val="single" w:sz="12" w:space="0" w:color="auto"/>
            </w:tcBorders>
          </w:tcPr>
          <w:p w14:paraId="6FFB4927" w14:textId="77777777" w:rsidR="00CE1480" w:rsidRPr="00CE4096" w:rsidRDefault="00EB3697">
            <w:pPr>
              <w:spacing w:line="360" w:lineRule="auto"/>
              <w:rPr>
                <w:rFonts w:ascii="Arial" w:hAnsi="Arial" w:cs="Arial"/>
                <w:sz w:val="18"/>
                <w:szCs w:val="18"/>
              </w:rPr>
            </w:pPr>
            <w:r w:rsidRPr="00CE4096">
              <w:rPr>
                <w:rFonts w:ascii="Arial" w:hAnsi="Arial" w:cs="Arial"/>
                <w:sz w:val="18"/>
                <w:szCs w:val="18"/>
              </w:rPr>
              <w:t>Study type</w:t>
            </w:r>
          </w:p>
        </w:tc>
        <w:tc>
          <w:tcPr>
            <w:tcW w:w="422" w:type="pct"/>
            <w:tcBorders>
              <w:top w:val="single" w:sz="12" w:space="0" w:color="auto"/>
              <w:bottom w:val="single" w:sz="12" w:space="0" w:color="auto"/>
            </w:tcBorders>
          </w:tcPr>
          <w:p w14:paraId="16324F96" w14:textId="77777777" w:rsidR="00CE1480" w:rsidRPr="00CE4096" w:rsidRDefault="00EB3697">
            <w:pPr>
              <w:spacing w:line="360" w:lineRule="auto"/>
              <w:rPr>
                <w:rFonts w:ascii="Arial" w:hAnsi="Arial" w:cs="Arial"/>
                <w:sz w:val="18"/>
                <w:szCs w:val="18"/>
              </w:rPr>
            </w:pPr>
            <w:r w:rsidRPr="00CE4096">
              <w:rPr>
                <w:rFonts w:ascii="Arial" w:hAnsi="Arial" w:cs="Arial"/>
                <w:sz w:val="18"/>
                <w:szCs w:val="18"/>
              </w:rPr>
              <w:t xml:space="preserve">Total </w:t>
            </w:r>
            <w:proofErr w:type="spellStart"/>
            <w:r w:rsidRPr="00CE4096">
              <w:rPr>
                <w:rFonts w:ascii="Arial" w:hAnsi="Arial" w:cs="Arial"/>
                <w:sz w:val="18"/>
                <w:szCs w:val="18"/>
              </w:rPr>
              <w:t>N.of</w:t>
            </w:r>
            <w:proofErr w:type="spellEnd"/>
            <w:r w:rsidRPr="00CE4096">
              <w:rPr>
                <w:rFonts w:ascii="Arial" w:hAnsi="Arial" w:cs="Arial"/>
                <w:sz w:val="18"/>
                <w:szCs w:val="18"/>
              </w:rPr>
              <w:t xml:space="preserve"> pts</w:t>
            </w:r>
          </w:p>
        </w:tc>
        <w:tc>
          <w:tcPr>
            <w:tcW w:w="500" w:type="pct"/>
            <w:tcBorders>
              <w:top w:val="single" w:sz="12" w:space="0" w:color="auto"/>
              <w:bottom w:val="single" w:sz="12" w:space="0" w:color="auto"/>
            </w:tcBorders>
          </w:tcPr>
          <w:p w14:paraId="2323EF0E" w14:textId="77777777" w:rsidR="00CE1480" w:rsidRPr="00CE4096" w:rsidRDefault="00EB3697">
            <w:pPr>
              <w:spacing w:line="360" w:lineRule="auto"/>
              <w:rPr>
                <w:rFonts w:ascii="Arial" w:hAnsi="Arial" w:cs="Arial"/>
                <w:sz w:val="18"/>
                <w:szCs w:val="18"/>
              </w:rPr>
            </w:pPr>
            <w:proofErr w:type="spellStart"/>
            <w:r w:rsidRPr="00CE4096">
              <w:rPr>
                <w:rFonts w:ascii="Arial" w:hAnsi="Arial" w:cs="Arial"/>
                <w:sz w:val="18"/>
                <w:szCs w:val="18"/>
              </w:rPr>
              <w:t>N.of</w:t>
            </w:r>
            <w:proofErr w:type="spellEnd"/>
            <w:r w:rsidRPr="00CE4096">
              <w:rPr>
                <w:rFonts w:ascii="Arial" w:hAnsi="Arial" w:cs="Arial"/>
                <w:sz w:val="18"/>
                <w:szCs w:val="18"/>
              </w:rPr>
              <w:t xml:space="preserve"> </w:t>
            </w:r>
            <w:proofErr w:type="spellStart"/>
            <w:r w:rsidRPr="00CE4096">
              <w:rPr>
                <w:rFonts w:ascii="Arial" w:hAnsi="Arial" w:cs="Arial"/>
                <w:sz w:val="18"/>
                <w:szCs w:val="18"/>
              </w:rPr>
              <w:t>BRCAm</w:t>
            </w:r>
            <w:proofErr w:type="spellEnd"/>
            <w:r w:rsidRPr="00CE4096">
              <w:rPr>
                <w:rFonts w:ascii="Arial" w:hAnsi="Arial" w:cs="Arial"/>
                <w:sz w:val="18"/>
                <w:szCs w:val="18"/>
              </w:rPr>
              <w:t>/HRD positive pts</w:t>
            </w:r>
          </w:p>
        </w:tc>
        <w:tc>
          <w:tcPr>
            <w:tcW w:w="512" w:type="pct"/>
            <w:tcBorders>
              <w:top w:val="single" w:sz="12" w:space="0" w:color="auto"/>
              <w:bottom w:val="single" w:sz="12" w:space="0" w:color="auto"/>
            </w:tcBorders>
          </w:tcPr>
          <w:p w14:paraId="3496C374" w14:textId="77777777" w:rsidR="00CE1480" w:rsidRPr="00CE4096" w:rsidRDefault="00EB3697">
            <w:pPr>
              <w:spacing w:line="360" w:lineRule="auto"/>
              <w:rPr>
                <w:rFonts w:ascii="Arial" w:hAnsi="Arial" w:cs="Arial"/>
                <w:sz w:val="18"/>
                <w:szCs w:val="18"/>
              </w:rPr>
            </w:pPr>
            <w:proofErr w:type="spellStart"/>
            <w:r w:rsidRPr="00CE4096">
              <w:rPr>
                <w:rFonts w:ascii="Arial" w:hAnsi="Arial" w:cs="Arial"/>
                <w:sz w:val="18"/>
                <w:szCs w:val="18"/>
              </w:rPr>
              <w:t>N.of</w:t>
            </w:r>
            <w:proofErr w:type="spellEnd"/>
            <w:r w:rsidRPr="00CE4096">
              <w:rPr>
                <w:rFonts w:ascii="Arial" w:hAnsi="Arial" w:cs="Arial"/>
                <w:sz w:val="18"/>
                <w:szCs w:val="18"/>
              </w:rPr>
              <w:t xml:space="preserve"> </w:t>
            </w:r>
            <w:proofErr w:type="spellStart"/>
            <w:r w:rsidRPr="00CE4096">
              <w:rPr>
                <w:rFonts w:ascii="Arial" w:hAnsi="Arial" w:cs="Arial"/>
                <w:sz w:val="18"/>
                <w:szCs w:val="18"/>
              </w:rPr>
              <w:t>BRCAw</w:t>
            </w:r>
            <w:proofErr w:type="spellEnd"/>
            <w:r w:rsidRPr="00CE4096">
              <w:rPr>
                <w:rFonts w:ascii="Arial" w:hAnsi="Arial" w:cs="Arial"/>
                <w:sz w:val="18"/>
                <w:szCs w:val="18"/>
              </w:rPr>
              <w:t>/HRD negative pts</w:t>
            </w:r>
          </w:p>
        </w:tc>
        <w:tc>
          <w:tcPr>
            <w:tcW w:w="540" w:type="pct"/>
            <w:tcBorders>
              <w:top w:val="single" w:sz="12" w:space="0" w:color="auto"/>
              <w:bottom w:val="single" w:sz="12" w:space="0" w:color="auto"/>
            </w:tcBorders>
          </w:tcPr>
          <w:p w14:paraId="16D50B0A" w14:textId="77777777" w:rsidR="00CE1480" w:rsidRPr="00CE4096" w:rsidRDefault="00EB3697">
            <w:pPr>
              <w:spacing w:line="360" w:lineRule="auto"/>
              <w:rPr>
                <w:rFonts w:ascii="Arial" w:hAnsi="Arial" w:cs="Arial"/>
                <w:sz w:val="18"/>
                <w:szCs w:val="18"/>
              </w:rPr>
            </w:pPr>
            <w:r w:rsidRPr="00CE4096">
              <w:rPr>
                <w:rFonts w:ascii="Arial" w:hAnsi="Arial" w:cs="Arial"/>
                <w:sz w:val="18"/>
                <w:szCs w:val="18"/>
              </w:rPr>
              <w:t>ClinicalTrials.gov number</w:t>
            </w:r>
          </w:p>
        </w:tc>
      </w:tr>
      <w:tr w:rsidR="00CE4096" w:rsidRPr="00CE4096" w14:paraId="67FAFA71" w14:textId="77777777" w:rsidTr="00CA7930">
        <w:tc>
          <w:tcPr>
            <w:tcW w:w="618" w:type="pct"/>
            <w:tcBorders>
              <w:top w:val="single" w:sz="12" w:space="0" w:color="auto"/>
            </w:tcBorders>
          </w:tcPr>
          <w:p w14:paraId="7940EA89" w14:textId="6A42CC12" w:rsidR="00CE1480" w:rsidRPr="00CE4096" w:rsidRDefault="00EB3697">
            <w:pPr>
              <w:spacing w:line="360" w:lineRule="auto"/>
              <w:rPr>
                <w:rFonts w:ascii="Arial" w:hAnsi="Arial" w:cs="Arial"/>
                <w:sz w:val="18"/>
                <w:szCs w:val="18"/>
              </w:rPr>
            </w:pPr>
            <w:r w:rsidRPr="00CE4096">
              <w:rPr>
                <w:rFonts w:ascii="Arial" w:hAnsi="Arial" w:cs="Arial"/>
                <w:sz w:val="18"/>
                <w:szCs w:val="18"/>
              </w:rPr>
              <w:t>Ledermann2014 (study19)</w:t>
            </w:r>
            <w:r w:rsidR="00FF2467" w:rsidRPr="00CE4096">
              <w:rPr>
                <w:rFonts w:ascii="Arial" w:hAnsi="Arial" w:cs="Arial"/>
                <w:sz w:val="18"/>
                <w:szCs w:val="18"/>
                <w:vertAlign w:val="superscript"/>
              </w:rPr>
              <w:t>13</w:t>
            </w:r>
          </w:p>
        </w:tc>
        <w:tc>
          <w:tcPr>
            <w:tcW w:w="973" w:type="pct"/>
            <w:tcBorders>
              <w:top w:val="single" w:sz="12" w:space="0" w:color="auto"/>
            </w:tcBorders>
          </w:tcPr>
          <w:p w14:paraId="4A727D02" w14:textId="77777777" w:rsidR="00CE1480" w:rsidRPr="00CE4096" w:rsidRDefault="00EB3697">
            <w:pPr>
              <w:spacing w:line="360" w:lineRule="auto"/>
              <w:rPr>
                <w:rFonts w:ascii="Arial" w:hAnsi="Arial" w:cs="Arial"/>
                <w:sz w:val="18"/>
                <w:szCs w:val="18"/>
              </w:rPr>
            </w:pPr>
            <w:r w:rsidRPr="00CE4096">
              <w:rPr>
                <w:rFonts w:ascii="Arial" w:hAnsi="Arial" w:cs="Arial"/>
                <w:sz w:val="18"/>
                <w:szCs w:val="18"/>
              </w:rPr>
              <w:t>Olaparib capsules,400mg BID</w:t>
            </w:r>
          </w:p>
        </w:tc>
        <w:tc>
          <w:tcPr>
            <w:tcW w:w="771" w:type="pct"/>
            <w:tcBorders>
              <w:top w:val="single" w:sz="12" w:space="0" w:color="auto"/>
            </w:tcBorders>
          </w:tcPr>
          <w:p w14:paraId="25329DA7" w14:textId="77777777" w:rsidR="00CE1480" w:rsidRPr="00CE4096" w:rsidRDefault="00EB3697">
            <w:pPr>
              <w:spacing w:line="360" w:lineRule="auto"/>
              <w:rPr>
                <w:rFonts w:ascii="Arial" w:hAnsi="Arial" w:cs="Arial"/>
                <w:sz w:val="18"/>
                <w:szCs w:val="18"/>
              </w:rPr>
            </w:pPr>
            <w:r w:rsidRPr="00CE4096">
              <w:rPr>
                <w:rFonts w:ascii="Arial" w:hAnsi="Arial" w:cs="Arial"/>
                <w:sz w:val="18"/>
                <w:szCs w:val="18"/>
              </w:rPr>
              <w:t>Platinum-sensitive recurrent OC</w:t>
            </w:r>
          </w:p>
        </w:tc>
        <w:tc>
          <w:tcPr>
            <w:tcW w:w="663" w:type="pct"/>
            <w:tcBorders>
              <w:top w:val="single" w:sz="12" w:space="0" w:color="auto"/>
            </w:tcBorders>
          </w:tcPr>
          <w:p w14:paraId="21D6E709" w14:textId="77777777" w:rsidR="00CE1480" w:rsidRPr="00CE4096" w:rsidRDefault="00EB3697">
            <w:pPr>
              <w:spacing w:line="360" w:lineRule="auto"/>
              <w:rPr>
                <w:rFonts w:ascii="Arial" w:hAnsi="Arial" w:cs="Arial"/>
                <w:sz w:val="18"/>
                <w:szCs w:val="18"/>
              </w:rPr>
            </w:pPr>
            <w:r w:rsidRPr="00CE4096">
              <w:rPr>
                <w:rFonts w:ascii="Arial" w:hAnsi="Arial" w:cs="Arial"/>
                <w:sz w:val="18"/>
                <w:szCs w:val="18"/>
              </w:rPr>
              <w:t>Phase II, double blind, RCT</w:t>
            </w:r>
          </w:p>
        </w:tc>
        <w:tc>
          <w:tcPr>
            <w:tcW w:w="422" w:type="pct"/>
            <w:tcBorders>
              <w:top w:val="single" w:sz="12" w:space="0" w:color="auto"/>
            </w:tcBorders>
          </w:tcPr>
          <w:p w14:paraId="4C6A162A" w14:textId="77777777" w:rsidR="00CE1480" w:rsidRPr="00CE4096" w:rsidRDefault="00EB3697">
            <w:pPr>
              <w:spacing w:line="360" w:lineRule="auto"/>
              <w:rPr>
                <w:rFonts w:ascii="Arial" w:hAnsi="Arial" w:cs="Arial"/>
                <w:sz w:val="18"/>
                <w:szCs w:val="18"/>
              </w:rPr>
            </w:pPr>
            <w:r w:rsidRPr="00CE4096">
              <w:rPr>
                <w:rFonts w:ascii="Arial" w:hAnsi="Arial" w:cs="Arial"/>
                <w:sz w:val="18"/>
                <w:szCs w:val="18"/>
              </w:rPr>
              <w:t>136</w:t>
            </w:r>
          </w:p>
        </w:tc>
        <w:tc>
          <w:tcPr>
            <w:tcW w:w="500" w:type="pct"/>
            <w:tcBorders>
              <w:top w:val="single" w:sz="12" w:space="0" w:color="auto"/>
            </w:tcBorders>
          </w:tcPr>
          <w:p w14:paraId="1CE1378E" w14:textId="77777777" w:rsidR="00CE1480" w:rsidRPr="00CE4096" w:rsidRDefault="00EB3697">
            <w:pPr>
              <w:spacing w:line="360" w:lineRule="auto"/>
              <w:rPr>
                <w:rFonts w:ascii="Arial" w:hAnsi="Arial" w:cs="Arial"/>
                <w:sz w:val="18"/>
                <w:szCs w:val="18"/>
              </w:rPr>
            </w:pPr>
            <w:r w:rsidRPr="00CE4096">
              <w:rPr>
                <w:rFonts w:ascii="Arial" w:hAnsi="Arial" w:cs="Arial"/>
                <w:sz w:val="18"/>
                <w:szCs w:val="18"/>
              </w:rPr>
              <w:t>74</w:t>
            </w:r>
          </w:p>
        </w:tc>
        <w:tc>
          <w:tcPr>
            <w:tcW w:w="512" w:type="pct"/>
            <w:tcBorders>
              <w:top w:val="single" w:sz="12" w:space="0" w:color="auto"/>
            </w:tcBorders>
          </w:tcPr>
          <w:p w14:paraId="071D0474" w14:textId="77777777" w:rsidR="00CE1480" w:rsidRPr="00CE4096" w:rsidRDefault="00EB3697">
            <w:pPr>
              <w:spacing w:line="360" w:lineRule="auto"/>
              <w:rPr>
                <w:rFonts w:ascii="Arial" w:hAnsi="Arial" w:cs="Arial"/>
                <w:sz w:val="18"/>
                <w:szCs w:val="18"/>
              </w:rPr>
            </w:pPr>
            <w:r w:rsidRPr="00CE4096">
              <w:rPr>
                <w:rFonts w:ascii="Arial" w:hAnsi="Arial" w:cs="Arial"/>
                <w:sz w:val="18"/>
                <w:szCs w:val="18"/>
              </w:rPr>
              <w:t>57</w:t>
            </w:r>
          </w:p>
        </w:tc>
        <w:tc>
          <w:tcPr>
            <w:tcW w:w="540" w:type="pct"/>
            <w:tcBorders>
              <w:top w:val="single" w:sz="12" w:space="0" w:color="auto"/>
            </w:tcBorders>
          </w:tcPr>
          <w:p w14:paraId="7F407CA6" w14:textId="77777777" w:rsidR="00CE1480" w:rsidRPr="00CE4096" w:rsidRDefault="00EB3697">
            <w:pPr>
              <w:spacing w:line="360" w:lineRule="auto"/>
              <w:rPr>
                <w:rFonts w:ascii="Arial" w:hAnsi="Arial" w:cs="Arial"/>
                <w:sz w:val="18"/>
                <w:szCs w:val="18"/>
              </w:rPr>
            </w:pPr>
            <w:r w:rsidRPr="00CE4096">
              <w:rPr>
                <w:rFonts w:ascii="Arial" w:hAnsi="Arial" w:cs="Arial"/>
                <w:sz w:val="18"/>
                <w:szCs w:val="18"/>
              </w:rPr>
              <w:t>NCT00753545</w:t>
            </w:r>
          </w:p>
        </w:tc>
      </w:tr>
      <w:tr w:rsidR="00CE4096" w:rsidRPr="00CE4096" w14:paraId="13367661" w14:textId="77777777">
        <w:tc>
          <w:tcPr>
            <w:tcW w:w="618" w:type="pct"/>
          </w:tcPr>
          <w:p w14:paraId="2266B0EC" w14:textId="0D3F00DD" w:rsidR="00CE1480" w:rsidRPr="00CE4096" w:rsidRDefault="00EB3697">
            <w:pPr>
              <w:spacing w:line="360" w:lineRule="auto"/>
              <w:rPr>
                <w:rFonts w:ascii="Arial" w:hAnsi="Arial" w:cs="Arial"/>
                <w:sz w:val="18"/>
                <w:szCs w:val="18"/>
              </w:rPr>
            </w:pPr>
            <w:r w:rsidRPr="00CE4096">
              <w:rPr>
                <w:rFonts w:ascii="Arial" w:hAnsi="Arial" w:cs="Arial"/>
                <w:sz w:val="18"/>
                <w:szCs w:val="18"/>
              </w:rPr>
              <w:t>Oza2014(Study41)</w:t>
            </w:r>
            <w:r w:rsidR="00FF2467" w:rsidRPr="00CE4096">
              <w:rPr>
                <w:rFonts w:ascii="Arial" w:hAnsi="Arial" w:cs="Arial"/>
                <w:sz w:val="18"/>
                <w:szCs w:val="18"/>
                <w:vertAlign w:val="superscript"/>
              </w:rPr>
              <w:t>14</w:t>
            </w:r>
          </w:p>
        </w:tc>
        <w:tc>
          <w:tcPr>
            <w:tcW w:w="973" w:type="pct"/>
          </w:tcPr>
          <w:p w14:paraId="589E087A" w14:textId="77777777" w:rsidR="00CE1480" w:rsidRPr="00CE4096" w:rsidRDefault="00EB3697">
            <w:pPr>
              <w:spacing w:line="360" w:lineRule="auto"/>
              <w:rPr>
                <w:rFonts w:ascii="Arial" w:hAnsi="Arial" w:cs="Arial"/>
                <w:sz w:val="18"/>
                <w:szCs w:val="18"/>
              </w:rPr>
            </w:pPr>
            <w:r w:rsidRPr="00CE4096">
              <w:rPr>
                <w:rFonts w:ascii="Arial" w:hAnsi="Arial" w:cs="Arial"/>
                <w:sz w:val="18"/>
                <w:szCs w:val="18"/>
              </w:rPr>
              <w:t>Olaparib capsules,200mgBID+chemo therapy group</w:t>
            </w:r>
          </w:p>
        </w:tc>
        <w:tc>
          <w:tcPr>
            <w:tcW w:w="771" w:type="pct"/>
          </w:tcPr>
          <w:p w14:paraId="41B819BF" w14:textId="77777777" w:rsidR="00CE1480" w:rsidRPr="00CE4096" w:rsidRDefault="00EB3697">
            <w:pPr>
              <w:spacing w:line="360" w:lineRule="auto"/>
              <w:rPr>
                <w:rFonts w:ascii="Arial" w:hAnsi="Arial" w:cs="Arial"/>
                <w:sz w:val="18"/>
                <w:szCs w:val="18"/>
              </w:rPr>
            </w:pPr>
            <w:r w:rsidRPr="00CE4096">
              <w:rPr>
                <w:rFonts w:ascii="Arial" w:hAnsi="Arial" w:cs="Arial"/>
                <w:sz w:val="18"/>
                <w:szCs w:val="18"/>
              </w:rPr>
              <w:t>Platinum-sensitive recurrent OC</w:t>
            </w:r>
          </w:p>
        </w:tc>
        <w:tc>
          <w:tcPr>
            <w:tcW w:w="663" w:type="pct"/>
          </w:tcPr>
          <w:p w14:paraId="4EC07DAA" w14:textId="77777777" w:rsidR="00CE1480" w:rsidRPr="00CE4096" w:rsidRDefault="00EB3697">
            <w:pPr>
              <w:spacing w:line="360" w:lineRule="auto"/>
              <w:rPr>
                <w:rFonts w:ascii="Arial" w:hAnsi="Arial" w:cs="Arial"/>
                <w:sz w:val="18"/>
                <w:szCs w:val="18"/>
              </w:rPr>
            </w:pPr>
            <w:r w:rsidRPr="00CE4096">
              <w:rPr>
                <w:rFonts w:ascii="Arial" w:hAnsi="Arial" w:cs="Arial"/>
                <w:sz w:val="18"/>
                <w:szCs w:val="18"/>
              </w:rPr>
              <w:t>Phase II, open-label, RCT</w:t>
            </w:r>
          </w:p>
        </w:tc>
        <w:tc>
          <w:tcPr>
            <w:tcW w:w="422" w:type="pct"/>
          </w:tcPr>
          <w:p w14:paraId="49A1D553" w14:textId="77777777" w:rsidR="00CE1480" w:rsidRPr="00CE4096" w:rsidRDefault="00EB3697">
            <w:pPr>
              <w:spacing w:line="360" w:lineRule="auto"/>
              <w:rPr>
                <w:rFonts w:ascii="Arial" w:hAnsi="Arial" w:cs="Arial"/>
                <w:sz w:val="18"/>
                <w:szCs w:val="18"/>
              </w:rPr>
            </w:pPr>
            <w:r w:rsidRPr="00CE4096">
              <w:rPr>
                <w:rFonts w:ascii="Arial" w:hAnsi="Arial" w:cs="Arial"/>
                <w:sz w:val="18"/>
                <w:szCs w:val="18"/>
              </w:rPr>
              <w:t>81</w:t>
            </w:r>
          </w:p>
        </w:tc>
        <w:tc>
          <w:tcPr>
            <w:tcW w:w="500" w:type="pct"/>
          </w:tcPr>
          <w:p w14:paraId="6081A093" w14:textId="77777777" w:rsidR="00CE1480" w:rsidRPr="00CE4096" w:rsidRDefault="00EB3697">
            <w:pPr>
              <w:spacing w:line="360" w:lineRule="auto"/>
              <w:rPr>
                <w:rFonts w:ascii="Arial" w:hAnsi="Arial" w:cs="Arial"/>
                <w:sz w:val="18"/>
                <w:szCs w:val="18"/>
              </w:rPr>
            </w:pPr>
            <w:r w:rsidRPr="00CE4096">
              <w:rPr>
                <w:rFonts w:ascii="Arial" w:hAnsi="Arial" w:cs="Arial"/>
                <w:sz w:val="18"/>
                <w:szCs w:val="18"/>
              </w:rPr>
              <w:t>20</w:t>
            </w:r>
          </w:p>
        </w:tc>
        <w:tc>
          <w:tcPr>
            <w:tcW w:w="512" w:type="pct"/>
          </w:tcPr>
          <w:p w14:paraId="67FA15EB" w14:textId="77777777" w:rsidR="00CE1480" w:rsidRPr="00CE4096" w:rsidRDefault="00EB3697">
            <w:pPr>
              <w:spacing w:line="360" w:lineRule="auto"/>
              <w:rPr>
                <w:rFonts w:ascii="Arial" w:hAnsi="Arial" w:cs="Arial"/>
                <w:sz w:val="18"/>
                <w:szCs w:val="18"/>
              </w:rPr>
            </w:pPr>
            <w:r w:rsidRPr="00CE4096">
              <w:rPr>
                <w:rFonts w:ascii="Arial" w:hAnsi="Arial" w:cs="Arial"/>
                <w:sz w:val="18"/>
                <w:szCs w:val="18"/>
              </w:rPr>
              <w:t>3</w:t>
            </w:r>
          </w:p>
        </w:tc>
        <w:tc>
          <w:tcPr>
            <w:tcW w:w="540" w:type="pct"/>
          </w:tcPr>
          <w:p w14:paraId="0027D581" w14:textId="77777777" w:rsidR="00CE1480" w:rsidRPr="00CE4096" w:rsidRDefault="00EB3697">
            <w:pPr>
              <w:spacing w:line="360" w:lineRule="auto"/>
              <w:rPr>
                <w:rFonts w:ascii="Arial" w:hAnsi="Arial" w:cs="Arial"/>
                <w:sz w:val="18"/>
                <w:szCs w:val="18"/>
              </w:rPr>
            </w:pPr>
            <w:r w:rsidRPr="00CE4096">
              <w:rPr>
                <w:rFonts w:ascii="Arial" w:hAnsi="Arial" w:cs="Arial"/>
                <w:sz w:val="18"/>
                <w:szCs w:val="18"/>
              </w:rPr>
              <w:t>NCT01081951</w:t>
            </w:r>
          </w:p>
        </w:tc>
      </w:tr>
      <w:tr w:rsidR="00CE4096" w:rsidRPr="00CE4096" w14:paraId="1C605CED" w14:textId="77777777">
        <w:tc>
          <w:tcPr>
            <w:tcW w:w="618" w:type="pct"/>
          </w:tcPr>
          <w:p w14:paraId="2B6829C7" w14:textId="2ADCEEFF" w:rsidR="00CE1480" w:rsidRPr="00CE4096" w:rsidRDefault="00EB3697">
            <w:pPr>
              <w:spacing w:line="360" w:lineRule="auto"/>
              <w:rPr>
                <w:rFonts w:ascii="Arial" w:hAnsi="Arial" w:cs="Arial"/>
                <w:sz w:val="18"/>
                <w:szCs w:val="18"/>
                <w:lang w:val="it-IT"/>
              </w:rPr>
            </w:pPr>
            <w:r w:rsidRPr="00CE4096">
              <w:rPr>
                <w:rFonts w:ascii="Arial" w:hAnsi="Arial" w:cs="Arial"/>
                <w:sz w:val="18"/>
                <w:szCs w:val="18"/>
                <w:lang w:val="it-IT"/>
              </w:rPr>
              <w:t>Pujade-Lauraine2017(SOLO2/ENGOT-Ov21)</w:t>
            </w:r>
            <w:r w:rsidR="00FF2467" w:rsidRPr="00CE4096">
              <w:rPr>
                <w:rFonts w:ascii="Arial" w:hAnsi="Arial" w:cs="Arial"/>
                <w:sz w:val="18"/>
                <w:szCs w:val="18"/>
                <w:vertAlign w:val="superscript"/>
                <w:lang w:val="it-IT"/>
              </w:rPr>
              <w:t>15</w:t>
            </w:r>
          </w:p>
        </w:tc>
        <w:tc>
          <w:tcPr>
            <w:tcW w:w="973" w:type="pct"/>
          </w:tcPr>
          <w:p w14:paraId="56178486" w14:textId="77777777" w:rsidR="00CE1480" w:rsidRPr="00CE4096" w:rsidRDefault="00EB3697">
            <w:pPr>
              <w:spacing w:line="360" w:lineRule="auto"/>
              <w:rPr>
                <w:rFonts w:ascii="Arial" w:hAnsi="Arial" w:cs="Arial"/>
                <w:sz w:val="18"/>
                <w:szCs w:val="18"/>
              </w:rPr>
            </w:pPr>
            <w:r w:rsidRPr="00CE4096">
              <w:rPr>
                <w:rFonts w:ascii="Arial" w:hAnsi="Arial" w:cs="Arial"/>
                <w:sz w:val="18"/>
                <w:szCs w:val="18"/>
              </w:rPr>
              <w:t>Olaparib tablets,150mgBID</w:t>
            </w:r>
          </w:p>
        </w:tc>
        <w:tc>
          <w:tcPr>
            <w:tcW w:w="771" w:type="pct"/>
          </w:tcPr>
          <w:p w14:paraId="5F43F4CD" w14:textId="77777777" w:rsidR="00CE1480" w:rsidRPr="00CE4096" w:rsidRDefault="00EB3697">
            <w:pPr>
              <w:spacing w:line="360" w:lineRule="auto"/>
              <w:rPr>
                <w:rFonts w:ascii="Arial" w:hAnsi="Arial" w:cs="Arial"/>
                <w:sz w:val="18"/>
                <w:szCs w:val="18"/>
              </w:rPr>
            </w:pPr>
            <w:r w:rsidRPr="00CE4096">
              <w:rPr>
                <w:rFonts w:ascii="Arial" w:hAnsi="Arial" w:cs="Arial"/>
                <w:sz w:val="18"/>
                <w:szCs w:val="18"/>
              </w:rPr>
              <w:t>Platinum-sensitive recurrent OC</w:t>
            </w:r>
          </w:p>
        </w:tc>
        <w:tc>
          <w:tcPr>
            <w:tcW w:w="663" w:type="pct"/>
          </w:tcPr>
          <w:p w14:paraId="4D133A6F" w14:textId="77777777" w:rsidR="00CE1480" w:rsidRPr="00CE4096" w:rsidRDefault="00EB3697">
            <w:pPr>
              <w:spacing w:line="360" w:lineRule="auto"/>
              <w:rPr>
                <w:rFonts w:ascii="Arial" w:hAnsi="Arial" w:cs="Arial"/>
                <w:sz w:val="18"/>
                <w:szCs w:val="18"/>
              </w:rPr>
            </w:pPr>
            <w:r w:rsidRPr="00CE4096">
              <w:rPr>
                <w:rFonts w:ascii="Arial" w:hAnsi="Arial" w:cs="Arial"/>
                <w:sz w:val="18"/>
                <w:szCs w:val="18"/>
              </w:rPr>
              <w:t>Phase III, double blind, RCT</w:t>
            </w:r>
          </w:p>
        </w:tc>
        <w:tc>
          <w:tcPr>
            <w:tcW w:w="422" w:type="pct"/>
          </w:tcPr>
          <w:p w14:paraId="75B5859E" w14:textId="77777777" w:rsidR="00CE1480" w:rsidRPr="00CE4096" w:rsidRDefault="00EB3697">
            <w:pPr>
              <w:spacing w:line="360" w:lineRule="auto"/>
              <w:rPr>
                <w:rFonts w:ascii="Arial" w:hAnsi="Arial" w:cs="Arial"/>
                <w:sz w:val="18"/>
                <w:szCs w:val="18"/>
              </w:rPr>
            </w:pPr>
            <w:r w:rsidRPr="00CE4096">
              <w:rPr>
                <w:rFonts w:ascii="Arial" w:hAnsi="Arial" w:cs="Arial"/>
                <w:sz w:val="18"/>
                <w:szCs w:val="18"/>
              </w:rPr>
              <w:t>196</w:t>
            </w:r>
          </w:p>
        </w:tc>
        <w:tc>
          <w:tcPr>
            <w:tcW w:w="500" w:type="pct"/>
          </w:tcPr>
          <w:p w14:paraId="4FD401AC" w14:textId="77777777" w:rsidR="00CE1480" w:rsidRPr="00CE4096" w:rsidRDefault="00EB3697">
            <w:pPr>
              <w:spacing w:line="360" w:lineRule="auto"/>
              <w:rPr>
                <w:rFonts w:ascii="Arial" w:hAnsi="Arial" w:cs="Arial"/>
                <w:sz w:val="18"/>
                <w:szCs w:val="18"/>
              </w:rPr>
            </w:pPr>
            <w:r w:rsidRPr="00CE4096">
              <w:rPr>
                <w:rFonts w:ascii="Arial" w:hAnsi="Arial" w:cs="Arial"/>
                <w:sz w:val="18"/>
                <w:szCs w:val="18"/>
              </w:rPr>
              <w:t>196(190germlineBRCA mutation)</w:t>
            </w:r>
          </w:p>
        </w:tc>
        <w:tc>
          <w:tcPr>
            <w:tcW w:w="512" w:type="pct"/>
          </w:tcPr>
          <w:p w14:paraId="13510651" w14:textId="77777777" w:rsidR="00CE1480" w:rsidRPr="00CE4096" w:rsidRDefault="00CE1480">
            <w:pPr>
              <w:spacing w:line="360" w:lineRule="auto"/>
              <w:rPr>
                <w:rFonts w:ascii="Arial" w:hAnsi="Arial" w:cs="Arial"/>
                <w:sz w:val="18"/>
                <w:szCs w:val="18"/>
              </w:rPr>
            </w:pPr>
          </w:p>
        </w:tc>
        <w:tc>
          <w:tcPr>
            <w:tcW w:w="540" w:type="pct"/>
          </w:tcPr>
          <w:p w14:paraId="266C1B4F" w14:textId="77777777" w:rsidR="00CE1480" w:rsidRPr="00CE4096" w:rsidRDefault="00EB3697">
            <w:pPr>
              <w:spacing w:line="360" w:lineRule="auto"/>
              <w:rPr>
                <w:rFonts w:ascii="Arial" w:hAnsi="Arial" w:cs="Arial"/>
                <w:sz w:val="18"/>
                <w:szCs w:val="18"/>
              </w:rPr>
            </w:pPr>
            <w:r w:rsidRPr="00CE4096">
              <w:rPr>
                <w:rFonts w:ascii="Arial" w:hAnsi="Arial" w:cs="Arial"/>
                <w:sz w:val="18"/>
                <w:szCs w:val="18"/>
              </w:rPr>
              <w:t>NCT01874353</w:t>
            </w:r>
          </w:p>
        </w:tc>
      </w:tr>
      <w:tr w:rsidR="00CE4096" w:rsidRPr="00CE4096" w14:paraId="7ABF4728" w14:textId="77777777">
        <w:tc>
          <w:tcPr>
            <w:tcW w:w="618" w:type="pct"/>
          </w:tcPr>
          <w:p w14:paraId="37D99E8E" w14:textId="491BB4B1" w:rsidR="00CE1480" w:rsidRPr="00CE4096" w:rsidRDefault="00EB3697">
            <w:pPr>
              <w:spacing w:line="360" w:lineRule="auto"/>
              <w:rPr>
                <w:rFonts w:ascii="Arial" w:hAnsi="Arial" w:cs="Arial"/>
                <w:sz w:val="18"/>
                <w:szCs w:val="18"/>
              </w:rPr>
            </w:pPr>
            <w:r w:rsidRPr="00CE4096">
              <w:rPr>
                <w:rFonts w:ascii="Arial" w:hAnsi="Arial" w:cs="Arial"/>
                <w:sz w:val="18"/>
                <w:szCs w:val="18"/>
              </w:rPr>
              <w:t>Mirza2016(ENGOT-OV16/NOVA)</w:t>
            </w:r>
            <w:r w:rsidR="00FF2467" w:rsidRPr="00CE4096">
              <w:rPr>
                <w:rFonts w:ascii="Arial" w:hAnsi="Arial" w:cs="Arial"/>
                <w:sz w:val="18"/>
                <w:szCs w:val="18"/>
                <w:vertAlign w:val="superscript"/>
              </w:rPr>
              <w:t>16</w:t>
            </w:r>
          </w:p>
        </w:tc>
        <w:tc>
          <w:tcPr>
            <w:tcW w:w="973" w:type="pct"/>
          </w:tcPr>
          <w:p w14:paraId="32A478BD" w14:textId="77777777" w:rsidR="00CE1480" w:rsidRPr="00CE4096" w:rsidRDefault="00EB3697">
            <w:pPr>
              <w:spacing w:line="360" w:lineRule="auto"/>
              <w:rPr>
                <w:rFonts w:ascii="Arial" w:hAnsi="Arial" w:cs="Arial"/>
                <w:sz w:val="18"/>
                <w:szCs w:val="18"/>
              </w:rPr>
            </w:pPr>
            <w:r w:rsidRPr="00CE4096">
              <w:rPr>
                <w:rFonts w:ascii="Arial" w:hAnsi="Arial" w:cs="Arial"/>
                <w:sz w:val="18"/>
                <w:szCs w:val="18"/>
              </w:rPr>
              <w:t>Niraparib tablets,300mgQD</w:t>
            </w:r>
          </w:p>
        </w:tc>
        <w:tc>
          <w:tcPr>
            <w:tcW w:w="771" w:type="pct"/>
          </w:tcPr>
          <w:p w14:paraId="6AB8CB9D" w14:textId="77777777" w:rsidR="00CE1480" w:rsidRPr="00CE4096" w:rsidRDefault="00EB3697">
            <w:pPr>
              <w:spacing w:line="360" w:lineRule="auto"/>
              <w:rPr>
                <w:rFonts w:ascii="Arial" w:hAnsi="Arial" w:cs="Arial"/>
                <w:sz w:val="18"/>
                <w:szCs w:val="18"/>
              </w:rPr>
            </w:pPr>
            <w:r w:rsidRPr="00CE4096">
              <w:rPr>
                <w:rFonts w:ascii="Arial" w:hAnsi="Arial" w:cs="Arial"/>
                <w:sz w:val="18"/>
                <w:szCs w:val="18"/>
              </w:rPr>
              <w:t>Platinum-sensitive recurrent OC</w:t>
            </w:r>
          </w:p>
        </w:tc>
        <w:tc>
          <w:tcPr>
            <w:tcW w:w="663" w:type="pct"/>
          </w:tcPr>
          <w:p w14:paraId="4E6847E3" w14:textId="77777777" w:rsidR="00CE1480" w:rsidRPr="00CE4096" w:rsidRDefault="00EB3697">
            <w:pPr>
              <w:spacing w:line="360" w:lineRule="auto"/>
              <w:rPr>
                <w:rFonts w:ascii="Arial" w:hAnsi="Arial" w:cs="Arial"/>
                <w:sz w:val="18"/>
                <w:szCs w:val="18"/>
              </w:rPr>
            </w:pPr>
            <w:r w:rsidRPr="00CE4096">
              <w:rPr>
                <w:rFonts w:ascii="Arial" w:hAnsi="Arial" w:cs="Arial"/>
                <w:sz w:val="18"/>
                <w:szCs w:val="18"/>
              </w:rPr>
              <w:t>Phase III, double blind, RCT</w:t>
            </w:r>
          </w:p>
        </w:tc>
        <w:tc>
          <w:tcPr>
            <w:tcW w:w="422" w:type="pct"/>
          </w:tcPr>
          <w:p w14:paraId="119AA0FD" w14:textId="77777777" w:rsidR="00CE1480" w:rsidRPr="00CE4096" w:rsidRDefault="00EB3697">
            <w:pPr>
              <w:spacing w:line="360" w:lineRule="auto"/>
              <w:rPr>
                <w:rFonts w:ascii="Arial" w:hAnsi="Arial" w:cs="Arial"/>
                <w:sz w:val="18"/>
                <w:szCs w:val="18"/>
              </w:rPr>
            </w:pPr>
            <w:r w:rsidRPr="00CE4096">
              <w:rPr>
                <w:rFonts w:ascii="Arial" w:hAnsi="Arial" w:cs="Arial"/>
                <w:sz w:val="18"/>
                <w:szCs w:val="18"/>
              </w:rPr>
              <w:t>372</w:t>
            </w:r>
          </w:p>
        </w:tc>
        <w:tc>
          <w:tcPr>
            <w:tcW w:w="500" w:type="pct"/>
          </w:tcPr>
          <w:p w14:paraId="741ED55C" w14:textId="77777777" w:rsidR="00CE1480" w:rsidRPr="00CE4096" w:rsidRDefault="00EB3697">
            <w:pPr>
              <w:spacing w:line="360" w:lineRule="auto"/>
              <w:rPr>
                <w:rFonts w:ascii="Arial" w:hAnsi="Arial" w:cs="Arial"/>
                <w:sz w:val="18"/>
                <w:szCs w:val="18"/>
              </w:rPr>
            </w:pPr>
            <w:r w:rsidRPr="00CE4096">
              <w:rPr>
                <w:rFonts w:ascii="Arial" w:hAnsi="Arial" w:cs="Arial"/>
                <w:sz w:val="18"/>
                <w:szCs w:val="18"/>
              </w:rPr>
              <w:t>138</w:t>
            </w:r>
          </w:p>
        </w:tc>
        <w:tc>
          <w:tcPr>
            <w:tcW w:w="512" w:type="pct"/>
          </w:tcPr>
          <w:p w14:paraId="5DEC2740" w14:textId="77777777" w:rsidR="00CE1480" w:rsidRPr="00CE4096" w:rsidRDefault="00EB3697">
            <w:pPr>
              <w:spacing w:line="360" w:lineRule="auto"/>
              <w:rPr>
                <w:rFonts w:ascii="Arial" w:hAnsi="Arial" w:cs="Arial"/>
                <w:sz w:val="18"/>
                <w:szCs w:val="18"/>
              </w:rPr>
            </w:pPr>
            <w:r w:rsidRPr="00CE4096">
              <w:rPr>
                <w:rFonts w:ascii="Arial" w:hAnsi="Arial" w:cs="Arial"/>
                <w:sz w:val="18"/>
                <w:szCs w:val="18"/>
              </w:rPr>
              <w:t>234</w:t>
            </w:r>
          </w:p>
        </w:tc>
        <w:tc>
          <w:tcPr>
            <w:tcW w:w="540" w:type="pct"/>
          </w:tcPr>
          <w:p w14:paraId="47AAB3C4" w14:textId="77777777" w:rsidR="00CE1480" w:rsidRPr="00CE4096" w:rsidRDefault="00EB3697">
            <w:pPr>
              <w:spacing w:line="360" w:lineRule="auto"/>
              <w:rPr>
                <w:rFonts w:ascii="Arial" w:hAnsi="Arial" w:cs="Arial"/>
                <w:sz w:val="18"/>
                <w:szCs w:val="18"/>
              </w:rPr>
            </w:pPr>
            <w:r w:rsidRPr="00CE4096">
              <w:rPr>
                <w:rFonts w:ascii="Arial" w:hAnsi="Arial" w:cs="Arial"/>
                <w:sz w:val="18"/>
                <w:szCs w:val="18"/>
              </w:rPr>
              <w:t>NCT01847274</w:t>
            </w:r>
          </w:p>
        </w:tc>
      </w:tr>
      <w:tr w:rsidR="00CE4096" w:rsidRPr="00CE4096" w14:paraId="46D1EDBB" w14:textId="77777777">
        <w:tc>
          <w:tcPr>
            <w:tcW w:w="618" w:type="pct"/>
          </w:tcPr>
          <w:p w14:paraId="1719CB63" w14:textId="73AA4C3D" w:rsidR="00CE1480" w:rsidRPr="00CE4096" w:rsidRDefault="00EB3697">
            <w:pPr>
              <w:spacing w:line="360" w:lineRule="auto"/>
              <w:rPr>
                <w:rFonts w:ascii="Arial" w:hAnsi="Arial" w:cs="Arial"/>
                <w:sz w:val="18"/>
                <w:szCs w:val="18"/>
              </w:rPr>
            </w:pPr>
            <w:r w:rsidRPr="00CE4096">
              <w:rPr>
                <w:rFonts w:ascii="Arial" w:hAnsi="Arial" w:cs="Arial"/>
                <w:sz w:val="18"/>
                <w:szCs w:val="18"/>
              </w:rPr>
              <w:t>Kaye2011</w:t>
            </w:r>
            <w:r w:rsidRPr="00CE4096">
              <w:rPr>
                <w:rFonts w:ascii="Arial" w:hAnsi="Arial" w:cs="Arial"/>
                <w:sz w:val="18"/>
                <w:szCs w:val="18"/>
                <w:vertAlign w:val="superscript"/>
              </w:rPr>
              <w:fldChar w:fldCharType="begin" w:fldLock="1"/>
            </w:r>
            <w:r w:rsidRPr="00CE4096">
              <w:rPr>
                <w:rFonts w:ascii="Arial" w:hAnsi="Arial" w:cs="Arial"/>
                <w:sz w:val="18"/>
                <w:szCs w:val="18"/>
                <w:vertAlign w:val="superscript"/>
              </w:rPr>
              <w:instrText>ADDIN CSL_CITATION {"citationItems":[{"id":"ITEM-1","itemData":{"DOI":"10.1200/JCO.2011.36.9215","ISSN":"0732183X","PMID":"22203755","abstract":"Purpose: Olaparib (AZD2281), an orally active poly (ADP-ribose) polymerase inhibitor that induces synthetic lethality in BRCA1- or BRCA2-deficient cells, has shown promising clinical efficacy in nonrandomized phase II trials in patients with ovarian cancer with BRCA1 or BRCA2 deficiency. We assessed the comparative efficacy and safety of olaparib and pegylated liposomal doxorubicin (PLD) in this patient population. Patients and Methods: In this multicenter, open-label, randomized, phase II study, patients with ovarian cancer that recurred within 12 months of prior platinum therapy and with confirmed germline BRCA1 or BRCA2 mutations were enrolled. Patients were assigned in a 1:1:1 ratio to olaparib 200 mg twice per day or 400 mg twice per day continuously or PLD 50 mg/m 2 intravenously every 28 days. The primary efficacy end point was Response Evaluation Criteria in Solid Tumors (RECIST) -assessed progression-free survival (PFS). Secondary end points included objective response rate (ORR) and safety. Results: Ninety-seven patients were randomly assigned. Median PFS was 6.5 months (95% CI, 5.5 to 10.1 months), 8.8 months (95% CI, 5.4 to 9.2 months), and 7.1 months (95% CI, 3.7 to 10.7 months) for the olaparib 200 mg, olaparib 400 mg, and PLD groups, respectively. There was no statistically significant difference in PFS (hazard ratio, 0.88; 95% CI, 0.51 to 1.56; P = .66) for combined olaparib doses versus PLD. RECIST-assessed ORRs were 25%, 31%, and 18% for olaparib 200 mg, olaparib 400 mg, and PLD, respectively; differences were not statistically significant. Tolerability of both treatments was as expected based on previous trials. Conclusion: The efficacy of olaparib was consistent with previous studies. However, the efficacy of PLD was greater than expected. Olaparib 400 mg twice per day is a suitable dose to explore in further studies in this patient population. © 2011 by American Society of Clinical Oncology.","author":[{"dropping-particle":"","family":"Kaye","given":"Stan B.","non-dropping-particle":"","parse-names":false,"suffix":""},{"dropping-particle":"","family":"Lubinski","given":"Jan","non-dropping-particle":"","parse-names":false,"suffix":""},{"dropping-particle":"","family":"Matulonis","given":"Ursula","non-dropping-particle":"","parse-names":false,"suffix":""},{"dropping-particle":"","family":"Ang","given":"Joo Ern","non-dropping-particle":"","parse-names":false,"suffix":""},{"dropping-particle":"","family":"Gourley","given":"Charlie","non-dropping-particle":"","parse-names":false,"suffix":""},{"dropping-particle":"","family":"Karlan","given":"Beth Y.","non-dropping-particle":"","parse-names":false,"suffix":""},{"dropping-particle":"","family":"Amnon","given":"Amit","non-dropping-particle":"","parse-names":false,"suffix":""},{"dropping-particle":"","family":"Bell-McGuinn","given":"Katherine M.","non-dropping-particle":"","parse-names":false,"suffix":""},{"dropping-particle":"","family":"Chen","given":"Lee May","non-dropping-particle":"","parse-names":false,"suffix":""},{"dropping-particle":"","family":"Friedlander","given":"Michael","non-dropping-particle":"","parse-names":false,"suffix":""},{"dropping-particle":"","family":"Safra","given":"Tamar","non-dropping-particle":"","parse-names":false,"suffix":""},{"dropping-particle":"","family":"Vergote","given":"Ignace","non-dropping-particle":"","parse-names":false,"suffix":""},{"dropping-particle":"","family":"Wickens","given":"Mark","non-dropping-particle":"","parse-names":false,"suffix":""},{"dropping-particle":"","family":"Lowe","given":"Elizabeth S.","non-dropping-particle":"","parse-names":false,"suffix":""},{"dropping-particle":"","family":"Carmichael","given":"James","non-dropping-particle":"","parse-names":false,"suffix":""},{"dropping-particle":"","family":"Kaufman","given":"Bella","non-dropping-particle":"","parse-names":false,"suffix":""}],"container-title":"Journal of Clinical Oncology","id":"ITEM-1","issue":"4","issued":{"date-parts":[["2012"]]},"page":"372-379","title":"Phase II, open-label, randomized, multicenter study comparing the efficacy and safety of olaparib, a poly (ADP-ribose) polymerase inhibitor, and pegylated liposomal doxorubicin in patients with BRCA1 or BRCA2 mutations and recurrent ovarian cancer","type":"article-journal","volume":"30"},"uris":["http://www.mendeley.com/documents/?uuid=468ca46f-f17a-4f5c-be64-f3eacb6ff8c1"]}],"mendeley":{"formattedCitation":"&lt;sup&gt;31&lt;/sup&gt;","plainTextFormattedCitation":"31","previouslyFormattedCitation":"&lt;sup&gt;31&lt;/sup&gt;"},"properties":{"noteIndex":0},"schema":"https://github.com/citation-style-language/schema/raw/master/csl-citation.json"}</w:instrText>
            </w:r>
            <w:r w:rsidR="00A71B8A" w:rsidRPr="00CE4096">
              <w:rPr>
                <w:rFonts w:ascii="Arial" w:hAnsi="Arial" w:cs="Arial"/>
                <w:sz w:val="18"/>
                <w:szCs w:val="18"/>
                <w:vertAlign w:val="superscript"/>
              </w:rPr>
              <w:fldChar w:fldCharType="separate"/>
            </w:r>
            <w:r w:rsidRPr="00CE4096">
              <w:rPr>
                <w:rFonts w:ascii="Arial" w:hAnsi="Arial" w:cs="Arial"/>
                <w:sz w:val="18"/>
                <w:szCs w:val="18"/>
                <w:vertAlign w:val="superscript"/>
              </w:rPr>
              <w:fldChar w:fldCharType="end"/>
            </w:r>
            <w:r w:rsidR="00FF2467" w:rsidRPr="00CE4096">
              <w:rPr>
                <w:rFonts w:ascii="Arial" w:hAnsi="Arial" w:cs="Arial"/>
                <w:sz w:val="18"/>
                <w:szCs w:val="18"/>
                <w:vertAlign w:val="superscript"/>
              </w:rPr>
              <w:t>17</w:t>
            </w:r>
          </w:p>
        </w:tc>
        <w:tc>
          <w:tcPr>
            <w:tcW w:w="973" w:type="pct"/>
          </w:tcPr>
          <w:p w14:paraId="539C4033" w14:textId="77777777" w:rsidR="00CE1480" w:rsidRPr="00CE4096" w:rsidRDefault="00EB3697">
            <w:pPr>
              <w:spacing w:line="360" w:lineRule="auto"/>
              <w:rPr>
                <w:rFonts w:ascii="Arial" w:hAnsi="Arial" w:cs="Arial"/>
                <w:sz w:val="18"/>
                <w:szCs w:val="18"/>
              </w:rPr>
            </w:pPr>
            <w:r w:rsidRPr="00CE4096">
              <w:rPr>
                <w:rFonts w:ascii="Arial" w:hAnsi="Arial" w:cs="Arial"/>
                <w:sz w:val="18"/>
                <w:szCs w:val="18"/>
              </w:rPr>
              <w:t>Olaparib capsule,200mg/400mgBID</w:t>
            </w:r>
          </w:p>
          <w:p w14:paraId="2C57B6F3" w14:textId="77777777" w:rsidR="00CE1480" w:rsidRPr="00CE4096" w:rsidRDefault="00CE1480">
            <w:pPr>
              <w:spacing w:line="360" w:lineRule="auto"/>
              <w:rPr>
                <w:rFonts w:ascii="Arial" w:hAnsi="Arial" w:cs="Arial"/>
                <w:sz w:val="18"/>
                <w:szCs w:val="18"/>
              </w:rPr>
            </w:pPr>
          </w:p>
        </w:tc>
        <w:tc>
          <w:tcPr>
            <w:tcW w:w="771" w:type="pct"/>
          </w:tcPr>
          <w:p w14:paraId="3C125AA0" w14:textId="77777777" w:rsidR="00CE1480" w:rsidRPr="00CE4096" w:rsidRDefault="00EB3697">
            <w:pPr>
              <w:spacing w:line="360" w:lineRule="auto"/>
              <w:rPr>
                <w:rFonts w:ascii="Arial" w:hAnsi="Arial" w:cs="Arial"/>
                <w:sz w:val="18"/>
                <w:szCs w:val="18"/>
              </w:rPr>
            </w:pPr>
            <w:r w:rsidRPr="00CE4096">
              <w:rPr>
                <w:rFonts w:ascii="Arial" w:hAnsi="Arial" w:cs="Arial"/>
                <w:sz w:val="18"/>
                <w:szCs w:val="18"/>
              </w:rPr>
              <w:lastRenderedPageBreak/>
              <w:t xml:space="preserve">Recurred or progressed within 12months, of the </w:t>
            </w:r>
            <w:r w:rsidRPr="00CE4096">
              <w:rPr>
                <w:rFonts w:ascii="Arial" w:hAnsi="Arial" w:cs="Arial"/>
                <w:sz w:val="18"/>
                <w:szCs w:val="18"/>
              </w:rPr>
              <w:lastRenderedPageBreak/>
              <w:t>most recent platinum-based chemo therapy regimen</w:t>
            </w:r>
          </w:p>
        </w:tc>
        <w:tc>
          <w:tcPr>
            <w:tcW w:w="663" w:type="pct"/>
          </w:tcPr>
          <w:p w14:paraId="272B7781" w14:textId="77777777" w:rsidR="00CE1480" w:rsidRPr="00CE4096" w:rsidRDefault="00EB3697">
            <w:pPr>
              <w:spacing w:line="360" w:lineRule="auto"/>
              <w:rPr>
                <w:rFonts w:ascii="Arial" w:hAnsi="Arial" w:cs="Arial"/>
                <w:sz w:val="18"/>
                <w:szCs w:val="18"/>
              </w:rPr>
            </w:pPr>
            <w:r w:rsidRPr="00CE4096">
              <w:rPr>
                <w:rFonts w:ascii="Arial" w:hAnsi="Arial" w:cs="Arial"/>
                <w:sz w:val="18"/>
                <w:szCs w:val="18"/>
              </w:rPr>
              <w:lastRenderedPageBreak/>
              <w:t>Phase II, open-label, RCT</w:t>
            </w:r>
          </w:p>
        </w:tc>
        <w:tc>
          <w:tcPr>
            <w:tcW w:w="422" w:type="pct"/>
          </w:tcPr>
          <w:p w14:paraId="49945F5D" w14:textId="77777777" w:rsidR="00CE1480" w:rsidRPr="00CE4096" w:rsidRDefault="00EB3697">
            <w:pPr>
              <w:spacing w:line="360" w:lineRule="auto"/>
              <w:rPr>
                <w:rFonts w:ascii="Arial" w:hAnsi="Arial" w:cs="Arial"/>
                <w:sz w:val="18"/>
                <w:szCs w:val="18"/>
              </w:rPr>
            </w:pPr>
            <w:r w:rsidRPr="00CE4096">
              <w:rPr>
                <w:rFonts w:ascii="Arial" w:hAnsi="Arial" w:cs="Arial"/>
                <w:sz w:val="18"/>
                <w:szCs w:val="18"/>
              </w:rPr>
              <w:t>32/32</w:t>
            </w:r>
          </w:p>
        </w:tc>
        <w:tc>
          <w:tcPr>
            <w:tcW w:w="500" w:type="pct"/>
          </w:tcPr>
          <w:p w14:paraId="5C1B41E8" w14:textId="77777777" w:rsidR="00CE1480" w:rsidRPr="00CE4096" w:rsidRDefault="00EB3697">
            <w:pPr>
              <w:spacing w:line="360" w:lineRule="auto"/>
              <w:rPr>
                <w:rFonts w:ascii="Arial" w:hAnsi="Arial" w:cs="Arial"/>
                <w:sz w:val="18"/>
                <w:szCs w:val="18"/>
              </w:rPr>
            </w:pPr>
            <w:r w:rsidRPr="00CE4096">
              <w:rPr>
                <w:rFonts w:ascii="Arial" w:hAnsi="Arial" w:cs="Arial"/>
                <w:sz w:val="18"/>
                <w:szCs w:val="18"/>
              </w:rPr>
              <w:t>32/32</w:t>
            </w:r>
          </w:p>
        </w:tc>
        <w:tc>
          <w:tcPr>
            <w:tcW w:w="512" w:type="pct"/>
          </w:tcPr>
          <w:p w14:paraId="1CBC5A4B" w14:textId="77777777" w:rsidR="00CE1480" w:rsidRPr="00CE4096" w:rsidRDefault="00CE1480">
            <w:pPr>
              <w:spacing w:line="360" w:lineRule="auto"/>
              <w:rPr>
                <w:rFonts w:ascii="Arial" w:hAnsi="Arial" w:cs="Arial"/>
                <w:sz w:val="18"/>
                <w:szCs w:val="18"/>
              </w:rPr>
            </w:pPr>
          </w:p>
        </w:tc>
        <w:tc>
          <w:tcPr>
            <w:tcW w:w="540" w:type="pct"/>
          </w:tcPr>
          <w:p w14:paraId="00E0B023" w14:textId="77777777" w:rsidR="00CE1480" w:rsidRPr="00CE4096" w:rsidRDefault="00EB3697">
            <w:pPr>
              <w:spacing w:line="360" w:lineRule="auto"/>
              <w:rPr>
                <w:rFonts w:ascii="Arial" w:hAnsi="Arial" w:cs="Arial"/>
                <w:sz w:val="18"/>
                <w:szCs w:val="18"/>
              </w:rPr>
            </w:pPr>
            <w:r w:rsidRPr="00CE4096">
              <w:rPr>
                <w:rFonts w:ascii="Arial" w:hAnsi="Arial" w:cs="Arial"/>
                <w:sz w:val="18"/>
                <w:szCs w:val="18"/>
              </w:rPr>
              <w:t>NCT00628251</w:t>
            </w:r>
          </w:p>
        </w:tc>
      </w:tr>
      <w:tr w:rsidR="00CE4096" w:rsidRPr="00CE4096" w14:paraId="5DBF7BF4" w14:textId="77777777">
        <w:tc>
          <w:tcPr>
            <w:tcW w:w="618" w:type="pct"/>
          </w:tcPr>
          <w:p w14:paraId="7E99EF8E" w14:textId="7CC16942" w:rsidR="00CE1480" w:rsidRPr="00CE4096" w:rsidRDefault="00EB3697">
            <w:pPr>
              <w:spacing w:line="360" w:lineRule="auto"/>
              <w:rPr>
                <w:rFonts w:ascii="Arial" w:hAnsi="Arial" w:cs="Arial"/>
                <w:sz w:val="18"/>
                <w:szCs w:val="18"/>
              </w:rPr>
            </w:pPr>
            <w:r w:rsidRPr="00CE4096">
              <w:rPr>
                <w:rFonts w:ascii="Arial" w:hAnsi="Arial" w:cs="Arial"/>
                <w:sz w:val="18"/>
                <w:szCs w:val="18"/>
              </w:rPr>
              <w:t>Coleman2017(ARIEL3)</w:t>
            </w:r>
            <w:r w:rsidR="00FF2467" w:rsidRPr="00CE4096">
              <w:rPr>
                <w:rFonts w:ascii="Arial" w:hAnsi="Arial" w:cs="Arial"/>
                <w:sz w:val="18"/>
                <w:szCs w:val="18"/>
                <w:vertAlign w:val="superscript"/>
              </w:rPr>
              <w:t>18</w:t>
            </w:r>
            <w:r w:rsidRPr="00CE4096">
              <w:rPr>
                <w:rFonts w:ascii="Arial" w:hAnsi="Arial" w:cs="Arial"/>
                <w:sz w:val="18"/>
                <w:szCs w:val="18"/>
              </w:rPr>
              <w:t xml:space="preserve"> </w:t>
            </w:r>
          </w:p>
        </w:tc>
        <w:tc>
          <w:tcPr>
            <w:tcW w:w="973" w:type="pct"/>
          </w:tcPr>
          <w:p w14:paraId="728810F8" w14:textId="77777777" w:rsidR="00CE1480" w:rsidRPr="00CE4096" w:rsidRDefault="00EB3697">
            <w:pPr>
              <w:spacing w:line="360" w:lineRule="auto"/>
              <w:rPr>
                <w:rFonts w:ascii="Arial" w:hAnsi="Arial" w:cs="Arial"/>
                <w:sz w:val="18"/>
                <w:szCs w:val="18"/>
              </w:rPr>
            </w:pPr>
            <w:r w:rsidRPr="00CE4096">
              <w:rPr>
                <w:rFonts w:ascii="Arial" w:hAnsi="Arial" w:cs="Arial"/>
                <w:sz w:val="18"/>
                <w:szCs w:val="18"/>
              </w:rPr>
              <w:t>Rucaparib tablets,600mgBID</w:t>
            </w:r>
          </w:p>
        </w:tc>
        <w:tc>
          <w:tcPr>
            <w:tcW w:w="771" w:type="pct"/>
          </w:tcPr>
          <w:p w14:paraId="68FFF9FF" w14:textId="77777777" w:rsidR="00CE1480" w:rsidRPr="00CE4096" w:rsidRDefault="00EB3697">
            <w:pPr>
              <w:spacing w:line="360" w:lineRule="auto"/>
              <w:rPr>
                <w:rFonts w:ascii="Arial" w:hAnsi="Arial" w:cs="Arial"/>
                <w:sz w:val="18"/>
                <w:szCs w:val="18"/>
              </w:rPr>
            </w:pPr>
            <w:r w:rsidRPr="00CE4096">
              <w:rPr>
                <w:rFonts w:ascii="Arial" w:hAnsi="Arial" w:cs="Arial"/>
                <w:sz w:val="18"/>
                <w:szCs w:val="18"/>
              </w:rPr>
              <w:t>Platinum-sensitive recurrent OC</w:t>
            </w:r>
          </w:p>
        </w:tc>
        <w:tc>
          <w:tcPr>
            <w:tcW w:w="663" w:type="pct"/>
          </w:tcPr>
          <w:p w14:paraId="3F2687E0" w14:textId="77777777" w:rsidR="00CE1480" w:rsidRPr="00CE4096" w:rsidRDefault="00EB3697">
            <w:pPr>
              <w:spacing w:line="360" w:lineRule="auto"/>
              <w:rPr>
                <w:rFonts w:ascii="Arial" w:hAnsi="Arial" w:cs="Arial"/>
                <w:sz w:val="18"/>
                <w:szCs w:val="18"/>
              </w:rPr>
            </w:pPr>
            <w:r w:rsidRPr="00CE4096">
              <w:rPr>
                <w:rFonts w:ascii="Arial" w:hAnsi="Arial" w:cs="Arial"/>
                <w:sz w:val="18"/>
                <w:szCs w:val="18"/>
              </w:rPr>
              <w:t>Phase III, double blind, RCT</w:t>
            </w:r>
          </w:p>
        </w:tc>
        <w:tc>
          <w:tcPr>
            <w:tcW w:w="422" w:type="pct"/>
          </w:tcPr>
          <w:p w14:paraId="443766DB" w14:textId="77777777" w:rsidR="00CE1480" w:rsidRPr="00CE4096" w:rsidRDefault="00EB3697">
            <w:pPr>
              <w:spacing w:line="360" w:lineRule="auto"/>
              <w:rPr>
                <w:rFonts w:ascii="Arial" w:hAnsi="Arial" w:cs="Arial"/>
                <w:sz w:val="18"/>
                <w:szCs w:val="18"/>
              </w:rPr>
            </w:pPr>
            <w:r w:rsidRPr="00CE4096">
              <w:rPr>
                <w:rFonts w:ascii="Arial" w:hAnsi="Arial" w:cs="Arial"/>
                <w:sz w:val="18"/>
                <w:szCs w:val="18"/>
              </w:rPr>
              <w:t>375</w:t>
            </w:r>
          </w:p>
        </w:tc>
        <w:tc>
          <w:tcPr>
            <w:tcW w:w="500" w:type="pct"/>
          </w:tcPr>
          <w:p w14:paraId="1C71A82B" w14:textId="77777777" w:rsidR="00CE1480" w:rsidRPr="00CE4096" w:rsidRDefault="00EB3697">
            <w:pPr>
              <w:spacing w:line="360" w:lineRule="auto"/>
              <w:rPr>
                <w:rFonts w:ascii="Arial" w:hAnsi="Arial" w:cs="Arial"/>
                <w:sz w:val="18"/>
                <w:szCs w:val="18"/>
              </w:rPr>
            </w:pPr>
            <w:r w:rsidRPr="00CE4096">
              <w:rPr>
                <w:rFonts w:ascii="Arial" w:hAnsi="Arial" w:cs="Arial"/>
                <w:sz w:val="18"/>
                <w:szCs w:val="18"/>
              </w:rPr>
              <w:t>130</w:t>
            </w:r>
          </w:p>
        </w:tc>
        <w:tc>
          <w:tcPr>
            <w:tcW w:w="512" w:type="pct"/>
          </w:tcPr>
          <w:p w14:paraId="4F4D2D79" w14:textId="77777777" w:rsidR="00CE1480" w:rsidRPr="00CE4096" w:rsidRDefault="00EB3697">
            <w:pPr>
              <w:spacing w:line="360" w:lineRule="auto"/>
              <w:rPr>
                <w:rFonts w:ascii="Arial" w:hAnsi="Arial" w:cs="Arial"/>
                <w:sz w:val="18"/>
                <w:szCs w:val="18"/>
              </w:rPr>
            </w:pPr>
            <w:r w:rsidRPr="00CE4096">
              <w:rPr>
                <w:rFonts w:ascii="Arial" w:hAnsi="Arial" w:cs="Arial"/>
                <w:sz w:val="18"/>
                <w:szCs w:val="18"/>
              </w:rPr>
              <w:t>245</w:t>
            </w:r>
          </w:p>
        </w:tc>
        <w:tc>
          <w:tcPr>
            <w:tcW w:w="540" w:type="pct"/>
          </w:tcPr>
          <w:p w14:paraId="5ED6491B" w14:textId="77777777" w:rsidR="00CE1480" w:rsidRPr="00CE4096" w:rsidRDefault="00EB3697">
            <w:pPr>
              <w:spacing w:line="360" w:lineRule="auto"/>
              <w:rPr>
                <w:rFonts w:ascii="Arial" w:hAnsi="Arial" w:cs="Arial"/>
                <w:sz w:val="18"/>
                <w:szCs w:val="18"/>
              </w:rPr>
            </w:pPr>
            <w:r w:rsidRPr="00CE4096">
              <w:rPr>
                <w:rFonts w:ascii="Arial" w:hAnsi="Arial" w:cs="Arial"/>
                <w:sz w:val="18"/>
                <w:szCs w:val="18"/>
              </w:rPr>
              <w:t>NCT01968213</w:t>
            </w:r>
          </w:p>
        </w:tc>
      </w:tr>
      <w:tr w:rsidR="00CE4096" w:rsidRPr="00CE4096" w14:paraId="7EDF798C" w14:textId="77777777" w:rsidTr="00CA7930">
        <w:tc>
          <w:tcPr>
            <w:tcW w:w="618" w:type="pct"/>
          </w:tcPr>
          <w:p w14:paraId="1603361B" w14:textId="69FECB1A" w:rsidR="00CE1480" w:rsidRPr="00CE4096" w:rsidRDefault="00EB3697">
            <w:pPr>
              <w:spacing w:line="360" w:lineRule="auto"/>
              <w:rPr>
                <w:rFonts w:ascii="Arial" w:hAnsi="Arial" w:cs="Arial"/>
                <w:sz w:val="18"/>
                <w:szCs w:val="18"/>
              </w:rPr>
            </w:pPr>
            <w:r w:rsidRPr="00CE4096">
              <w:rPr>
                <w:rFonts w:ascii="Arial" w:hAnsi="Arial" w:cs="Arial"/>
                <w:sz w:val="18"/>
                <w:szCs w:val="18"/>
              </w:rPr>
              <w:t>Liu2019</w:t>
            </w:r>
            <w:r w:rsidR="00FF2467" w:rsidRPr="00CE4096">
              <w:rPr>
                <w:rFonts w:ascii="Arial" w:hAnsi="Arial" w:cs="Arial"/>
                <w:sz w:val="18"/>
                <w:szCs w:val="18"/>
                <w:vertAlign w:val="superscript"/>
              </w:rPr>
              <w:t>19</w:t>
            </w:r>
          </w:p>
        </w:tc>
        <w:tc>
          <w:tcPr>
            <w:tcW w:w="973" w:type="pct"/>
          </w:tcPr>
          <w:p w14:paraId="143F63F5" w14:textId="77777777" w:rsidR="00CE1480" w:rsidRPr="00CE4096" w:rsidRDefault="00EB3697">
            <w:pPr>
              <w:spacing w:line="360" w:lineRule="auto"/>
              <w:rPr>
                <w:rFonts w:ascii="Arial" w:hAnsi="Arial" w:cs="Arial"/>
                <w:sz w:val="18"/>
                <w:szCs w:val="18"/>
              </w:rPr>
            </w:pPr>
            <w:r w:rsidRPr="00CE4096">
              <w:rPr>
                <w:rFonts w:ascii="Arial" w:hAnsi="Arial" w:cs="Arial"/>
                <w:sz w:val="18"/>
                <w:szCs w:val="18"/>
              </w:rPr>
              <w:t>Olaparib capsules,400mgBID/Olaparib capsules,200mgBID+cediranib</w:t>
            </w:r>
          </w:p>
        </w:tc>
        <w:tc>
          <w:tcPr>
            <w:tcW w:w="771" w:type="pct"/>
          </w:tcPr>
          <w:p w14:paraId="5EEA5FAE" w14:textId="77777777" w:rsidR="00CE1480" w:rsidRPr="00CE4096" w:rsidRDefault="00EB3697">
            <w:pPr>
              <w:spacing w:line="360" w:lineRule="auto"/>
              <w:rPr>
                <w:rFonts w:ascii="Arial" w:hAnsi="Arial" w:cs="Arial"/>
                <w:sz w:val="18"/>
                <w:szCs w:val="18"/>
              </w:rPr>
            </w:pPr>
            <w:r w:rsidRPr="00CE4096">
              <w:rPr>
                <w:rFonts w:ascii="Arial" w:hAnsi="Arial" w:cs="Arial"/>
                <w:sz w:val="18"/>
                <w:szCs w:val="18"/>
              </w:rPr>
              <w:t>Platinum-sensitive recurrent OC</w:t>
            </w:r>
          </w:p>
        </w:tc>
        <w:tc>
          <w:tcPr>
            <w:tcW w:w="663" w:type="pct"/>
          </w:tcPr>
          <w:p w14:paraId="60658075" w14:textId="77777777" w:rsidR="00CE1480" w:rsidRPr="00CE4096" w:rsidRDefault="00EB3697">
            <w:pPr>
              <w:spacing w:line="360" w:lineRule="auto"/>
              <w:rPr>
                <w:rFonts w:ascii="Arial" w:hAnsi="Arial" w:cs="Arial"/>
                <w:sz w:val="18"/>
                <w:szCs w:val="18"/>
              </w:rPr>
            </w:pPr>
            <w:r w:rsidRPr="00CE4096">
              <w:rPr>
                <w:rFonts w:ascii="Arial" w:hAnsi="Arial" w:cs="Arial"/>
                <w:sz w:val="18"/>
                <w:szCs w:val="18"/>
              </w:rPr>
              <w:t>Phase II, open-label, RCT</w:t>
            </w:r>
          </w:p>
        </w:tc>
        <w:tc>
          <w:tcPr>
            <w:tcW w:w="422" w:type="pct"/>
          </w:tcPr>
          <w:p w14:paraId="30FDF813" w14:textId="77777777" w:rsidR="00CE1480" w:rsidRPr="00CE4096" w:rsidRDefault="00EB3697">
            <w:pPr>
              <w:spacing w:line="360" w:lineRule="auto"/>
              <w:rPr>
                <w:rFonts w:ascii="Arial" w:hAnsi="Arial" w:cs="Arial"/>
                <w:sz w:val="18"/>
                <w:szCs w:val="18"/>
              </w:rPr>
            </w:pPr>
            <w:r w:rsidRPr="00CE4096">
              <w:rPr>
                <w:rFonts w:ascii="Arial" w:hAnsi="Arial" w:cs="Arial"/>
                <w:sz w:val="18"/>
                <w:szCs w:val="18"/>
              </w:rPr>
              <w:t>46/44</w:t>
            </w:r>
          </w:p>
        </w:tc>
        <w:tc>
          <w:tcPr>
            <w:tcW w:w="500" w:type="pct"/>
          </w:tcPr>
          <w:p w14:paraId="1A22B624" w14:textId="77777777" w:rsidR="00CE1480" w:rsidRPr="00CE4096" w:rsidRDefault="00EB3697">
            <w:pPr>
              <w:spacing w:line="360" w:lineRule="auto"/>
              <w:rPr>
                <w:rFonts w:ascii="Arial" w:hAnsi="Arial" w:cs="Arial"/>
                <w:sz w:val="18"/>
                <w:szCs w:val="18"/>
              </w:rPr>
            </w:pPr>
            <w:r w:rsidRPr="00CE4096">
              <w:rPr>
                <w:rFonts w:ascii="Arial" w:hAnsi="Arial" w:cs="Arial"/>
                <w:sz w:val="18"/>
                <w:szCs w:val="18"/>
              </w:rPr>
              <w:t>24/23</w:t>
            </w:r>
          </w:p>
        </w:tc>
        <w:tc>
          <w:tcPr>
            <w:tcW w:w="512" w:type="pct"/>
          </w:tcPr>
          <w:p w14:paraId="40B23043" w14:textId="77777777" w:rsidR="00CE1480" w:rsidRPr="00CE4096" w:rsidRDefault="00EB3697">
            <w:pPr>
              <w:spacing w:line="360" w:lineRule="auto"/>
              <w:rPr>
                <w:rFonts w:ascii="Arial" w:hAnsi="Arial" w:cs="Arial"/>
                <w:sz w:val="18"/>
                <w:szCs w:val="18"/>
              </w:rPr>
            </w:pPr>
            <w:r w:rsidRPr="00CE4096">
              <w:rPr>
                <w:rFonts w:ascii="Arial" w:hAnsi="Arial" w:cs="Arial"/>
                <w:sz w:val="18"/>
                <w:szCs w:val="18"/>
              </w:rPr>
              <w:t>22/21</w:t>
            </w:r>
          </w:p>
        </w:tc>
        <w:tc>
          <w:tcPr>
            <w:tcW w:w="540" w:type="pct"/>
          </w:tcPr>
          <w:p w14:paraId="0EF24220" w14:textId="77777777" w:rsidR="00CE1480" w:rsidRPr="00CE4096" w:rsidRDefault="00EB3697">
            <w:pPr>
              <w:spacing w:line="360" w:lineRule="auto"/>
              <w:rPr>
                <w:rFonts w:ascii="Arial" w:hAnsi="Arial" w:cs="Arial"/>
                <w:sz w:val="18"/>
                <w:szCs w:val="18"/>
              </w:rPr>
            </w:pPr>
            <w:r w:rsidRPr="00CE4096">
              <w:rPr>
                <w:rFonts w:ascii="Arial" w:hAnsi="Arial" w:cs="Arial"/>
                <w:sz w:val="18"/>
                <w:szCs w:val="18"/>
              </w:rPr>
              <w:t>NCT01116648</w:t>
            </w:r>
          </w:p>
        </w:tc>
      </w:tr>
      <w:tr w:rsidR="00CE4096" w:rsidRPr="00CE4096" w14:paraId="79E8B138" w14:textId="77777777" w:rsidTr="00CA7930">
        <w:tc>
          <w:tcPr>
            <w:tcW w:w="618" w:type="pct"/>
            <w:tcBorders>
              <w:bottom w:val="single" w:sz="12" w:space="0" w:color="auto"/>
            </w:tcBorders>
          </w:tcPr>
          <w:p w14:paraId="5E46EB57" w14:textId="3B7B4E41" w:rsidR="00CE1480" w:rsidRPr="00CE4096" w:rsidRDefault="00EB3697">
            <w:pPr>
              <w:spacing w:line="360" w:lineRule="auto"/>
              <w:rPr>
                <w:rFonts w:ascii="Arial" w:hAnsi="Arial" w:cs="Arial"/>
                <w:sz w:val="18"/>
                <w:szCs w:val="18"/>
              </w:rPr>
            </w:pPr>
            <w:r w:rsidRPr="00CE4096">
              <w:rPr>
                <w:rFonts w:ascii="Arial" w:hAnsi="Arial" w:cs="Arial"/>
                <w:sz w:val="18"/>
                <w:szCs w:val="18"/>
              </w:rPr>
              <w:t>Mirza2019(NSGO-AVANOVA2/ENGOT-ov24)</w:t>
            </w:r>
            <w:r w:rsidRPr="00CE4096">
              <w:rPr>
                <w:rFonts w:ascii="Arial" w:hAnsi="Arial" w:cs="Arial"/>
                <w:sz w:val="18"/>
                <w:szCs w:val="18"/>
                <w:vertAlign w:val="superscript"/>
              </w:rPr>
              <w:t>2</w:t>
            </w:r>
            <w:r w:rsidR="00FF2467" w:rsidRPr="00CE4096">
              <w:rPr>
                <w:rFonts w:ascii="Arial" w:hAnsi="Arial" w:cs="Arial"/>
                <w:sz w:val="18"/>
                <w:szCs w:val="18"/>
                <w:vertAlign w:val="superscript"/>
              </w:rPr>
              <w:t>0</w:t>
            </w:r>
          </w:p>
        </w:tc>
        <w:tc>
          <w:tcPr>
            <w:tcW w:w="973" w:type="pct"/>
            <w:tcBorders>
              <w:bottom w:val="single" w:sz="12" w:space="0" w:color="auto"/>
            </w:tcBorders>
          </w:tcPr>
          <w:p w14:paraId="61BF4FA1" w14:textId="77777777" w:rsidR="00CE1480" w:rsidRPr="00CE4096" w:rsidRDefault="00EB3697">
            <w:pPr>
              <w:spacing w:line="360" w:lineRule="auto"/>
              <w:rPr>
                <w:rFonts w:ascii="Arial" w:hAnsi="Arial" w:cs="Arial"/>
                <w:sz w:val="18"/>
                <w:szCs w:val="18"/>
              </w:rPr>
            </w:pPr>
            <w:r w:rsidRPr="00CE4096">
              <w:rPr>
                <w:rFonts w:ascii="Arial" w:hAnsi="Arial" w:cs="Arial"/>
                <w:sz w:val="18"/>
                <w:szCs w:val="18"/>
              </w:rPr>
              <w:t>Niraparib tablets 300mgQD+bevacizumab15mg/kg Q3W/Niraparib tablets 300mgQD</w:t>
            </w:r>
          </w:p>
        </w:tc>
        <w:tc>
          <w:tcPr>
            <w:tcW w:w="771" w:type="pct"/>
            <w:tcBorders>
              <w:bottom w:val="single" w:sz="12" w:space="0" w:color="auto"/>
            </w:tcBorders>
          </w:tcPr>
          <w:p w14:paraId="035ECA54" w14:textId="77777777" w:rsidR="00CE1480" w:rsidRPr="00CE4096" w:rsidRDefault="00EB3697">
            <w:pPr>
              <w:spacing w:line="360" w:lineRule="auto"/>
              <w:rPr>
                <w:rFonts w:ascii="Arial" w:hAnsi="Arial" w:cs="Arial"/>
                <w:sz w:val="18"/>
                <w:szCs w:val="18"/>
              </w:rPr>
            </w:pPr>
            <w:r w:rsidRPr="00CE4096">
              <w:rPr>
                <w:rFonts w:ascii="Arial" w:hAnsi="Arial" w:cs="Arial"/>
                <w:sz w:val="18"/>
                <w:szCs w:val="18"/>
              </w:rPr>
              <w:t>Platinum-sensitive recurrent OC</w:t>
            </w:r>
          </w:p>
        </w:tc>
        <w:tc>
          <w:tcPr>
            <w:tcW w:w="663" w:type="pct"/>
            <w:tcBorders>
              <w:bottom w:val="single" w:sz="12" w:space="0" w:color="auto"/>
            </w:tcBorders>
            <w:shd w:val="clear" w:color="auto" w:fill="auto"/>
          </w:tcPr>
          <w:p w14:paraId="6684AF23" w14:textId="77777777" w:rsidR="00CE1480" w:rsidRPr="00CE4096" w:rsidRDefault="00EB3697">
            <w:pPr>
              <w:spacing w:line="360" w:lineRule="auto"/>
              <w:rPr>
                <w:rFonts w:ascii="Arial" w:hAnsi="Arial" w:cs="Arial"/>
                <w:sz w:val="18"/>
                <w:szCs w:val="18"/>
              </w:rPr>
            </w:pPr>
            <w:r w:rsidRPr="00CE4096">
              <w:rPr>
                <w:rFonts w:ascii="Arial" w:hAnsi="Arial" w:cs="Arial"/>
                <w:sz w:val="18"/>
                <w:szCs w:val="18"/>
              </w:rPr>
              <w:t>Phase II, open-label</w:t>
            </w:r>
            <w:r w:rsidRPr="00CE4096">
              <w:rPr>
                <w:rFonts w:ascii="Arial" w:hAnsi="Arial" w:cs="Arial"/>
                <w:sz w:val="18"/>
                <w:szCs w:val="18"/>
              </w:rPr>
              <w:t>，</w:t>
            </w:r>
            <w:r w:rsidRPr="00CE4096">
              <w:rPr>
                <w:rFonts w:ascii="Arial" w:hAnsi="Arial" w:cs="Arial"/>
                <w:sz w:val="18"/>
                <w:szCs w:val="18"/>
              </w:rPr>
              <w:t>RCT</w:t>
            </w:r>
          </w:p>
        </w:tc>
        <w:tc>
          <w:tcPr>
            <w:tcW w:w="422" w:type="pct"/>
            <w:tcBorders>
              <w:bottom w:val="single" w:sz="12" w:space="0" w:color="auto"/>
            </w:tcBorders>
            <w:shd w:val="clear" w:color="auto" w:fill="auto"/>
          </w:tcPr>
          <w:p w14:paraId="0B3FBB84" w14:textId="77777777" w:rsidR="00CE1480" w:rsidRPr="00CE4096" w:rsidRDefault="00EB3697">
            <w:pPr>
              <w:spacing w:line="360" w:lineRule="auto"/>
              <w:rPr>
                <w:rFonts w:ascii="Arial" w:hAnsi="Arial" w:cs="Arial"/>
                <w:sz w:val="18"/>
                <w:szCs w:val="18"/>
              </w:rPr>
            </w:pPr>
            <w:r w:rsidRPr="00CE4096">
              <w:rPr>
                <w:rFonts w:ascii="Arial" w:hAnsi="Arial" w:cs="Arial"/>
                <w:sz w:val="18"/>
                <w:szCs w:val="18"/>
              </w:rPr>
              <w:t>97</w:t>
            </w:r>
          </w:p>
        </w:tc>
        <w:tc>
          <w:tcPr>
            <w:tcW w:w="500" w:type="pct"/>
            <w:tcBorders>
              <w:bottom w:val="single" w:sz="12" w:space="0" w:color="auto"/>
            </w:tcBorders>
            <w:shd w:val="clear" w:color="auto" w:fill="auto"/>
          </w:tcPr>
          <w:p w14:paraId="27097CB7" w14:textId="77777777" w:rsidR="00CE1480" w:rsidRPr="00CE4096" w:rsidRDefault="00EB3697">
            <w:pPr>
              <w:spacing w:line="360" w:lineRule="auto"/>
              <w:rPr>
                <w:rFonts w:ascii="Arial" w:hAnsi="Arial" w:cs="Arial"/>
                <w:sz w:val="18"/>
                <w:szCs w:val="18"/>
              </w:rPr>
            </w:pPr>
            <w:r w:rsidRPr="00CE4096">
              <w:rPr>
                <w:rFonts w:ascii="Arial" w:hAnsi="Arial" w:cs="Arial"/>
                <w:sz w:val="18"/>
                <w:szCs w:val="18"/>
              </w:rPr>
              <w:t xml:space="preserve">58pts with HRD </w:t>
            </w:r>
            <w:proofErr w:type="spellStart"/>
            <w:r w:rsidRPr="00CE4096">
              <w:rPr>
                <w:rFonts w:ascii="Arial" w:hAnsi="Arial" w:cs="Arial"/>
                <w:sz w:val="18"/>
                <w:szCs w:val="18"/>
              </w:rPr>
              <w:t>postive</w:t>
            </w:r>
            <w:proofErr w:type="spellEnd"/>
          </w:p>
        </w:tc>
        <w:tc>
          <w:tcPr>
            <w:tcW w:w="512" w:type="pct"/>
            <w:tcBorders>
              <w:bottom w:val="single" w:sz="12" w:space="0" w:color="auto"/>
            </w:tcBorders>
          </w:tcPr>
          <w:p w14:paraId="32023014" w14:textId="77777777" w:rsidR="00CE1480" w:rsidRPr="00CE4096" w:rsidRDefault="00EB3697">
            <w:pPr>
              <w:spacing w:line="360" w:lineRule="auto"/>
              <w:rPr>
                <w:rFonts w:ascii="Arial" w:hAnsi="Arial" w:cs="Arial"/>
                <w:sz w:val="18"/>
                <w:szCs w:val="18"/>
              </w:rPr>
            </w:pPr>
            <w:r w:rsidRPr="00CE4096">
              <w:rPr>
                <w:rFonts w:ascii="Arial" w:hAnsi="Arial" w:cs="Arial"/>
                <w:sz w:val="18"/>
                <w:szCs w:val="18"/>
              </w:rPr>
              <w:t>39pts with negative or unknown HRD</w:t>
            </w:r>
          </w:p>
        </w:tc>
        <w:tc>
          <w:tcPr>
            <w:tcW w:w="540" w:type="pct"/>
            <w:tcBorders>
              <w:bottom w:val="single" w:sz="12" w:space="0" w:color="auto"/>
            </w:tcBorders>
          </w:tcPr>
          <w:p w14:paraId="18FB4091" w14:textId="77777777" w:rsidR="00CE1480" w:rsidRPr="00CE4096" w:rsidRDefault="00EB3697">
            <w:pPr>
              <w:spacing w:line="360" w:lineRule="auto"/>
              <w:rPr>
                <w:rFonts w:ascii="Arial" w:hAnsi="Arial" w:cs="Arial"/>
                <w:sz w:val="18"/>
                <w:szCs w:val="18"/>
              </w:rPr>
            </w:pPr>
            <w:r w:rsidRPr="00CE4096">
              <w:rPr>
                <w:rFonts w:ascii="Arial" w:hAnsi="Arial" w:cs="Arial"/>
                <w:sz w:val="18"/>
                <w:szCs w:val="18"/>
              </w:rPr>
              <w:t>NCT02354131</w:t>
            </w:r>
          </w:p>
        </w:tc>
      </w:tr>
    </w:tbl>
    <w:p w14:paraId="6EE3BA89" w14:textId="77777777" w:rsidR="00CE1480" w:rsidRPr="00CE4096" w:rsidRDefault="00EB3697">
      <w:pPr>
        <w:spacing w:line="360" w:lineRule="auto"/>
        <w:rPr>
          <w:rFonts w:ascii="Times New Roman" w:hAnsi="Times New Roman" w:cs="Times New Roman"/>
        </w:rPr>
      </w:pPr>
      <w:r w:rsidRPr="00CE4096">
        <w:rPr>
          <w:rFonts w:ascii="Times New Roman" w:hAnsi="Times New Roman" w:cs="Times New Roman"/>
        </w:rPr>
        <w:t>N.A. Not available; BID: twice daily</w:t>
      </w:r>
    </w:p>
    <w:p w14:paraId="31780A17" w14:textId="77777777" w:rsidR="00CE1480" w:rsidRPr="00CE4096" w:rsidRDefault="00EB3697">
      <w:pPr>
        <w:spacing w:line="360" w:lineRule="auto"/>
        <w:rPr>
          <w:rFonts w:ascii="Times New Roman" w:hAnsi="Times New Roman" w:cs="Times New Roman"/>
        </w:rPr>
      </w:pPr>
      <w:r w:rsidRPr="00CE4096">
        <w:rPr>
          <w:rFonts w:ascii="Times New Roman" w:hAnsi="Times New Roman" w:cs="Times New Roman"/>
        </w:rPr>
        <w:t xml:space="preserve">* the table only list the information of the arm receiving PARP inhibitor </w:t>
      </w:r>
    </w:p>
    <w:p w14:paraId="6527D29E" w14:textId="77777777" w:rsidR="00CE1480" w:rsidRPr="00CE4096" w:rsidRDefault="00CE1480">
      <w:pPr>
        <w:rPr>
          <w:rFonts w:ascii="Times New Roman" w:hAnsi="Times New Roman" w:cs="Times New Roman"/>
        </w:rPr>
      </w:pPr>
    </w:p>
    <w:p w14:paraId="43C7F56E" w14:textId="77777777" w:rsidR="00CE1480" w:rsidRPr="00CE4096" w:rsidRDefault="00CE1480">
      <w:pPr>
        <w:rPr>
          <w:rFonts w:ascii="Times New Roman" w:hAnsi="Times New Roman" w:cs="Times New Roman"/>
        </w:rPr>
        <w:sectPr w:rsidR="00CE1480" w:rsidRPr="00CE4096">
          <w:pgSz w:w="16838" w:h="11906" w:orient="landscape"/>
          <w:pgMar w:top="1800" w:right="1440" w:bottom="1800" w:left="1440" w:header="851" w:footer="992" w:gutter="0"/>
          <w:cols w:space="425"/>
          <w:docGrid w:type="lines" w:linePitch="312"/>
        </w:sectPr>
      </w:pPr>
    </w:p>
    <w:p w14:paraId="691F445E" w14:textId="77777777" w:rsidR="00CE1480" w:rsidRPr="00CE4096" w:rsidRDefault="00EB3697">
      <w:pPr>
        <w:spacing w:line="360" w:lineRule="auto"/>
        <w:rPr>
          <w:rFonts w:ascii="Times New Roman" w:hAnsi="Times New Roman" w:cs="Times New Roman"/>
          <w:sz w:val="24"/>
        </w:rPr>
      </w:pPr>
      <w:r w:rsidRPr="00CE4096">
        <w:rPr>
          <w:rFonts w:ascii="Times New Roman" w:hAnsi="Times New Roman" w:cs="Times New Roman"/>
          <w:sz w:val="24"/>
        </w:rPr>
        <w:lastRenderedPageBreak/>
        <w:t>(a)</w:t>
      </w:r>
    </w:p>
    <w:p w14:paraId="6F8EA7F5" w14:textId="77777777" w:rsidR="00CE1480" w:rsidRPr="00CE4096" w:rsidRDefault="00EB3697">
      <w:pPr>
        <w:rPr>
          <w:rFonts w:ascii="Times New Roman" w:hAnsi="Times New Roman" w:cs="Times New Roman"/>
        </w:rPr>
      </w:pPr>
      <w:r w:rsidRPr="00CE4096">
        <w:rPr>
          <w:noProof/>
        </w:rPr>
        <w:drawing>
          <wp:inline distT="0" distB="0" distL="0" distR="0" wp14:anchorId="45796ABD" wp14:editId="5E00C0C8">
            <wp:extent cx="3408680" cy="553593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3408680" cy="5535930"/>
                    </a:xfrm>
                    <a:prstGeom prst="rect">
                      <a:avLst/>
                    </a:prstGeom>
                    <a:noFill/>
                    <a:ln>
                      <a:noFill/>
                    </a:ln>
                  </pic:spPr>
                </pic:pic>
              </a:graphicData>
            </a:graphic>
          </wp:inline>
        </w:drawing>
      </w:r>
    </w:p>
    <w:p w14:paraId="4ECE4BBA" w14:textId="77777777" w:rsidR="00CE1480" w:rsidRPr="00CE4096" w:rsidRDefault="00EB3697">
      <w:pPr>
        <w:spacing w:line="360" w:lineRule="auto"/>
        <w:rPr>
          <w:rFonts w:ascii="Times New Roman" w:hAnsi="Times New Roman" w:cs="Times New Roman"/>
          <w:sz w:val="24"/>
        </w:rPr>
      </w:pPr>
      <w:r w:rsidRPr="00CE4096">
        <w:rPr>
          <w:rFonts w:ascii="Times New Roman" w:hAnsi="Times New Roman" w:cs="Times New Roman"/>
          <w:sz w:val="24"/>
        </w:rPr>
        <w:t>(b)</w:t>
      </w:r>
    </w:p>
    <w:p w14:paraId="5B3C03CC" w14:textId="77777777" w:rsidR="00CE1480" w:rsidRPr="00CE4096" w:rsidRDefault="00EB3697">
      <w:pPr>
        <w:rPr>
          <w:rFonts w:ascii="Times New Roman" w:hAnsi="Times New Roman" w:cs="Times New Roman"/>
        </w:rPr>
      </w:pPr>
      <w:r w:rsidRPr="00CE4096">
        <w:rPr>
          <w:noProof/>
        </w:rPr>
        <w:drawing>
          <wp:inline distT="0" distB="0" distL="0" distR="0" wp14:anchorId="5DF0969D" wp14:editId="71CEFCB1">
            <wp:extent cx="5274310" cy="222758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274310" cy="2227580"/>
                    </a:xfrm>
                    <a:prstGeom prst="rect">
                      <a:avLst/>
                    </a:prstGeom>
                    <a:noFill/>
                    <a:ln>
                      <a:noFill/>
                    </a:ln>
                  </pic:spPr>
                </pic:pic>
              </a:graphicData>
            </a:graphic>
          </wp:inline>
        </w:drawing>
      </w:r>
    </w:p>
    <w:p w14:paraId="286A9229" w14:textId="77777777" w:rsidR="00CE1480" w:rsidRPr="00CE4096" w:rsidRDefault="00EB3697">
      <w:pPr>
        <w:adjustRightInd w:val="0"/>
        <w:snapToGrid w:val="0"/>
        <w:spacing w:line="360" w:lineRule="auto"/>
        <w:rPr>
          <w:rFonts w:ascii="Times New Roman" w:hAnsi="Times New Roman" w:cs="Times New Roman"/>
          <w:b/>
          <w:bCs/>
          <w:sz w:val="24"/>
        </w:rPr>
      </w:pPr>
      <w:bookmarkStart w:id="1" w:name="OLE_LINK1"/>
      <w:bookmarkStart w:id="2" w:name="OLE_LINK2"/>
      <w:r w:rsidRPr="00CE4096">
        <w:rPr>
          <w:rFonts w:ascii="Times New Roman" w:hAnsi="Times New Roman" w:cs="Times New Roman"/>
          <w:b/>
          <w:bCs/>
          <w:sz w:val="24"/>
          <w:szCs w:val="32"/>
        </w:rPr>
        <w:t>Figure S2</w:t>
      </w:r>
      <w:r w:rsidRPr="00CE4096">
        <w:rPr>
          <w:rFonts w:ascii="Times New Roman" w:hAnsi="Times New Roman" w:cs="Times New Roman"/>
          <w:b/>
          <w:bCs/>
          <w:sz w:val="24"/>
        </w:rPr>
        <w:t xml:space="preserve"> Risk of bias assessment. Using Cochrane’s risk of bias assessment tool </w:t>
      </w:r>
      <w:r w:rsidRPr="00CE4096">
        <w:rPr>
          <w:rFonts w:ascii="Times New Roman" w:hAnsi="Times New Roman" w:cs="Times New Roman"/>
          <w:b/>
          <w:bCs/>
          <w:sz w:val="24"/>
        </w:rPr>
        <w:lastRenderedPageBreak/>
        <w:t xml:space="preserve">to assess the Study-level (a) and Overall (b) risk of bias. </w:t>
      </w:r>
      <w:bookmarkEnd w:id="1"/>
      <w:bookmarkEnd w:id="2"/>
    </w:p>
    <w:p w14:paraId="1B75FBB3" w14:textId="77777777" w:rsidR="00CE1480" w:rsidRPr="00CE4096" w:rsidRDefault="00CE1480">
      <w:pPr>
        <w:rPr>
          <w:rFonts w:ascii="Times New Roman" w:hAnsi="Times New Roman" w:cs="Times New Roman"/>
          <w:highlight w:val="yellow"/>
        </w:rPr>
      </w:pPr>
    </w:p>
    <w:p w14:paraId="1845BC79" w14:textId="77777777" w:rsidR="00CE1480" w:rsidRPr="00CE4096" w:rsidRDefault="00EB3697">
      <w:pPr>
        <w:jc w:val="center"/>
        <w:rPr>
          <w:rFonts w:ascii="Times New Roman" w:hAnsi="Times New Roman" w:cs="Times New Roman"/>
          <w:highlight w:val="yellow"/>
        </w:rPr>
      </w:pPr>
      <w:r w:rsidRPr="00CE4096">
        <w:rPr>
          <w:noProof/>
        </w:rPr>
        <w:drawing>
          <wp:inline distT="0" distB="0" distL="0" distR="0" wp14:anchorId="2CC11594" wp14:editId="06658B3D">
            <wp:extent cx="5274310" cy="527431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5274310" cy="5274310"/>
                    </a:xfrm>
                    <a:prstGeom prst="rect">
                      <a:avLst/>
                    </a:prstGeom>
                    <a:noFill/>
                    <a:ln>
                      <a:noFill/>
                    </a:ln>
                  </pic:spPr>
                </pic:pic>
              </a:graphicData>
            </a:graphic>
          </wp:inline>
        </w:drawing>
      </w:r>
    </w:p>
    <w:p w14:paraId="465C3B82" w14:textId="77777777" w:rsidR="00CE1480" w:rsidRPr="00CE4096" w:rsidRDefault="00CE1480">
      <w:pPr>
        <w:ind w:leftChars="-202" w:hangingChars="202" w:hanging="424"/>
        <w:rPr>
          <w:rFonts w:ascii="Times New Roman" w:hAnsi="Times New Roman" w:cs="Times New Roman"/>
          <w:highlight w:val="yellow"/>
        </w:rPr>
      </w:pPr>
    </w:p>
    <w:p w14:paraId="5B63C3FD" w14:textId="77777777" w:rsidR="00CE1480" w:rsidRPr="00CE4096" w:rsidRDefault="00EB3697">
      <w:pPr>
        <w:adjustRightInd w:val="0"/>
        <w:snapToGrid w:val="0"/>
        <w:spacing w:line="360" w:lineRule="auto"/>
        <w:rPr>
          <w:rFonts w:ascii="Times New Roman" w:eastAsia="YouYuan" w:hAnsi="Times New Roman" w:cs="Times New Roman"/>
          <w:b/>
          <w:bCs/>
          <w:sz w:val="24"/>
        </w:rPr>
      </w:pPr>
      <w:r w:rsidRPr="00CE4096">
        <w:rPr>
          <w:rFonts w:ascii="Times New Roman" w:hAnsi="Times New Roman" w:cs="Times New Roman"/>
          <w:b/>
          <w:bCs/>
          <w:sz w:val="24"/>
          <w:szCs w:val="32"/>
        </w:rPr>
        <w:t>Figure S3</w:t>
      </w:r>
      <w:r w:rsidRPr="00CE4096">
        <w:rPr>
          <w:rFonts w:ascii="Times New Roman" w:eastAsia="YouYuan" w:hAnsi="Times New Roman" w:cs="Times New Roman"/>
          <w:b/>
          <w:bCs/>
          <w:sz w:val="24"/>
        </w:rPr>
        <w:t xml:space="preserve"> Goodness-of-fit plot of the final model. </w:t>
      </w:r>
    </w:p>
    <w:p w14:paraId="1D62B1FB" w14:textId="77777777" w:rsidR="00CE1480" w:rsidRPr="00CE4096" w:rsidRDefault="00EB3697">
      <w:pPr>
        <w:adjustRightInd w:val="0"/>
        <w:snapToGrid w:val="0"/>
        <w:spacing w:line="360" w:lineRule="auto"/>
        <w:rPr>
          <w:rFonts w:ascii="Times New Roman" w:eastAsia="YouYuan" w:hAnsi="Times New Roman" w:cs="Times New Roman"/>
          <w:sz w:val="24"/>
          <w:highlight w:val="yellow"/>
        </w:rPr>
      </w:pPr>
      <w:r w:rsidRPr="00CE4096">
        <w:rPr>
          <w:rFonts w:ascii="Times New Roman" w:eastAsia="YouYuan" w:hAnsi="Times New Roman" w:cs="Times New Roman"/>
          <w:sz w:val="24"/>
        </w:rPr>
        <w:t>(the upper two (from left to right) represent the observations vs PRED, the observations vs IPRED, the lower two scatter charts (from left to right) represent CWRES vs PRED, CWRES vs time. The red dotted line represents the fit line. Solid black lines in the upper two are diagonal, and pink dotted lines are 0 lines and ±6 reference lines in lower two, respectively.)</w:t>
      </w:r>
    </w:p>
    <w:p w14:paraId="6E52A154" w14:textId="77777777" w:rsidR="00CE1480" w:rsidRPr="00CE4096" w:rsidRDefault="00CE1480">
      <w:pPr>
        <w:rPr>
          <w:rFonts w:ascii="Times New Roman" w:hAnsi="Times New Roman" w:cs="Times New Roman"/>
          <w:highlight w:val="yellow"/>
        </w:rPr>
      </w:pPr>
    </w:p>
    <w:p w14:paraId="730407BA" w14:textId="77777777" w:rsidR="00CE1480" w:rsidRPr="00CE4096" w:rsidRDefault="00CE1480">
      <w:pPr>
        <w:rPr>
          <w:rFonts w:ascii="Times New Roman" w:hAnsi="Times New Roman" w:cs="Times New Roman"/>
          <w:highlight w:val="yellow"/>
        </w:rPr>
      </w:pPr>
    </w:p>
    <w:p w14:paraId="7CA96047" w14:textId="77777777" w:rsidR="00CE1480" w:rsidRPr="00CE4096" w:rsidRDefault="00CE1480">
      <w:pPr>
        <w:rPr>
          <w:rFonts w:ascii="Times New Roman" w:hAnsi="Times New Roman" w:cs="Times New Roman"/>
          <w:highlight w:val="yellow"/>
        </w:rPr>
      </w:pPr>
    </w:p>
    <w:p w14:paraId="08DF91C9" w14:textId="77777777" w:rsidR="00CE1480" w:rsidRPr="00CE4096" w:rsidRDefault="00CE1480">
      <w:pPr>
        <w:rPr>
          <w:rFonts w:ascii="Times New Roman" w:hAnsi="Times New Roman" w:cs="Times New Roman"/>
          <w:highlight w:val="yellow"/>
        </w:rPr>
      </w:pPr>
    </w:p>
    <w:p w14:paraId="03E88797" w14:textId="77777777" w:rsidR="00CE1480" w:rsidRPr="00CE4096" w:rsidRDefault="00CE1480">
      <w:pPr>
        <w:rPr>
          <w:rFonts w:ascii="Times New Roman" w:hAnsi="Times New Roman" w:cs="Times New Roman"/>
          <w:highlight w:val="yellow"/>
        </w:rPr>
      </w:pPr>
    </w:p>
    <w:p w14:paraId="0AA66ED8" w14:textId="77777777" w:rsidR="00CE1480" w:rsidRPr="00CE4096" w:rsidRDefault="00CE1480">
      <w:pPr>
        <w:rPr>
          <w:rFonts w:ascii="Times New Roman" w:hAnsi="Times New Roman" w:cs="Times New Roman"/>
          <w:highlight w:val="yellow"/>
        </w:rPr>
      </w:pPr>
    </w:p>
    <w:p w14:paraId="2DF716C8" w14:textId="77777777" w:rsidR="00CE1480" w:rsidRPr="00CE4096" w:rsidRDefault="00CE1480">
      <w:pPr>
        <w:tabs>
          <w:tab w:val="left" w:pos="523"/>
        </w:tabs>
        <w:ind w:leftChars="-202" w:left="-424"/>
        <w:jc w:val="left"/>
        <w:rPr>
          <w:rFonts w:ascii="Times New Roman" w:hAnsi="Times New Roman" w:cs="Times New Roman"/>
          <w:highlight w:val="yellow"/>
        </w:rPr>
      </w:pPr>
    </w:p>
    <w:p w14:paraId="7B31C6FA" w14:textId="77777777" w:rsidR="00CE1480" w:rsidRPr="00CE4096" w:rsidRDefault="00CE1480">
      <w:pPr>
        <w:tabs>
          <w:tab w:val="left" w:pos="523"/>
        </w:tabs>
        <w:jc w:val="left"/>
        <w:rPr>
          <w:rFonts w:ascii="Times New Roman" w:hAnsi="Times New Roman" w:cs="Times New Roman"/>
          <w:highlight w:val="yellow"/>
        </w:rPr>
      </w:pPr>
    </w:p>
    <w:p w14:paraId="3FAB5A3C" w14:textId="77777777" w:rsidR="00CE1480" w:rsidRPr="00CE4096" w:rsidRDefault="00EB3697">
      <w:pPr>
        <w:spacing w:line="360" w:lineRule="auto"/>
        <w:rPr>
          <w:rFonts w:ascii="Times New Roman" w:hAnsi="Times New Roman" w:cs="Times New Roman"/>
          <w:kern w:val="0"/>
          <w:sz w:val="24"/>
          <w:lang w:val="en-GB"/>
        </w:rPr>
      </w:pPr>
      <w:r w:rsidRPr="00CE4096">
        <w:rPr>
          <w:noProof/>
        </w:rPr>
        <w:drawing>
          <wp:inline distT="0" distB="0" distL="0" distR="0" wp14:anchorId="009B46AE" wp14:editId="5FF3386E">
            <wp:extent cx="5274310" cy="213106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5274310" cy="2131060"/>
                    </a:xfrm>
                    <a:prstGeom prst="rect">
                      <a:avLst/>
                    </a:prstGeom>
                    <a:noFill/>
                    <a:ln>
                      <a:noFill/>
                    </a:ln>
                  </pic:spPr>
                </pic:pic>
              </a:graphicData>
            </a:graphic>
          </wp:inline>
        </w:drawing>
      </w:r>
    </w:p>
    <w:p w14:paraId="2BB17B8D" w14:textId="77777777" w:rsidR="00CE1480" w:rsidRPr="00CE4096" w:rsidRDefault="00EB3697">
      <w:pPr>
        <w:pStyle w:val="Caption"/>
        <w:spacing w:line="360" w:lineRule="auto"/>
        <w:jc w:val="left"/>
        <w:rPr>
          <w:rFonts w:ascii="Times New Roman" w:eastAsia="SimSun" w:hAnsi="Times New Roman" w:cs="Times New Roman"/>
          <w:sz w:val="24"/>
          <w:szCs w:val="24"/>
        </w:rPr>
      </w:pPr>
      <w:r w:rsidRPr="00CE4096">
        <w:rPr>
          <w:rFonts w:ascii="Times New Roman" w:eastAsia="SimSun" w:hAnsi="Times New Roman" w:cs="Times New Roman"/>
          <w:b/>
          <w:bCs/>
          <w:sz w:val="24"/>
          <w:szCs w:val="24"/>
        </w:rPr>
        <w:t xml:space="preserve">Figure S4 </w:t>
      </w:r>
      <w:r w:rsidRPr="00CE4096">
        <w:rPr>
          <w:rFonts w:ascii="Times New Roman" w:eastAsia="SimSun" w:hAnsi="Times New Roman" w:cs="Times New Roman"/>
          <w:kern w:val="0"/>
          <w:sz w:val="24"/>
          <w:szCs w:val="24"/>
        </w:rPr>
        <w:t>VPC of the final model</w:t>
      </w:r>
    </w:p>
    <w:p w14:paraId="52DD9C33" w14:textId="77777777" w:rsidR="00CE1480" w:rsidRPr="00CE4096" w:rsidRDefault="00EB3697">
      <w:pPr>
        <w:spacing w:line="360" w:lineRule="auto"/>
        <w:rPr>
          <w:rFonts w:ascii="Times New Roman" w:hAnsi="Times New Roman" w:cs="Times New Roman"/>
          <w:kern w:val="0"/>
          <w:sz w:val="24"/>
        </w:rPr>
      </w:pPr>
      <w:r w:rsidRPr="00CE4096">
        <w:rPr>
          <w:rFonts w:ascii="Times New Roman" w:hAnsi="Times New Roman" w:cs="Times New Roman"/>
          <w:kern w:val="0"/>
          <w:sz w:val="24"/>
        </w:rPr>
        <w:t>(The shaded area represents the 95% CI of PFS predicted by the model, the green dotted line represents the median of the drug effect predicted by the model, the dot represents the measured value of the data, and the size of the dot is related to the sample size)</w:t>
      </w:r>
    </w:p>
    <w:p w14:paraId="1ABE316A" w14:textId="77777777" w:rsidR="00CE1480" w:rsidRPr="00CE4096" w:rsidRDefault="00EB3697">
      <w:pPr>
        <w:spacing w:line="360" w:lineRule="auto"/>
        <w:rPr>
          <w:rFonts w:ascii="Times New Roman" w:hAnsi="Times New Roman" w:cs="Times New Roman"/>
          <w:kern w:val="0"/>
          <w:sz w:val="24"/>
        </w:rPr>
      </w:pPr>
      <w:r w:rsidRPr="00CE4096">
        <w:rPr>
          <w:rFonts w:ascii="Times New Roman" w:hAnsi="Times New Roman" w:cs="Times New Roman" w:hint="eastAsia"/>
          <w:noProof/>
          <w:kern w:val="0"/>
          <w:sz w:val="24"/>
        </w:rPr>
        <w:drawing>
          <wp:inline distT="0" distB="0" distL="114300" distR="114300" wp14:anchorId="10C8CF26" wp14:editId="02BF9510">
            <wp:extent cx="5266690" cy="3160395"/>
            <wp:effectExtent l="0" t="0" r="3810" b="1905"/>
            <wp:docPr id="4" name="图片 4" descr="PF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PFS3"/>
                    <pic:cNvPicPr>
                      <a:picLocks noChangeAspect="1"/>
                    </pic:cNvPicPr>
                  </pic:nvPicPr>
                  <pic:blipFill>
                    <a:blip r:embed="rId13"/>
                    <a:stretch>
                      <a:fillRect/>
                    </a:stretch>
                  </pic:blipFill>
                  <pic:spPr>
                    <a:xfrm>
                      <a:off x="0" y="0"/>
                      <a:ext cx="5266690" cy="3160395"/>
                    </a:xfrm>
                    <a:prstGeom prst="rect">
                      <a:avLst/>
                    </a:prstGeom>
                  </pic:spPr>
                </pic:pic>
              </a:graphicData>
            </a:graphic>
          </wp:inline>
        </w:drawing>
      </w:r>
    </w:p>
    <w:p w14:paraId="0D7A5DAB" w14:textId="77777777" w:rsidR="00CE1480" w:rsidRPr="00CE4096" w:rsidRDefault="00EB3697">
      <w:pPr>
        <w:pStyle w:val="Caption"/>
        <w:spacing w:line="360" w:lineRule="auto"/>
        <w:jc w:val="left"/>
        <w:rPr>
          <w:rFonts w:ascii="Times New Roman" w:eastAsia="SimSun" w:hAnsi="Times New Roman" w:cs="Times New Roman"/>
          <w:sz w:val="24"/>
          <w:szCs w:val="24"/>
        </w:rPr>
      </w:pPr>
      <w:r w:rsidRPr="00CE4096">
        <w:rPr>
          <w:rFonts w:ascii="Times New Roman" w:eastAsia="SimSun" w:hAnsi="Times New Roman" w:cs="Times New Roman"/>
          <w:b/>
          <w:bCs/>
          <w:sz w:val="24"/>
          <w:szCs w:val="24"/>
        </w:rPr>
        <w:t>Figur</w:t>
      </w:r>
      <w:r w:rsidRPr="00CE4096">
        <w:rPr>
          <w:rFonts w:ascii="Times New Roman" w:eastAsia="SimSun" w:hAnsi="Times New Roman" w:cs="Times New Roman"/>
          <w:sz w:val="24"/>
          <w:szCs w:val="24"/>
        </w:rPr>
        <w:t xml:space="preserve">e </w:t>
      </w:r>
      <w:r w:rsidRPr="00CE4096">
        <w:rPr>
          <w:rFonts w:ascii="Times New Roman" w:eastAsia="SimSun" w:hAnsi="Times New Roman" w:cs="Times New Roman"/>
          <w:b/>
          <w:bCs/>
          <w:sz w:val="24"/>
          <w:szCs w:val="24"/>
        </w:rPr>
        <w:t>S</w:t>
      </w:r>
      <w:r w:rsidRPr="00CE4096">
        <w:rPr>
          <w:rFonts w:ascii="Times New Roman" w:eastAsia="SimSun" w:hAnsi="Times New Roman" w:cs="Times New Roman" w:hint="eastAsia"/>
          <w:b/>
          <w:bCs/>
          <w:sz w:val="24"/>
          <w:szCs w:val="24"/>
        </w:rPr>
        <w:t>5</w:t>
      </w:r>
      <w:r w:rsidRPr="00CE4096">
        <w:rPr>
          <w:rFonts w:ascii="Times New Roman" w:eastAsia="SimSun" w:hAnsi="Times New Roman" w:cs="Times New Roman"/>
          <w:sz w:val="24"/>
          <w:szCs w:val="24"/>
        </w:rPr>
        <w:t xml:space="preserve"> </w:t>
      </w:r>
      <w:r w:rsidRPr="00CE4096">
        <w:rPr>
          <w:rFonts w:ascii="Times New Roman" w:eastAsia="SimSun" w:hAnsi="Times New Roman" w:cs="Times New Roman" w:hint="eastAsia"/>
          <w:sz w:val="24"/>
          <w:szCs w:val="24"/>
        </w:rPr>
        <w:t>Original Data check</w:t>
      </w:r>
    </w:p>
    <w:p w14:paraId="2A681867" w14:textId="77777777" w:rsidR="00CE1480" w:rsidRPr="00CE4096" w:rsidRDefault="00EB3697">
      <w:pPr>
        <w:pStyle w:val="Caption"/>
        <w:spacing w:line="360" w:lineRule="auto"/>
        <w:jc w:val="left"/>
        <w:rPr>
          <w:rFonts w:ascii="Times New Roman" w:hAnsi="Times New Roman" w:cs="Times New Roman"/>
          <w:kern w:val="0"/>
          <w:sz w:val="24"/>
        </w:rPr>
      </w:pPr>
      <w:r w:rsidRPr="00CE4096">
        <w:rPr>
          <w:rFonts w:ascii="Times New Roman" w:hAnsi="Times New Roman" w:cs="Times New Roman"/>
          <w:kern w:val="0"/>
          <w:sz w:val="24"/>
        </w:rPr>
        <w:t>(</w:t>
      </w:r>
      <w:r w:rsidRPr="00CE4096">
        <w:rPr>
          <w:rFonts w:ascii="Times New Roman" w:eastAsia="SimSun" w:hAnsi="Times New Roman" w:cs="Times New Roman" w:hint="eastAsia"/>
          <w:sz w:val="24"/>
          <w:szCs w:val="24"/>
        </w:rPr>
        <w:t xml:space="preserve"> ID 6 and 7 were data from partially platinum-resistant patients, all the others from platinum-sensitive patients</w:t>
      </w:r>
      <w:r w:rsidRPr="00CE4096">
        <w:rPr>
          <w:rFonts w:ascii="Times New Roman" w:hAnsi="Times New Roman" w:cs="Times New Roman"/>
          <w:kern w:val="0"/>
          <w:sz w:val="24"/>
        </w:rPr>
        <w:t>)</w:t>
      </w:r>
    </w:p>
    <w:p w14:paraId="767CF27E" w14:textId="77777777" w:rsidR="00CE1480" w:rsidRPr="00CE4096" w:rsidRDefault="00CE1480">
      <w:pPr>
        <w:tabs>
          <w:tab w:val="left" w:pos="523"/>
        </w:tabs>
        <w:jc w:val="left"/>
        <w:rPr>
          <w:rFonts w:ascii="Times New Roman" w:hAnsi="Times New Roman" w:cs="Times New Roman"/>
          <w:highlight w:val="yellow"/>
        </w:rPr>
      </w:pPr>
    </w:p>
    <w:p w14:paraId="326FCC20" w14:textId="77777777" w:rsidR="00CE1480" w:rsidRPr="00CE4096" w:rsidRDefault="00CE1480">
      <w:pPr>
        <w:tabs>
          <w:tab w:val="left" w:pos="523"/>
        </w:tabs>
        <w:jc w:val="left"/>
        <w:rPr>
          <w:rFonts w:ascii="Times New Roman" w:hAnsi="Times New Roman" w:cs="Times New Roman"/>
          <w:highlight w:val="yellow"/>
        </w:rPr>
      </w:pPr>
    </w:p>
    <w:p w14:paraId="05F6C750" w14:textId="77777777" w:rsidR="00CE1480" w:rsidRPr="00CE4096" w:rsidRDefault="00CE1480">
      <w:pPr>
        <w:rPr>
          <w:rFonts w:ascii="Times New Roman" w:hAnsi="Times New Roman" w:cs="Times New Roman"/>
        </w:rPr>
      </w:pPr>
    </w:p>
    <w:sectPr w:rsidR="00CE1480" w:rsidRPr="00CE409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7AE33" w14:textId="77777777" w:rsidR="00A71B8A" w:rsidRDefault="00A71B8A" w:rsidP="00FF2467">
      <w:r>
        <w:separator/>
      </w:r>
    </w:p>
  </w:endnote>
  <w:endnote w:type="continuationSeparator" w:id="0">
    <w:p w14:paraId="79542CAA" w14:textId="77777777" w:rsidR="00A71B8A" w:rsidRDefault="00A71B8A" w:rsidP="00FF2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YouYuan">
    <w:altName w:val="Microsoft YaHei"/>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95366" w14:textId="77777777" w:rsidR="00A71B8A" w:rsidRDefault="00A71B8A" w:rsidP="00FF2467">
      <w:r>
        <w:separator/>
      </w:r>
    </w:p>
  </w:footnote>
  <w:footnote w:type="continuationSeparator" w:id="0">
    <w:p w14:paraId="36DE020B" w14:textId="77777777" w:rsidR="00A71B8A" w:rsidRDefault="00A71B8A" w:rsidP="00FF24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proofState w:spelling="clean"/>
  <w:attachedTemplate r:id="rId1"/>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2ED1EA7"/>
    <w:rsid w:val="00006CA2"/>
    <w:rsid w:val="0001024F"/>
    <w:rsid w:val="00020B1E"/>
    <w:rsid w:val="000253D6"/>
    <w:rsid w:val="00036991"/>
    <w:rsid w:val="00097FBC"/>
    <w:rsid w:val="000A7905"/>
    <w:rsid w:val="000D7BBB"/>
    <w:rsid w:val="00120369"/>
    <w:rsid w:val="00126892"/>
    <w:rsid w:val="00131DE1"/>
    <w:rsid w:val="001365C8"/>
    <w:rsid w:val="001539CE"/>
    <w:rsid w:val="001D6F6F"/>
    <w:rsid w:val="00221B0A"/>
    <w:rsid w:val="0025405E"/>
    <w:rsid w:val="002907BB"/>
    <w:rsid w:val="002A2077"/>
    <w:rsid w:val="002A2907"/>
    <w:rsid w:val="002B7CC8"/>
    <w:rsid w:val="002F28DA"/>
    <w:rsid w:val="00333F83"/>
    <w:rsid w:val="00352164"/>
    <w:rsid w:val="00354218"/>
    <w:rsid w:val="00371A13"/>
    <w:rsid w:val="00383D0E"/>
    <w:rsid w:val="003D260F"/>
    <w:rsid w:val="003F7102"/>
    <w:rsid w:val="00407D1B"/>
    <w:rsid w:val="0041006E"/>
    <w:rsid w:val="00422D53"/>
    <w:rsid w:val="004427CB"/>
    <w:rsid w:val="00446E49"/>
    <w:rsid w:val="0046682D"/>
    <w:rsid w:val="00467F99"/>
    <w:rsid w:val="00487B1B"/>
    <w:rsid w:val="004925F8"/>
    <w:rsid w:val="00493B44"/>
    <w:rsid w:val="00497269"/>
    <w:rsid w:val="004A04DE"/>
    <w:rsid w:val="004A0937"/>
    <w:rsid w:val="004A72C5"/>
    <w:rsid w:val="004E0AFE"/>
    <w:rsid w:val="004F669E"/>
    <w:rsid w:val="004F6ADF"/>
    <w:rsid w:val="00501219"/>
    <w:rsid w:val="00502D7C"/>
    <w:rsid w:val="00543617"/>
    <w:rsid w:val="0054393D"/>
    <w:rsid w:val="00566E22"/>
    <w:rsid w:val="0057237D"/>
    <w:rsid w:val="00587763"/>
    <w:rsid w:val="005A191D"/>
    <w:rsid w:val="005A7B60"/>
    <w:rsid w:val="00634004"/>
    <w:rsid w:val="00635D0B"/>
    <w:rsid w:val="00672F8F"/>
    <w:rsid w:val="00677ABA"/>
    <w:rsid w:val="0073460B"/>
    <w:rsid w:val="007474EE"/>
    <w:rsid w:val="007A30A1"/>
    <w:rsid w:val="007D0ADD"/>
    <w:rsid w:val="007D4699"/>
    <w:rsid w:val="007F1C21"/>
    <w:rsid w:val="008009E7"/>
    <w:rsid w:val="008102EB"/>
    <w:rsid w:val="008321CD"/>
    <w:rsid w:val="00870AD4"/>
    <w:rsid w:val="00886C8F"/>
    <w:rsid w:val="008B57F6"/>
    <w:rsid w:val="008C0690"/>
    <w:rsid w:val="008C70E9"/>
    <w:rsid w:val="008D7164"/>
    <w:rsid w:val="0090352D"/>
    <w:rsid w:val="00930EB7"/>
    <w:rsid w:val="00945F1E"/>
    <w:rsid w:val="00947B76"/>
    <w:rsid w:val="00960BFF"/>
    <w:rsid w:val="009700CB"/>
    <w:rsid w:val="00981D01"/>
    <w:rsid w:val="009A3600"/>
    <w:rsid w:val="00A02789"/>
    <w:rsid w:val="00A36667"/>
    <w:rsid w:val="00A56818"/>
    <w:rsid w:val="00A71B8A"/>
    <w:rsid w:val="00A93E8B"/>
    <w:rsid w:val="00A959F0"/>
    <w:rsid w:val="00AC3D17"/>
    <w:rsid w:val="00AC7311"/>
    <w:rsid w:val="00AE2B24"/>
    <w:rsid w:val="00B02691"/>
    <w:rsid w:val="00B20058"/>
    <w:rsid w:val="00B23DA6"/>
    <w:rsid w:val="00B37F21"/>
    <w:rsid w:val="00B61354"/>
    <w:rsid w:val="00BA0354"/>
    <w:rsid w:val="00BD00F2"/>
    <w:rsid w:val="00BF6F34"/>
    <w:rsid w:val="00C204D6"/>
    <w:rsid w:val="00C5130D"/>
    <w:rsid w:val="00C61BA4"/>
    <w:rsid w:val="00C71975"/>
    <w:rsid w:val="00C81B8F"/>
    <w:rsid w:val="00CA7930"/>
    <w:rsid w:val="00CB2635"/>
    <w:rsid w:val="00CC1283"/>
    <w:rsid w:val="00CE1480"/>
    <w:rsid w:val="00CE4096"/>
    <w:rsid w:val="00CE4335"/>
    <w:rsid w:val="00CF335F"/>
    <w:rsid w:val="00D26B0F"/>
    <w:rsid w:val="00DA6629"/>
    <w:rsid w:val="00DC7796"/>
    <w:rsid w:val="00DD0610"/>
    <w:rsid w:val="00DE370D"/>
    <w:rsid w:val="00E058CF"/>
    <w:rsid w:val="00E25E37"/>
    <w:rsid w:val="00E472A7"/>
    <w:rsid w:val="00E653D0"/>
    <w:rsid w:val="00E73B82"/>
    <w:rsid w:val="00EA70C9"/>
    <w:rsid w:val="00EB3697"/>
    <w:rsid w:val="00EE0E1D"/>
    <w:rsid w:val="00EE2A7B"/>
    <w:rsid w:val="00EF69FF"/>
    <w:rsid w:val="00F20094"/>
    <w:rsid w:val="00F25DFE"/>
    <w:rsid w:val="00F46503"/>
    <w:rsid w:val="00F50C37"/>
    <w:rsid w:val="00F55BAE"/>
    <w:rsid w:val="00F62EE6"/>
    <w:rsid w:val="00F90EE5"/>
    <w:rsid w:val="00FA3D46"/>
    <w:rsid w:val="00FB2532"/>
    <w:rsid w:val="00FD713A"/>
    <w:rsid w:val="00FF2467"/>
    <w:rsid w:val="05311425"/>
    <w:rsid w:val="09985E4C"/>
    <w:rsid w:val="22ED1EA7"/>
    <w:rsid w:val="33287408"/>
    <w:rsid w:val="35EE34B7"/>
    <w:rsid w:val="42795157"/>
    <w:rsid w:val="54412CF6"/>
    <w:rsid w:val="54645E1D"/>
    <w:rsid w:val="63D06DCB"/>
    <w:rsid w:val="6D535020"/>
    <w:rsid w:val="6DDE3A88"/>
    <w:rsid w:val="6FD6445D"/>
    <w:rsid w:val="73D8445D"/>
    <w:rsid w:val="740D44B4"/>
    <w:rsid w:val="77633E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534058"/>
  <w15:docId w15:val="{84231AAA-B0E5-4540-BA06-F28BCE173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header" w:unhideWhenUsed="1" w:qFormat="1"/>
    <w:lsdException w:name="footer" w:unhideWhenUsed="1"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rFonts w:asciiTheme="minorHAnsi" w:eastAsiaTheme="minorEastAsia" w:hAnsiTheme="minorHAnsi" w:cstheme="minorBidi"/>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nhideWhenUsed/>
    <w:qFormat/>
    <w:rPr>
      <w:rFonts w:asciiTheme="majorHAnsi" w:eastAsia="SimHei" w:hAnsiTheme="majorHAnsi" w:cstheme="majorBidi"/>
      <w:sz w:val="20"/>
      <w:szCs w:val="20"/>
    </w:rPr>
  </w:style>
  <w:style w:type="paragraph" w:styleId="CommentText">
    <w:name w:val="annotation text"/>
    <w:basedOn w:val="Normal"/>
    <w:link w:val="CommentTextChar"/>
    <w:qFormat/>
    <w:pPr>
      <w:jc w:val="left"/>
    </w:pPr>
    <w:rPr>
      <w:rFonts w:ascii="Calibri" w:eastAsia="SimSun" w:hAnsi="Calibri" w:cs="Times New Roman"/>
    </w:rPr>
  </w:style>
  <w:style w:type="paragraph" w:styleId="BalloonText">
    <w:name w:val="Balloon Text"/>
    <w:basedOn w:val="Normal"/>
    <w:link w:val="BalloonTextChar"/>
    <w:qFormat/>
    <w:rPr>
      <w:sz w:val="18"/>
      <w:szCs w:val="18"/>
    </w:rPr>
  </w:style>
  <w:style w:type="paragraph" w:styleId="Footer">
    <w:name w:val="footer"/>
    <w:basedOn w:val="Normal"/>
    <w:link w:val="FooterChar"/>
    <w:unhideWhenUsed/>
    <w:qFormat/>
    <w:pPr>
      <w:tabs>
        <w:tab w:val="center" w:pos="4153"/>
        <w:tab w:val="right" w:pos="8306"/>
      </w:tabs>
      <w:snapToGrid w:val="0"/>
      <w:jc w:val="left"/>
    </w:pPr>
    <w:rPr>
      <w:sz w:val="18"/>
      <w:szCs w:val="18"/>
    </w:rPr>
  </w:style>
  <w:style w:type="paragraph" w:styleId="Header">
    <w:name w:val="header"/>
    <w:basedOn w:val="Normal"/>
    <w:link w:val="HeaderChar"/>
    <w:unhideWhenUsed/>
    <w:qFormat/>
    <w:pPr>
      <w:pBdr>
        <w:bottom w:val="single" w:sz="6" w:space="1" w:color="auto"/>
      </w:pBdr>
      <w:tabs>
        <w:tab w:val="center" w:pos="4153"/>
        <w:tab w:val="right" w:pos="8306"/>
      </w:tabs>
      <w:snapToGrid w:val="0"/>
      <w:jc w:val="center"/>
    </w:pPr>
    <w:rPr>
      <w:sz w:val="18"/>
      <w:szCs w:val="18"/>
    </w:rPr>
  </w:style>
  <w:style w:type="paragraph" w:styleId="NormalWeb">
    <w:name w:val="Normal (Web)"/>
    <w:basedOn w:val="Normal"/>
    <w:uiPriority w:val="99"/>
    <w:unhideWhenUsed/>
    <w:qFormat/>
    <w:pPr>
      <w:widowControl/>
      <w:spacing w:before="100" w:beforeAutospacing="1" w:after="100" w:afterAutospacing="1"/>
      <w:jc w:val="left"/>
    </w:pPr>
    <w:rPr>
      <w:rFonts w:ascii="SimSun" w:eastAsia="SimSun" w:hAnsi="SimSun" w:cs="SimSun"/>
      <w:kern w:val="0"/>
      <w:sz w:val="24"/>
    </w:rPr>
  </w:style>
  <w:style w:type="paragraph" w:styleId="CommentSubject">
    <w:name w:val="annotation subject"/>
    <w:basedOn w:val="CommentText"/>
    <w:next w:val="CommentText"/>
    <w:link w:val="CommentSubjectChar"/>
    <w:semiHidden/>
    <w:unhideWhenUsed/>
    <w:qFormat/>
    <w:rPr>
      <w:rFonts w:asciiTheme="minorHAnsi" w:eastAsiaTheme="minorEastAsia" w:hAnsiTheme="minorHAnsi" w:cstheme="minorBidi"/>
      <w:b/>
      <w:bCs/>
    </w:rPr>
  </w:style>
  <w:style w:type="table" w:styleId="TableGrid">
    <w:name w:val="Table Grid"/>
    <w:basedOn w:val="TableNormal"/>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qFormat/>
    <w:rPr>
      <w:sz w:val="21"/>
      <w:szCs w:val="21"/>
    </w:rPr>
  </w:style>
  <w:style w:type="character" w:customStyle="1" w:styleId="font21">
    <w:name w:val="font21"/>
    <w:basedOn w:val="DefaultParagraphFont"/>
    <w:qFormat/>
    <w:rPr>
      <w:rFonts w:ascii="Times New Roman" w:hAnsi="Times New Roman" w:cs="Times New Roman" w:hint="default"/>
      <w:color w:val="000000"/>
      <w:sz w:val="22"/>
      <w:szCs w:val="22"/>
      <w:u w:val="none"/>
    </w:rPr>
  </w:style>
  <w:style w:type="character" w:customStyle="1" w:styleId="font31">
    <w:name w:val="font31"/>
    <w:basedOn w:val="DefaultParagraphFont"/>
    <w:qFormat/>
    <w:rPr>
      <w:rFonts w:ascii="SimSun" w:eastAsia="SimSun" w:hAnsi="SimSun" w:cs="SimSun" w:hint="eastAsia"/>
      <w:color w:val="000000"/>
      <w:sz w:val="22"/>
      <w:szCs w:val="22"/>
      <w:u w:val="none"/>
    </w:rPr>
  </w:style>
  <w:style w:type="character" w:customStyle="1" w:styleId="BalloonTextChar">
    <w:name w:val="Balloon Text Char"/>
    <w:basedOn w:val="DefaultParagraphFont"/>
    <w:link w:val="BalloonText"/>
    <w:qFormat/>
    <w:rPr>
      <w:kern w:val="2"/>
      <w:sz w:val="18"/>
      <w:szCs w:val="18"/>
    </w:rPr>
  </w:style>
  <w:style w:type="character" w:customStyle="1" w:styleId="HeaderChar">
    <w:name w:val="Header Char"/>
    <w:basedOn w:val="DefaultParagraphFont"/>
    <w:link w:val="Header"/>
    <w:qFormat/>
    <w:rPr>
      <w:kern w:val="2"/>
      <w:sz w:val="18"/>
      <w:szCs w:val="18"/>
    </w:rPr>
  </w:style>
  <w:style w:type="character" w:customStyle="1" w:styleId="FooterChar">
    <w:name w:val="Footer Char"/>
    <w:basedOn w:val="DefaultParagraphFont"/>
    <w:link w:val="Footer"/>
    <w:qFormat/>
    <w:rPr>
      <w:kern w:val="2"/>
      <w:sz w:val="18"/>
      <w:szCs w:val="18"/>
    </w:rPr>
  </w:style>
  <w:style w:type="paragraph" w:customStyle="1" w:styleId="1">
    <w:name w:val="正文1"/>
    <w:qFormat/>
    <w:pPr>
      <w:jc w:val="both"/>
    </w:pPr>
    <w:rPr>
      <w:kern w:val="2"/>
      <w:sz w:val="21"/>
      <w:szCs w:val="21"/>
    </w:rPr>
  </w:style>
  <w:style w:type="table" w:customStyle="1" w:styleId="21">
    <w:name w:val="无格式表格 21"/>
    <w:basedOn w:val="TableNormal"/>
    <w:qFormat/>
    <w:rPr>
      <w:rFonts w:eastAsia="Times New Roman"/>
    </w:rPr>
    <w:tblPr>
      <w:tblBorders>
        <w:top w:val="single" w:sz="4" w:space="0" w:color="7E7E7E"/>
        <w:bottom w:val="single" w:sz="4" w:space="0" w:color="7E7E7E"/>
      </w:tblBorders>
    </w:tblPr>
    <w:tblStylePr w:type="firstRow">
      <w:rPr>
        <w:rFonts w:ascii="Times New Roman" w:hAnsi="Times New Roman" w:cs="Times New Roman" w:hint="default"/>
        <w:b/>
        <w:bCs/>
      </w:rPr>
      <w:tblPr/>
      <w:tcPr>
        <w:tcBorders>
          <w:bottom w:val="single" w:sz="4" w:space="0" w:color="7E7E7E"/>
        </w:tcBorders>
      </w:tcPr>
    </w:tblStylePr>
    <w:tblStylePr w:type="lastRow">
      <w:rPr>
        <w:rFonts w:ascii="Times New Roman" w:hAnsi="Times New Roman" w:cs="Times New Roman" w:hint="default"/>
        <w:b/>
        <w:bCs/>
      </w:rPr>
      <w:tblPr/>
      <w:tcPr>
        <w:tcBorders>
          <w:top w:val="single" w:sz="4" w:space="0" w:color="7E7E7E"/>
        </w:tcBorders>
      </w:tcPr>
    </w:tblStylePr>
    <w:tblStylePr w:type="firstCol">
      <w:rPr>
        <w:rFonts w:ascii="Times New Roman" w:hAnsi="Times New Roman" w:cs="Times New Roman" w:hint="default"/>
        <w:b/>
        <w:bCs/>
      </w:rPr>
    </w:tblStylePr>
    <w:tblStylePr w:type="lastCol">
      <w:rPr>
        <w:rFonts w:ascii="Times New Roman" w:hAnsi="Times New Roman" w:cs="Times New Roman" w:hint="default"/>
        <w:b/>
        <w:bCs/>
      </w:rPr>
    </w:tblStylePr>
    <w:tblStylePr w:type="band1Vert">
      <w:tblPr/>
      <w:tcPr>
        <w:tcBorders>
          <w:left w:val="single" w:sz="4" w:space="0" w:color="7E7E7E"/>
          <w:right w:val="single" w:sz="4" w:space="0" w:color="7E7E7E"/>
        </w:tcBorders>
      </w:tcPr>
    </w:tblStylePr>
    <w:tblStylePr w:type="band2Vert">
      <w:tblPr/>
      <w:tcPr>
        <w:tcBorders>
          <w:left w:val="single" w:sz="4" w:space="0" w:color="7E7E7E"/>
          <w:right w:val="single" w:sz="4" w:space="0" w:color="7E7E7E"/>
        </w:tcBorders>
      </w:tcPr>
    </w:tblStylePr>
    <w:tblStylePr w:type="band1Horz">
      <w:tblPr/>
      <w:tcPr>
        <w:tcBorders>
          <w:top w:val="single" w:sz="4" w:space="0" w:color="7E7E7E"/>
          <w:bottom w:val="single" w:sz="4" w:space="0" w:color="7E7E7E"/>
        </w:tcBorders>
      </w:tcPr>
    </w:tblStylePr>
  </w:style>
  <w:style w:type="character" w:customStyle="1" w:styleId="CommentTextChar">
    <w:name w:val="Comment Text Char"/>
    <w:basedOn w:val="DefaultParagraphFont"/>
    <w:link w:val="CommentText"/>
    <w:qFormat/>
    <w:rPr>
      <w:rFonts w:ascii="Calibri" w:eastAsia="SimSun" w:hAnsi="Calibri" w:cs="Times New Roman"/>
      <w:kern w:val="2"/>
      <w:sz w:val="21"/>
      <w:szCs w:val="24"/>
    </w:rPr>
  </w:style>
  <w:style w:type="character" w:customStyle="1" w:styleId="CommentSubjectChar">
    <w:name w:val="Comment Subject Char"/>
    <w:basedOn w:val="CommentTextChar"/>
    <w:link w:val="CommentSubject"/>
    <w:semiHidden/>
    <w:qFormat/>
    <w:rPr>
      <w:rFonts w:asciiTheme="minorHAnsi" w:eastAsiaTheme="minorEastAsia" w:hAnsiTheme="minorHAnsi" w:cstheme="minorBidi"/>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t181\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4045C2E-4563-41E9-BC5B-3AABF618A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Template>
  <TotalTime>0</TotalTime>
  <Pages>6</Pages>
  <Words>1129</Words>
  <Characters>6441</Characters>
  <Application>Microsoft Office Word</Application>
  <DocSecurity>0</DocSecurity>
  <Lines>53</Lines>
  <Paragraphs>15</Paragraphs>
  <ScaleCrop>false</ScaleCrop>
  <Company>CHINA</Company>
  <LinksUpToDate>false</LinksUpToDate>
  <CharactersWithSpaces>7555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那年花开</dc:creator>
  <cp:lastModifiedBy>Samson Oyebanjo</cp:lastModifiedBy>
  <cp:revision>5</cp:revision>
  <dcterms:created xsi:type="dcterms:W3CDTF">2021-08-30T00:41:00Z</dcterms:created>
  <dcterms:modified xsi:type="dcterms:W3CDTF">2021-10-25T15:47:00Z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1AF28253125B42A59261A44412F27028</vt:lpwstr>
  </property>
</Properties>
</file>