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5D27CD30" w:rsidR="00994A3D" w:rsidRPr="00994A3D" w:rsidRDefault="00654E8F" w:rsidP="0001436A">
      <w:pPr>
        <w:pStyle w:val="1"/>
      </w:pPr>
      <w:r w:rsidRPr="00994A3D">
        <w:t>Supple</w:t>
      </w:r>
      <w:r w:rsidR="002C3FB2">
        <w:t xml:space="preserve">mentary </w:t>
      </w:r>
      <w:r w:rsidRPr="00994A3D">
        <w:t>Tables</w:t>
      </w:r>
    </w:p>
    <w:p w14:paraId="6EF0439A" w14:textId="056A68E9" w:rsidR="002C3FB2" w:rsidRPr="009379EB" w:rsidRDefault="002C3FB2" w:rsidP="002C3FB2">
      <w:pPr>
        <w:snapToGrid w:val="0"/>
        <w:rPr>
          <w:rFonts w:eastAsia="Times New Roman" w:cs="Times New Roman"/>
          <w:bCs/>
          <w:color w:val="000000"/>
        </w:rPr>
      </w:pPr>
      <w:r w:rsidRPr="009379EB">
        <w:rPr>
          <w:rFonts w:eastAsia="Times New Roman" w:cs="Times New Roman"/>
          <w:b/>
          <w:color w:val="000000"/>
        </w:rPr>
        <w:t xml:space="preserve">Table </w:t>
      </w:r>
      <w:r>
        <w:rPr>
          <w:rFonts w:eastAsia="Times New Roman" w:cs="Times New Roman"/>
          <w:b/>
          <w:color w:val="000000"/>
        </w:rPr>
        <w:t>S1</w:t>
      </w:r>
      <w:r w:rsidRPr="009379EB">
        <w:rPr>
          <w:rFonts w:eastAsia="Times New Roman" w:cs="Times New Roman"/>
          <w:b/>
          <w:color w:val="000000"/>
        </w:rPr>
        <w:t xml:space="preserve">. </w:t>
      </w:r>
      <w:r w:rsidRPr="009379EB">
        <w:rPr>
          <w:rFonts w:eastAsia="Times New Roman" w:cs="Times New Roman"/>
          <w:bCs/>
          <w:color w:val="000000"/>
        </w:rPr>
        <w:t xml:space="preserve">Univariable and multivariable Cox proportional hazard ratio of </w:t>
      </w:r>
      <w:r>
        <w:rPr>
          <w:rFonts w:eastAsia="Times New Roman" w:cs="Times New Roman"/>
          <w:bCs/>
          <w:color w:val="000000"/>
        </w:rPr>
        <w:t>the drug-based prognostic score</w:t>
      </w:r>
      <w:r w:rsidRPr="009379EB">
        <w:rPr>
          <w:rFonts w:eastAsia="Times New Roman" w:cs="Times New Roman"/>
          <w:bCs/>
          <w:color w:val="000000"/>
        </w:rPr>
        <w:t xml:space="preserve"> </w:t>
      </w:r>
      <w:r w:rsidR="00B62084">
        <w:rPr>
          <w:rFonts w:eastAsia="Times New Roman" w:cs="Times New Roman"/>
          <w:bCs/>
          <w:color w:val="000000"/>
        </w:rPr>
        <w:t>for</w:t>
      </w:r>
      <w:r w:rsidRPr="009379EB">
        <w:rPr>
          <w:rFonts w:eastAsia="Times New Roman" w:cs="Times New Roman"/>
          <w:bCs/>
          <w:color w:val="000000"/>
        </w:rPr>
        <w:t xml:space="preserve"> overall survival.</w:t>
      </w:r>
    </w:p>
    <w:tbl>
      <w:tblPr>
        <w:tblW w:w="134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567"/>
        <w:gridCol w:w="851"/>
        <w:gridCol w:w="1134"/>
        <w:gridCol w:w="1842"/>
        <w:gridCol w:w="1134"/>
        <w:gridCol w:w="284"/>
        <w:gridCol w:w="1843"/>
        <w:gridCol w:w="1134"/>
      </w:tblGrid>
      <w:tr w:rsidR="002C3FB2" w:rsidRPr="009379EB" w14:paraId="62975E8B" w14:textId="77777777" w:rsidTr="002C3FB2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5E5592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0587CC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7377B13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7932D6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A018A8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EA180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Univariable analysis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E67560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1E7D3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Multivariable analysis </w:t>
            </w:r>
          </w:p>
        </w:tc>
      </w:tr>
      <w:tr w:rsidR="002C3FB2" w:rsidRPr="009379EB" w14:paraId="09BEC11D" w14:textId="77777777" w:rsidTr="002C3FB2">
        <w:trPr>
          <w:trHeight w:val="45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12F2FB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Variable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006405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09EFAE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CB436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Censored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DA58D4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8E955C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9379EB">
              <w:rPr>
                <w:rFonts w:eastAsia="Times New Roman" w:cs="Times New Roman"/>
                <w:i/>
                <w:color w:val="000000"/>
              </w:rPr>
              <w:t>P</w:t>
            </w:r>
            <w:r w:rsidRPr="009379EB">
              <w:rPr>
                <w:rFonts w:eastAsia="Times New Roman" w:cs="Times New Roman"/>
                <w:color w:val="000000"/>
              </w:rPr>
              <w:t>-Value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04A3D1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9379EB">
              <w:rPr>
                <w:rFonts w:eastAsia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D6803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C01D2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9379EB">
              <w:rPr>
                <w:rFonts w:eastAsia="Times New Roman" w:cs="Times New Roman"/>
                <w:i/>
                <w:color w:val="000000"/>
              </w:rPr>
              <w:t>P</w:t>
            </w:r>
            <w:r w:rsidRPr="009379EB">
              <w:rPr>
                <w:rFonts w:eastAsia="Times New Roman" w:cs="Times New Roman"/>
                <w:color w:val="000000"/>
              </w:rPr>
              <w:t>-Value</w:t>
            </w:r>
          </w:p>
        </w:tc>
      </w:tr>
      <w:tr w:rsidR="002C3FB2" w:rsidRPr="009379EB" w14:paraId="7D45F502" w14:textId="77777777" w:rsidTr="002C3FB2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03379E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Group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9B08A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Poor-prognosis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69FFB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45826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655F1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BB181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1.55 (0.95–2.42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5691F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0.064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E9A22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BFC51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1.37 (0.80–2.26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B93E8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0.239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C3FB2" w:rsidRPr="009379EB" w14:paraId="145A94E5" w14:textId="77777777" w:rsidTr="002C3FB2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543BC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486CC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Intermediate-prognosis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4118E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25F70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3FFEA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D7EA3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1.13 (0.81–1.58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009C3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0.461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32973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9EFAE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1.18 (0.82–1.71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CA3F3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0.376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C3FB2" w:rsidRPr="009379EB" w14:paraId="744073D3" w14:textId="77777777" w:rsidTr="002C3FB2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ED314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C4A7D1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Good-prognosis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6D903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  <w:r w:rsidRPr="009379EB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02AFF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9E497C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5F382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BBDC9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C8FBB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2A5E4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2F512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</w:tr>
      <w:tr w:rsidR="002C3FB2" w:rsidRPr="009379EB" w14:paraId="7ADFB179" w14:textId="77777777" w:rsidTr="002C3FB2">
        <w:trPr>
          <w:trHeight w:val="45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86002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Age (10-year intervals)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81E65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2D139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14AF5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544EA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0.91 (0.7</w:t>
            </w:r>
            <w:r>
              <w:rPr>
                <w:rFonts w:eastAsia="Times New Roman" w:cs="Times New Roman"/>
                <w:color w:val="000000"/>
              </w:rPr>
              <w:t>9–1.06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1896B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0.22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1A17D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D2D85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0.97 (0.83–1.13)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843DA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0.657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C3FB2" w:rsidRPr="009379EB" w14:paraId="2A2C87DF" w14:textId="77777777" w:rsidTr="002C3FB2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86066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ECOG PS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71A1F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1F4DA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AFDA6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1BAD3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8EB3E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2.75 (1.68</w:t>
            </w:r>
            <w:r w:rsidRPr="009379EB">
              <w:rPr>
                <w:rFonts w:eastAsia="Times New Roman" w:cs="Times New Roman"/>
                <w:color w:val="000000"/>
              </w:rPr>
              <w:t>–4.29)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5AB61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C5378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B1B61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2.37</w:t>
            </w:r>
            <w:r w:rsidRPr="009379EB">
              <w:rPr>
                <w:rFonts w:eastAsia="Times New Roman" w:cs="Times New Roman"/>
                <w:color w:val="000000"/>
              </w:rPr>
              <w:t xml:space="preserve"> (1.4</w:t>
            </w:r>
            <w:r>
              <w:rPr>
                <w:rFonts w:eastAsia="Times New Roman" w:cs="Times New Roman"/>
                <w:color w:val="000000"/>
              </w:rPr>
              <w:t>1–3.78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62A95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&lt;0.001 </w:t>
            </w:r>
          </w:p>
        </w:tc>
      </w:tr>
      <w:tr w:rsidR="002C3FB2" w:rsidRPr="009379EB" w14:paraId="4825414F" w14:textId="77777777" w:rsidTr="002C3FB2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54584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881B8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–</w:t>
            </w: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51C20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4DEE0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B71CC1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6E8D0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E3F17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732CB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45CA0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25FE1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</w:tr>
      <w:tr w:rsidR="002C3FB2" w:rsidRPr="009379EB" w14:paraId="1BC5B46D" w14:textId="77777777" w:rsidTr="002C3FB2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7563B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Treatment line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3E9CE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Later-line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D4B8B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7E6D2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EB92A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266EA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1.66 (1.10–2.60)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2CCA4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0.020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17ACE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1243A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1.56 (1.03–2.45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7946C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0.046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C3FB2" w:rsidRPr="009379EB" w14:paraId="280DD0F9" w14:textId="77777777" w:rsidTr="002C3FB2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A76E20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3881C3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First-line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70244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7E97CF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92C761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F78C4A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CDA144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B07D64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732A7" w14:textId="77777777" w:rsidR="002C3FB2" w:rsidRPr="009379EB" w:rsidRDefault="002C3FB2" w:rsidP="00F66734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EF1BE5" w14:textId="77777777" w:rsidR="002C3FB2" w:rsidRPr="009379EB" w:rsidRDefault="002C3FB2" w:rsidP="00F66734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</w:tr>
    </w:tbl>
    <w:p w14:paraId="35169D73" w14:textId="77777777" w:rsidR="002C3FB2" w:rsidRPr="009379EB" w:rsidRDefault="002C3FB2" w:rsidP="002C3FB2">
      <w:pPr>
        <w:snapToGrid w:val="0"/>
        <w:rPr>
          <w:rFonts w:cs="Times New Roman"/>
          <w:b/>
          <w:bCs/>
          <w:szCs w:val="24"/>
        </w:rPr>
      </w:pPr>
      <w:r w:rsidRPr="009379EB">
        <w:rPr>
          <w:rFonts w:eastAsia="Times New Roman" w:cs="Times New Roman"/>
          <w:color w:val="000000"/>
        </w:rPr>
        <w:t xml:space="preserve">Abbreviations: ECOG PS, Eastern Cooperative Oncology Group performance status; HR, hazard ratio; CI, confidence interval. </w:t>
      </w:r>
    </w:p>
    <w:p w14:paraId="1A860141" w14:textId="77777777" w:rsidR="002F0093" w:rsidRDefault="002F0093" w:rsidP="002C3FB2">
      <w:pPr>
        <w:snapToGrid w:val="0"/>
        <w:rPr>
          <w:rFonts w:eastAsia="Times New Roman" w:cs="Times New Roman"/>
          <w:b/>
          <w:color w:val="000000"/>
        </w:rPr>
        <w:sectPr w:rsidR="002F0093" w:rsidSect="002C3FB2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2964EC9E" w14:textId="7181C58A" w:rsidR="002C3FB2" w:rsidRPr="009379EB" w:rsidRDefault="002C3FB2" w:rsidP="002C3FB2">
      <w:pPr>
        <w:snapToGrid w:val="0"/>
        <w:rPr>
          <w:rFonts w:eastAsia="Times New Roman" w:cs="Times New Roman"/>
          <w:bCs/>
          <w:color w:val="000000"/>
        </w:rPr>
      </w:pPr>
      <w:r w:rsidRPr="009379EB">
        <w:rPr>
          <w:rFonts w:eastAsia="Times New Roman" w:cs="Times New Roman"/>
          <w:b/>
          <w:color w:val="000000"/>
        </w:rPr>
        <w:lastRenderedPageBreak/>
        <w:t xml:space="preserve">Table </w:t>
      </w:r>
      <w:r>
        <w:rPr>
          <w:rFonts w:eastAsia="Times New Roman" w:cs="Times New Roman"/>
          <w:b/>
          <w:color w:val="000000"/>
        </w:rPr>
        <w:t>S2</w:t>
      </w:r>
      <w:r w:rsidRPr="009379EB">
        <w:rPr>
          <w:rFonts w:eastAsia="Times New Roman" w:cs="Times New Roman"/>
          <w:b/>
          <w:color w:val="000000"/>
        </w:rPr>
        <w:t xml:space="preserve">. </w:t>
      </w:r>
      <w:r w:rsidRPr="009379EB">
        <w:rPr>
          <w:rFonts w:eastAsia="Times New Roman" w:cs="Times New Roman"/>
          <w:bCs/>
          <w:color w:val="000000"/>
        </w:rPr>
        <w:t xml:space="preserve">Univariable and multivariable Cox proportional hazard ratio of the </w:t>
      </w:r>
      <w:r w:rsidRPr="00AB5B57">
        <w:rPr>
          <w:rFonts w:eastAsia="Times New Roman" w:cs="Times New Roman"/>
          <w:bCs/>
          <w:color w:val="000000"/>
        </w:rPr>
        <w:t>neutrophil-to-lymphocyte ratio</w:t>
      </w:r>
      <w:r w:rsidRPr="009379EB">
        <w:rPr>
          <w:rFonts w:eastAsia="Times New Roman" w:cs="Times New Roman"/>
          <w:bCs/>
          <w:color w:val="000000"/>
        </w:rPr>
        <w:t xml:space="preserve"> </w:t>
      </w:r>
      <w:r w:rsidR="00B62084">
        <w:rPr>
          <w:rFonts w:eastAsia="Times New Roman" w:cs="Times New Roman"/>
          <w:bCs/>
          <w:color w:val="000000"/>
        </w:rPr>
        <w:t>for</w:t>
      </w:r>
      <w:bookmarkStart w:id="0" w:name="_GoBack"/>
      <w:bookmarkEnd w:id="0"/>
      <w:r w:rsidRPr="009379EB">
        <w:rPr>
          <w:rFonts w:eastAsia="Times New Roman" w:cs="Times New Roman"/>
          <w:bCs/>
          <w:color w:val="000000"/>
        </w:rPr>
        <w:t xml:space="preserve"> overall survival.</w:t>
      </w:r>
    </w:p>
    <w:tbl>
      <w:tblPr>
        <w:tblW w:w="134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567"/>
        <w:gridCol w:w="851"/>
        <w:gridCol w:w="1134"/>
        <w:gridCol w:w="1842"/>
        <w:gridCol w:w="1134"/>
        <w:gridCol w:w="284"/>
        <w:gridCol w:w="1843"/>
        <w:gridCol w:w="1134"/>
      </w:tblGrid>
      <w:tr w:rsidR="002C3FB2" w:rsidRPr="009379EB" w14:paraId="51A9C5E9" w14:textId="77777777" w:rsidTr="00F66734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D63813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320019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3ABF10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C08595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D16485" w14:textId="77777777" w:rsidR="002C3FB2" w:rsidRPr="009379EB" w:rsidRDefault="002C3FB2" w:rsidP="00F66734">
            <w:pPr>
              <w:snapToGrid w:val="0"/>
              <w:rPr>
                <w:rFonts w:ascii="游ゴシック" w:eastAsia="游ゴシック" w:hAnsi="游ゴシック" w:cs="游ゴシック"/>
                <w:color w:val="000000"/>
                <w:sz w:val="22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A0F6B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Univariable analysis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FE5230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A3DEDE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Multivariable analysis </w:t>
            </w:r>
          </w:p>
        </w:tc>
      </w:tr>
      <w:tr w:rsidR="002C3FB2" w:rsidRPr="009379EB" w14:paraId="6ECF2438" w14:textId="77777777" w:rsidTr="00F66734">
        <w:trPr>
          <w:trHeight w:val="45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1A5E9F" w14:textId="77777777" w:rsidR="002C3FB2" w:rsidRPr="009379EB" w:rsidRDefault="002C3FB2" w:rsidP="00F66734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Variable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CF7F2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B0ADE6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0BFFC3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Censored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5F9FF3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880B63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9379EB">
              <w:rPr>
                <w:rFonts w:eastAsia="Times New Roman" w:cs="Times New Roman"/>
                <w:i/>
                <w:color w:val="000000"/>
              </w:rPr>
              <w:t>P</w:t>
            </w:r>
            <w:r w:rsidRPr="009379EB">
              <w:rPr>
                <w:rFonts w:eastAsia="Times New Roman" w:cs="Times New Roman"/>
                <w:color w:val="000000"/>
              </w:rPr>
              <w:t>-Value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29B433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9379EB">
              <w:rPr>
                <w:rFonts w:eastAsia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F2DD32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1CAABF" w14:textId="77777777" w:rsidR="002C3FB2" w:rsidRPr="009379EB" w:rsidRDefault="002C3FB2" w:rsidP="00F66734">
            <w:pPr>
              <w:snapToGrid w:val="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9379EB">
              <w:rPr>
                <w:rFonts w:eastAsia="Times New Roman" w:cs="Times New Roman"/>
                <w:i/>
                <w:color w:val="000000"/>
              </w:rPr>
              <w:t>P</w:t>
            </w:r>
            <w:r w:rsidRPr="009379EB">
              <w:rPr>
                <w:rFonts w:eastAsia="Times New Roman" w:cs="Times New Roman"/>
                <w:color w:val="000000"/>
              </w:rPr>
              <w:t>-Value</w:t>
            </w:r>
          </w:p>
        </w:tc>
      </w:tr>
      <w:tr w:rsidR="002C3FB2" w:rsidRPr="009379EB" w14:paraId="593C2CBE" w14:textId="77777777" w:rsidTr="00F6673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AD7973" w14:textId="695B326E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NLR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8E30D" w14:textId="2AECE206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AB5B57">
              <w:rPr>
                <w:rFonts w:eastAsia="ＭＳ Ｐゴシック" w:cs="Times New Roman"/>
                <w:color w:val="000000"/>
              </w:rPr>
              <w:t>≥</w:t>
            </w:r>
            <w:r w:rsidRPr="00AB5B57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B655A" w14:textId="2CF3D40B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lang w:eastAsia="ja-JP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C22A8" w14:textId="0FBF4BBF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lang w:eastAsia="ja-JP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A75B3" w14:textId="2A21039C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238BB" w14:textId="07A624AA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1.42 (1.01–2.04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173C91" w14:textId="26978444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0.049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B7053" w14:textId="01FCBC78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0FE7E" w14:textId="6AAD52C4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1.38 (0.97–1.99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CF31" w14:textId="281239C7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0.076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C3FB2" w:rsidRPr="009379EB" w14:paraId="3ADD2674" w14:textId="77777777" w:rsidTr="00F6673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5D192" w14:textId="3B0C05BF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59D50" w14:textId="18BEBEED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&lt;3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0E6A5" w14:textId="26BD17DC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lang w:eastAsia="ja-JP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D26F3" w14:textId="726A077D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C1E68" w14:textId="7D488FDA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7455D" w14:textId="5F33C852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CC280" w14:textId="61724987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E6770" w14:textId="3C8879B5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8323B4" w14:textId="785D0067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D9F83" w14:textId="56B8BB5A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</w:tr>
      <w:tr w:rsidR="002C3FB2" w:rsidRPr="009379EB" w14:paraId="36C7EDDC" w14:textId="77777777" w:rsidTr="00F66734">
        <w:trPr>
          <w:trHeight w:val="45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8FD04" w14:textId="5DA12722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Age (10-year intervals)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F6A3B" w14:textId="34A626A2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B22DD" w14:textId="52704A4B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5526D" w14:textId="5FFA90A6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7E6C8" w14:textId="5DA9AE5B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0.91 (0.79–1.06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D4F8F" w14:textId="06B772C5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0.22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21709" w14:textId="01330CFE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A984D" w14:textId="18241574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0.9</w:t>
            </w:r>
            <w:r>
              <w:rPr>
                <w:rFonts w:eastAsia="Times New Roman" w:cs="Times New Roman"/>
                <w:color w:val="000000"/>
              </w:rPr>
              <w:t>6 (0.83–1.13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18854" w14:textId="33459C1F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0.646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C3FB2" w:rsidRPr="009379EB" w14:paraId="265F087B" w14:textId="77777777" w:rsidTr="00F6673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CE7C4" w14:textId="121F415F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ECOG PS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411B0" w14:textId="41E82178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74B5B" w14:textId="455D3737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2A14C" w14:textId="63AC03B1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2C623" w14:textId="4FC29C48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780B59" w14:textId="26D9B0F7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2.75 (1.68</w:t>
            </w:r>
            <w:r w:rsidRPr="009379EB">
              <w:rPr>
                <w:rFonts w:eastAsia="Times New Roman" w:cs="Times New Roman"/>
                <w:color w:val="000000"/>
              </w:rPr>
              <w:t>–4.29)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583EFB" w14:textId="6773D38B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&lt;0.001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5015F" w14:textId="204ED100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2595A" w14:textId="53B2FDFC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2.43</w:t>
            </w:r>
            <w:r w:rsidRPr="009379EB">
              <w:rPr>
                <w:rFonts w:eastAsia="Times New Roman" w:cs="Times New Roman"/>
                <w:color w:val="000000"/>
              </w:rPr>
              <w:t xml:space="preserve"> (1.4</w:t>
            </w:r>
            <w:r>
              <w:rPr>
                <w:rFonts w:eastAsia="Times New Roman" w:cs="Times New Roman"/>
                <w:color w:val="000000"/>
              </w:rPr>
              <w:t>6–3.86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AA23E" w14:textId="1FF30C12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&lt;</w:t>
            </w:r>
            <w:r w:rsidRPr="009379EB">
              <w:rPr>
                <w:rFonts w:eastAsia="Times New Roman" w:cs="Times New Roman"/>
                <w:color w:val="000000"/>
              </w:rPr>
              <w:t xml:space="preserve">0.001 </w:t>
            </w:r>
          </w:p>
        </w:tc>
      </w:tr>
      <w:tr w:rsidR="002C3FB2" w:rsidRPr="009379EB" w14:paraId="683F2367" w14:textId="77777777" w:rsidTr="00F6673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51600" w14:textId="32B3628A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9C422" w14:textId="4BB069BC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–</w:t>
            </w: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626CB" w14:textId="10B9BCD7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AF670" w14:textId="2BE2D633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D0579" w14:textId="0EA16A24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7C42E" w14:textId="5EDE4446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DEEA7" w14:textId="3B471B53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9639F" w14:textId="611E6F69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F946B" w14:textId="414226E7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D958C" w14:textId="73523DAE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</w:tr>
      <w:tr w:rsidR="002C3FB2" w:rsidRPr="009379EB" w14:paraId="65130BC2" w14:textId="77777777" w:rsidTr="00F6673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E16E2" w14:textId="0B2E7B16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Treatment line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0CE98" w14:textId="2C5B2BAC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Later-line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265AD" w14:textId="6B0A06C3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36A20" w14:textId="26DA9D55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B2405" w14:textId="46AE50E6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197DA" w14:textId="6355D94F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1.66 (1.10–2.60)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B5D57" w14:textId="63E15049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0.020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88F9A" w14:textId="71EEA7D8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9B4E1" w14:textId="758C99DE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1.62</w:t>
            </w:r>
            <w:r w:rsidRPr="009379EB">
              <w:rPr>
                <w:rFonts w:eastAsia="Times New Roman" w:cs="Times New Roman"/>
                <w:color w:val="000000"/>
              </w:rPr>
              <w:t xml:space="preserve"> (1.0</w:t>
            </w:r>
            <w:r>
              <w:rPr>
                <w:rFonts w:eastAsia="Times New Roman" w:cs="Times New Roman"/>
                <w:color w:val="000000"/>
              </w:rPr>
              <w:t>7–2.54</w:t>
            </w:r>
            <w:r w:rsidRPr="009379EB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CDC7A" w14:textId="14DB3B12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0.028</w:t>
            </w:r>
            <w:r w:rsidRPr="009379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C3FB2" w:rsidRPr="009379EB" w14:paraId="6736301F" w14:textId="77777777" w:rsidTr="00F6673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B710B5" w14:textId="7A5F9644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8B390" w14:textId="73927718" w:rsidR="002C3FB2" w:rsidRPr="009379EB" w:rsidRDefault="002C3FB2" w:rsidP="002C3FB2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First-line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DD83E9" w14:textId="0CA818D5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1A715D" w14:textId="0A7E8D43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7BCFF4" w14:textId="30D2E305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E5B54F" w14:textId="58F1E373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69603B" w14:textId="37641086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9D8AAD" w14:textId="24C37D66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DE077C" w14:textId="11F52780" w:rsidR="002C3FB2" w:rsidRPr="009379EB" w:rsidRDefault="002C3FB2" w:rsidP="002C3FB2">
            <w:pPr>
              <w:snapToGrid w:val="0"/>
              <w:jc w:val="right"/>
              <w:rPr>
                <w:rFonts w:eastAsia="Times New Roman" w:cs="Times New Roman"/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D1E475" w14:textId="62E393F0" w:rsidR="002C3FB2" w:rsidRPr="009379EB" w:rsidRDefault="002C3FB2" w:rsidP="002C3FB2">
            <w:pPr>
              <w:snapToGrid w:val="0"/>
              <w:rPr>
                <w:color w:val="000000"/>
              </w:rPr>
            </w:pPr>
            <w:r w:rsidRPr="009379EB">
              <w:rPr>
                <w:rFonts w:eastAsia="Times New Roman" w:cs="Times New Roman"/>
                <w:color w:val="000000"/>
              </w:rPr>
              <w:t xml:space="preserve">　</w:t>
            </w:r>
          </w:p>
        </w:tc>
      </w:tr>
    </w:tbl>
    <w:p w14:paraId="7B65BC41" w14:textId="64A41B83" w:rsidR="00DE23E8" w:rsidRPr="001549D3" w:rsidRDefault="002C3FB2" w:rsidP="002C3FB2">
      <w:pPr>
        <w:snapToGrid w:val="0"/>
      </w:pPr>
      <w:r w:rsidRPr="009379EB">
        <w:rPr>
          <w:rFonts w:eastAsia="Times New Roman" w:cs="Times New Roman"/>
          <w:color w:val="000000"/>
        </w:rPr>
        <w:t xml:space="preserve">Abbreviations: </w:t>
      </w:r>
      <w:r>
        <w:rPr>
          <w:rFonts w:eastAsia="Times New Roman" w:cs="Times New Roman"/>
          <w:color w:val="000000"/>
        </w:rPr>
        <w:t xml:space="preserve">NLR, </w:t>
      </w:r>
      <w:r w:rsidRPr="00AB5B57">
        <w:rPr>
          <w:rFonts w:eastAsia="Times New Roman" w:cs="Times New Roman"/>
          <w:color w:val="000000"/>
        </w:rPr>
        <w:t>neutrophil-to-lymphocyte ratio</w:t>
      </w:r>
      <w:r>
        <w:rPr>
          <w:rFonts w:eastAsia="Times New Roman" w:cs="Times New Roman"/>
          <w:color w:val="000000"/>
        </w:rPr>
        <w:t>;</w:t>
      </w:r>
      <w:r w:rsidRPr="00AB5B57">
        <w:rPr>
          <w:rFonts w:eastAsia="Times New Roman" w:cs="Times New Roman"/>
          <w:color w:val="000000"/>
        </w:rPr>
        <w:t xml:space="preserve"> </w:t>
      </w:r>
      <w:r w:rsidRPr="009379EB">
        <w:rPr>
          <w:rFonts w:eastAsia="Times New Roman" w:cs="Times New Roman"/>
          <w:color w:val="000000"/>
        </w:rPr>
        <w:t xml:space="preserve">ECOG PS, Eastern Cooperative Oncology Group performance status; HR, hazard ratio; CI, confidence interval. </w:t>
      </w:r>
    </w:p>
    <w:sectPr w:rsidR="00DE23E8" w:rsidRPr="001549D3" w:rsidSect="002C3FB2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6344" w14:textId="77777777" w:rsidR="005F6BE5" w:rsidRDefault="005F6BE5" w:rsidP="00117666">
      <w:pPr>
        <w:spacing w:after="0"/>
      </w:pPr>
      <w:r>
        <w:separator/>
      </w:r>
    </w:p>
  </w:endnote>
  <w:endnote w:type="continuationSeparator" w:id="0">
    <w:p w14:paraId="0632234F" w14:textId="77777777" w:rsidR="005F6BE5" w:rsidRDefault="005F6BE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3BDFB0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C3FB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3BDFB0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C3FB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B980" w14:textId="77777777" w:rsidR="005F6BE5" w:rsidRDefault="005F6BE5" w:rsidP="00117666">
      <w:pPr>
        <w:spacing w:after="0"/>
      </w:pPr>
      <w:r>
        <w:separator/>
      </w:r>
    </w:p>
  </w:footnote>
  <w:footnote w:type="continuationSeparator" w:id="0">
    <w:p w14:paraId="0CF4BDB4" w14:textId="77777777" w:rsidR="005F6BE5" w:rsidRDefault="005F6BE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3FB2"/>
    <w:rsid w:val="002C74CA"/>
    <w:rsid w:val="002F0093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0338F"/>
    <w:rsid w:val="00517A89"/>
    <w:rsid w:val="005250F2"/>
    <w:rsid w:val="00593EEA"/>
    <w:rsid w:val="005A5EEE"/>
    <w:rsid w:val="005F6BE5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2084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51D32D-CD69-4230-8DD4-2379C5FC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H. Kawazoe</cp:lastModifiedBy>
  <cp:revision>4</cp:revision>
  <cp:lastPrinted>2013-10-03T12:51:00Z</cp:lastPrinted>
  <dcterms:created xsi:type="dcterms:W3CDTF">2021-10-02T07:17:00Z</dcterms:created>
  <dcterms:modified xsi:type="dcterms:W3CDTF">2021-10-02T08:28:00Z</dcterms:modified>
</cp:coreProperties>
</file>