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33F20897" w:rsidR="00654E8F" w:rsidRDefault="00654E8F" w:rsidP="0001436A">
      <w:pPr>
        <w:pStyle w:val="SupplementaryMaterial"/>
      </w:pPr>
      <w:r w:rsidRPr="001549D3">
        <w:t>Supplementary Material</w:t>
      </w:r>
    </w:p>
    <w:p w14:paraId="67405881" w14:textId="65E9A0CF" w:rsidR="00496206" w:rsidRPr="00496206" w:rsidRDefault="00496206" w:rsidP="00496206">
      <w:pPr>
        <w:pStyle w:val="Title"/>
        <w:rPr>
          <w:b w:val="0"/>
        </w:rPr>
      </w:pPr>
      <w:r>
        <w:rPr>
          <w:b w:val="0"/>
        </w:rPr>
        <w:t xml:space="preserve">Testing the Two-Factor Structure of the </w:t>
      </w:r>
      <w:r w:rsidRPr="007F2126">
        <w:rPr>
          <w:b w:val="0"/>
          <w:i/>
          <w:iCs/>
        </w:rPr>
        <w:t>Simulator Sickness Questionnaire</w:t>
      </w:r>
      <w:r>
        <w:rPr>
          <w:b w:val="0"/>
        </w:rPr>
        <w:t xml:space="preserve"> in Clinical and Non-Clinical Participants</w:t>
      </w:r>
    </w:p>
    <w:p w14:paraId="3BD5A427" w14:textId="77777777" w:rsidR="00EA3D3C" w:rsidRPr="00994A3D" w:rsidRDefault="00654E8F" w:rsidP="0001436A">
      <w:pPr>
        <w:pStyle w:val="Heading1"/>
      </w:pPr>
      <w:r w:rsidRPr="00994A3D">
        <w:t>Supplementary Data</w:t>
      </w:r>
    </w:p>
    <w:p w14:paraId="56D44BB1" w14:textId="77777777" w:rsidR="00B1683F" w:rsidRDefault="00B1683F" w:rsidP="00A94DBB">
      <w:pPr>
        <w:jc w:val="both"/>
      </w:pPr>
      <w:r>
        <w:t xml:space="preserve">Because we were interested in the use of the </w:t>
      </w:r>
      <w:r w:rsidRPr="00415869">
        <w:rPr>
          <w:i/>
          <w:iCs/>
        </w:rPr>
        <w:t>Simulator Sickness Questionnaire</w:t>
      </w:r>
      <w:r>
        <w:t xml:space="preserve"> (</w:t>
      </w:r>
      <w:r w:rsidRPr="000B6DEE">
        <w:rPr>
          <w:i/>
          <w:iCs/>
        </w:rPr>
        <w:t>SSQ</w:t>
      </w:r>
      <w:r>
        <w:t xml:space="preserve">) in clinical and non-clinical samples, the main article examined the two- and three-factor structures of the </w:t>
      </w:r>
      <w:r w:rsidRPr="00FE69CE">
        <w:rPr>
          <w:i/>
          <w:iCs/>
        </w:rPr>
        <w:t>SSQ</w:t>
      </w:r>
      <w:r>
        <w:t xml:space="preserve"> by combining all participants in Study 1. In this online supplement, we present the results of the confirmatory factor analyses conducted separately for the non-clinical and the clinical participants from Study 1.</w:t>
      </w:r>
    </w:p>
    <w:p w14:paraId="2968B851" w14:textId="274EDEB8" w:rsidR="00B1683F" w:rsidRDefault="00B1683F" w:rsidP="00A94DBB">
      <w:pPr>
        <w:jc w:val="both"/>
      </w:pPr>
      <w:r>
        <w:t>The clinical sample</w:t>
      </w:r>
      <w:r w:rsidRPr="00A927F2">
        <w:t xml:space="preserve"> consisted of 423 adults (306 women, 117 men) recruited</w:t>
      </w:r>
      <w:r>
        <w:t xml:space="preserve"> from the general population and diagnosed with an anxiety disorder </w:t>
      </w:r>
      <w:r w:rsidRPr="006465FD">
        <w:t>(</w:t>
      </w:r>
      <w:r w:rsidRPr="006465FD">
        <w:rPr>
          <w:i/>
        </w:rPr>
        <w:t>n</w:t>
      </w:r>
      <w:r w:rsidRPr="006465FD">
        <w:t xml:space="preserve"> = 34</w:t>
      </w:r>
      <w:r>
        <w:t>6</w:t>
      </w:r>
      <w:r w:rsidRPr="006465FD">
        <w:t>) or gambling disorder (</w:t>
      </w:r>
      <w:r w:rsidRPr="006465FD">
        <w:rPr>
          <w:i/>
          <w:iCs/>
        </w:rPr>
        <w:t>n</w:t>
      </w:r>
      <w:r w:rsidRPr="006465FD">
        <w:t xml:space="preserve"> = 7</w:t>
      </w:r>
      <w:r>
        <w:t>7</w:t>
      </w:r>
      <w:r w:rsidRPr="006465FD">
        <w:t xml:space="preserve">). The </w:t>
      </w:r>
      <w:r>
        <w:t>non-clinical sample</w:t>
      </w:r>
      <w:r w:rsidRPr="006465FD">
        <w:t xml:space="preserve"> </w:t>
      </w:r>
      <w:r>
        <w:t xml:space="preserve">(i.e., healthy controls) </w:t>
      </w:r>
      <w:r w:rsidRPr="006465FD">
        <w:t>comprised 453 adults (245 women, 207 men) who did not receive</w:t>
      </w:r>
      <w:r>
        <w:t xml:space="preserve"> these diagnoses. The mean age of the clinical and non-clinical participants </w:t>
      </w:r>
      <w:r w:rsidRPr="00C6719C">
        <w:t>was 37.90 (</w:t>
      </w:r>
      <w:r w:rsidRPr="00C6719C">
        <w:rPr>
          <w:i/>
        </w:rPr>
        <w:t>SD</w:t>
      </w:r>
      <w:r w:rsidRPr="00C6719C">
        <w:t xml:space="preserve"> = 13.73,</w:t>
      </w:r>
      <w:r>
        <w:t xml:space="preserve"> </w:t>
      </w:r>
      <w:r w:rsidRPr="00C6719C">
        <w:t xml:space="preserve">range </w:t>
      </w:r>
      <w:r w:rsidR="0095079D">
        <w:t>between</w:t>
      </w:r>
      <w:r w:rsidRPr="00C6719C">
        <w:t xml:space="preserve"> 16 to 76) </w:t>
      </w:r>
      <w:r w:rsidRPr="006465FD">
        <w:t>and 32.06 (</w:t>
      </w:r>
      <w:r w:rsidRPr="006465FD">
        <w:rPr>
          <w:i/>
        </w:rPr>
        <w:t>SD</w:t>
      </w:r>
      <w:r w:rsidRPr="006465FD">
        <w:t xml:space="preserve"> = 12.17, range </w:t>
      </w:r>
      <w:r w:rsidR="0095079D">
        <w:t>between</w:t>
      </w:r>
      <w:r w:rsidRPr="006465FD">
        <w:t xml:space="preserve"> 15 to 76), respectively</w:t>
      </w:r>
      <w:r>
        <w:t>. Eight clinical</w:t>
      </w:r>
      <w:r w:rsidRPr="00811A07">
        <w:t xml:space="preserve"> participants and one </w:t>
      </w:r>
      <w:r>
        <w:t>non-clinical participant with missing data</w:t>
      </w:r>
      <w:r w:rsidRPr="00811A07">
        <w:t xml:space="preserve"> were excluded f</w:t>
      </w:r>
      <w:r>
        <w:t xml:space="preserve">rom the analyses. The ratio of participants per variable </w:t>
      </w:r>
      <w:r w:rsidRPr="003E07A3">
        <w:t>was 26 to 1 (</w:t>
      </w:r>
      <w:r>
        <w:t xml:space="preserve">clinical sample) </w:t>
      </w:r>
      <w:r w:rsidRPr="003E07A3">
        <w:t>and 28 to 1 (</w:t>
      </w:r>
      <w:r>
        <w:t>non-clinical sample), confirming that the samples met basic assumptions and criteria to perform a factor analysis (</w:t>
      </w:r>
      <w:r w:rsidRPr="00483221">
        <w:t>Nunnally, 1978</w:t>
      </w:r>
      <w:r>
        <w:t>).</w:t>
      </w:r>
    </w:p>
    <w:p w14:paraId="3173CE4C" w14:textId="4BA1C5AB" w:rsidR="00B1683F" w:rsidRDefault="00B1683F" w:rsidP="00A94DBB">
      <w:pPr>
        <w:jc w:val="both"/>
      </w:pPr>
      <w:r w:rsidRPr="001C34FB">
        <w:t>To</w:t>
      </w:r>
      <w:r>
        <w:t xml:space="preserve"> calculate the </w:t>
      </w:r>
      <w:r w:rsidR="007E033E">
        <w:rPr>
          <w:i/>
        </w:rPr>
        <w:t>SSQ-</w:t>
      </w:r>
      <w:r>
        <w:rPr>
          <w:i/>
        </w:rPr>
        <w:t>Total raw</w:t>
      </w:r>
      <w:r>
        <w:t xml:space="preserve"> score, the non-weighted procedure was followed (i.e., </w:t>
      </w:r>
      <w:r>
        <w:rPr>
          <w:bCs/>
          <w:iCs/>
        </w:rPr>
        <w:t xml:space="preserve">summing all raw 16 items of the </w:t>
      </w:r>
      <w:r w:rsidRPr="005C126B">
        <w:rPr>
          <w:bCs/>
          <w:i/>
        </w:rPr>
        <w:t>SSQ</w:t>
      </w:r>
      <w:r>
        <w:rPr>
          <w:bCs/>
          <w:iCs/>
        </w:rPr>
        <w:t xml:space="preserve"> only once and not multiplying the total by a constant</w:t>
      </w:r>
      <w:r>
        <w:t xml:space="preserve">). The mean </w:t>
      </w:r>
      <w:r w:rsidR="005A5D18">
        <w:rPr>
          <w:i/>
        </w:rPr>
        <w:t>SSQ-</w:t>
      </w:r>
      <w:r w:rsidRPr="005624D8">
        <w:rPr>
          <w:i/>
        </w:rPr>
        <w:t>Total raw</w:t>
      </w:r>
      <w:r>
        <w:t xml:space="preserve"> score, Nausea score, and Oculomotor score in the non-clinical sample </w:t>
      </w:r>
      <w:r w:rsidRPr="00026CA8">
        <w:t>were 2.96 (</w:t>
      </w:r>
      <w:r w:rsidRPr="00026CA8">
        <w:rPr>
          <w:i/>
        </w:rPr>
        <w:t>SD</w:t>
      </w:r>
      <w:r w:rsidRPr="00026CA8">
        <w:t xml:space="preserve"> = 3.86</w:t>
      </w:r>
      <w:r w:rsidR="00D31D27">
        <w:t>,</w:t>
      </w:r>
      <w:r w:rsidRPr="00026CA8">
        <w:t xml:space="preserve"> range between 0 and 42), 1.09 (</w:t>
      </w:r>
      <w:r w:rsidRPr="00026CA8">
        <w:rPr>
          <w:i/>
        </w:rPr>
        <w:t>SD</w:t>
      </w:r>
      <w:r w:rsidRPr="00026CA8">
        <w:t xml:space="preserve"> = 2.15</w:t>
      </w:r>
      <w:r w:rsidR="0095079D">
        <w:t>,</w:t>
      </w:r>
      <w:r w:rsidRPr="00026CA8">
        <w:t xml:space="preserve"> range</w:t>
      </w:r>
      <w:r>
        <w:t xml:space="preserve"> </w:t>
      </w:r>
      <w:r w:rsidRPr="009A3435">
        <w:t>between 0 and 25), and 1.87 (</w:t>
      </w:r>
      <w:r w:rsidRPr="009A3435">
        <w:rPr>
          <w:i/>
        </w:rPr>
        <w:t>SD</w:t>
      </w:r>
      <w:r w:rsidRPr="009A3435">
        <w:t xml:space="preserve"> = 2.29</w:t>
      </w:r>
      <w:r w:rsidR="00D31D27">
        <w:t>,</w:t>
      </w:r>
      <w:r w:rsidRPr="009A3435">
        <w:t xml:space="preserve"> range between 0 and 17), respectively.</w:t>
      </w:r>
      <w:r>
        <w:t xml:space="preserve"> </w:t>
      </w:r>
      <w:r w:rsidRPr="006D588F">
        <w:t xml:space="preserve">The mean </w:t>
      </w:r>
      <w:r w:rsidR="00081284">
        <w:rPr>
          <w:i/>
        </w:rPr>
        <w:t>SSQ-</w:t>
      </w:r>
      <w:r>
        <w:rPr>
          <w:i/>
        </w:rPr>
        <w:t>Total raw</w:t>
      </w:r>
      <w:r>
        <w:t xml:space="preserve"> score</w:t>
      </w:r>
      <w:r w:rsidRPr="006D588F">
        <w:rPr>
          <w:i/>
        </w:rPr>
        <w:t xml:space="preserve">, </w:t>
      </w:r>
      <w:r>
        <w:t>Nausea score</w:t>
      </w:r>
      <w:r w:rsidRPr="006D588F">
        <w:t xml:space="preserve">, and </w:t>
      </w:r>
      <w:r>
        <w:t xml:space="preserve">Oculomotor score </w:t>
      </w:r>
      <w:r w:rsidRPr="006D588F">
        <w:rPr>
          <w:iCs/>
        </w:rPr>
        <w:t xml:space="preserve">in the clinical sample </w:t>
      </w:r>
      <w:r w:rsidRPr="006D588F">
        <w:t>were 5.90 (</w:t>
      </w:r>
      <w:r w:rsidRPr="006D588F">
        <w:rPr>
          <w:i/>
        </w:rPr>
        <w:t>SD</w:t>
      </w:r>
      <w:r w:rsidRPr="006D588F">
        <w:t xml:space="preserve"> = 5.73</w:t>
      </w:r>
      <w:r w:rsidR="00D31D27">
        <w:t>,</w:t>
      </w:r>
      <w:r w:rsidRPr="006D588F">
        <w:t xml:space="preserve"> range between 0 and 26), 2.52 (</w:t>
      </w:r>
      <w:r w:rsidRPr="006D588F">
        <w:rPr>
          <w:i/>
        </w:rPr>
        <w:t>SD</w:t>
      </w:r>
      <w:r w:rsidRPr="006D588F">
        <w:t xml:space="preserve"> = 3.18, range between 0 and 17)</w:t>
      </w:r>
      <w:r w:rsidR="00D31D27">
        <w:t>,</w:t>
      </w:r>
      <w:r w:rsidRPr="006D588F">
        <w:t xml:space="preserve"> and 3.38 (</w:t>
      </w:r>
      <w:r w:rsidRPr="006D588F">
        <w:rPr>
          <w:i/>
        </w:rPr>
        <w:t>SD</w:t>
      </w:r>
      <w:r w:rsidRPr="006D588F">
        <w:t xml:space="preserve"> = 3.22, range between 0 and 15), respectively.</w:t>
      </w:r>
      <w:r>
        <w:t xml:space="preserve"> </w:t>
      </w:r>
      <w:r w:rsidRPr="00F74782">
        <w:t xml:space="preserve">The mean </w:t>
      </w:r>
      <w:r w:rsidRPr="00F74782">
        <w:rPr>
          <w:i/>
        </w:rPr>
        <w:t>SSQ-Total-</w:t>
      </w:r>
      <w:proofErr w:type="spellStart"/>
      <w:r w:rsidRPr="00F74782">
        <w:rPr>
          <w:i/>
        </w:rPr>
        <w:t>Anx</w:t>
      </w:r>
      <w:proofErr w:type="spellEnd"/>
      <w:r w:rsidRPr="00F74782">
        <w:rPr>
          <w:i/>
        </w:rPr>
        <w:t>, SSQ-Nausea-</w:t>
      </w:r>
      <w:proofErr w:type="spellStart"/>
      <w:r w:rsidRPr="00F74782">
        <w:rPr>
          <w:i/>
        </w:rPr>
        <w:t>Anx</w:t>
      </w:r>
      <w:proofErr w:type="spellEnd"/>
      <w:r w:rsidRPr="00F74782">
        <w:t xml:space="preserve">, and </w:t>
      </w:r>
      <w:r w:rsidRPr="00F74782">
        <w:rPr>
          <w:i/>
        </w:rPr>
        <w:t>SSQ-Oculomotor-</w:t>
      </w:r>
      <w:proofErr w:type="spellStart"/>
      <w:r w:rsidRPr="00F74782">
        <w:rPr>
          <w:i/>
        </w:rPr>
        <w:t>Anx</w:t>
      </w:r>
      <w:proofErr w:type="spellEnd"/>
      <w:r w:rsidRPr="00F74782">
        <w:rPr>
          <w:i/>
        </w:rPr>
        <w:t xml:space="preserve"> </w:t>
      </w:r>
      <w:r w:rsidRPr="00F74782">
        <w:rPr>
          <w:iCs/>
        </w:rPr>
        <w:t xml:space="preserve">in the clinical sample </w:t>
      </w:r>
      <w:r w:rsidRPr="00F74782">
        <w:t>were 4.84 (</w:t>
      </w:r>
      <w:r w:rsidRPr="00F74782">
        <w:rPr>
          <w:i/>
        </w:rPr>
        <w:t>SD</w:t>
      </w:r>
      <w:r w:rsidRPr="00F74782">
        <w:t xml:space="preserve"> = 4.84</w:t>
      </w:r>
      <w:r w:rsidR="0095079D">
        <w:t>,</w:t>
      </w:r>
      <w:r w:rsidRPr="00F74782">
        <w:t xml:space="preserve"> range between 0 and 22), 1.89 (</w:t>
      </w:r>
      <w:r w:rsidRPr="00F74782">
        <w:rPr>
          <w:i/>
        </w:rPr>
        <w:t>SD</w:t>
      </w:r>
      <w:r w:rsidRPr="00F74782">
        <w:t xml:space="preserve"> = 2.67, range between 0 and 14) and 2.94 (</w:t>
      </w:r>
      <w:r w:rsidRPr="00F74782">
        <w:rPr>
          <w:i/>
        </w:rPr>
        <w:t>SD</w:t>
      </w:r>
      <w:r w:rsidR="005627A1">
        <w:t xml:space="preserve"> = 2.84, range between 0 and 13</w:t>
      </w:r>
      <w:r w:rsidRPr="00F74782">
        <w:t>), respectively.</w:t>
      </w:r>
      <w:r>
        <w:t xml:space="preserve"> </w:t>
      </w:r>
    </w:p>
    <w:p w14:paraId="1828FF80" w14:textId="15005844" w:rsidR="00AC1D78" w:rsidRDefault="00AC1D78" w:rsidP="00A94DBB">
      <w:pPr>
        <w:jc w:val="both"/>
      </w:pPr>
      <w:r w:rsidRPr="00AC1D78">
        <w:t xml:space="preserve">Maximum likelihood estimation was used for structural equation modeling and modification indices as well as a global appraisal of traditional indexes and their critical values were used, as suggested by Byrne (1994), </w:t>
      </w:r>
      <w:proofErr w:type="spellStart"/>
      <w:r w:rsidRPr="00AC1D78">
        <w:t>Tabachnick</w:t>
      </w:r>
      <w:proofErr w:type="spellEnd"/>
      <w:r w:rsidRPr="00AC1D78">
        <w:t xml:space="preserve"> and </w:t>
      </w:r>
      <w:proofErr w:type="spellStart"/>
      <w:r w:rsidRPr="00AC1D78">
        <w:t>Fidell</w:t>
      </w:r>
      <w:proofErr w:type="spellEnd"/>
      <w:r w:rsidRPr="00AC1D78">
        <w:t xml:space="preserve"> (2007), and Arbuckle (2020): CFI (&gt; .90), PCFI (&gt; .75), GFI &gt; .90 and RMSEA (&lt; .07). The statistical significance of the chi-square is reported but should not be used given the known limitation of this index with large samples (Byrne, 1994; </w:t>
      </w:r>
      <w:proofErr w:type="spellStart"/>
      <w:r w:rsidRPr="00AC1D78">
        <w:t>Tabachnick</w:t>
      </w:r>
      <w:proofErr w:type="spellEnd"/>
      <w:r w:rsidRPr="00AC1D78">
        <w:t xml:space="preserve"> &amp; </w:t>
      </w:r>
      <w:proofErr w:type="spellStart"/>
      <w:r w:rsidRPr="00AC1D78">
        <w:t>Fidell</w:t>
      </w:r>
      <w:proofErr w:type="spellEnd"/>
      <w:r w:rsidRPr="00AC1D78">
        <w:t>, 2007).</w:t>
      </w:r>
    </w:p>
    <w:p w14:paraId="42BE0F67" w14:textId="77777777" w:rsidR="00B1683F" w:rsidRDefault="00B1683F" w:rsidP="00A94DBB">
      <w:pPr>
        <w:jc w:val="both"/>
      </w:pPr>
      <w:r w:rsidRPr="000F56E2">
        <w:t xml:space="preserve">The results of confirmatory factor analyses testing Kennedy et al.’s (1993) three-factor structure indicated that it was inadequate for both the non-clinical [χ2 (96) = 499.95, </w:t>
      </w:r>
      <w:r w:rsidRPr="00EC00B7">
        <w:rPr>
          <w:i/>
          <w:iCs/>
        </w:rPr>
        <w:t>p</w:t>
      </w:r>
      <w:r w:rsidRPr="000F56E2">
        <w:t xml:space="preserve"> &lt; .001, </w:t>
      </w:r>
      <w:r w:rsidRPr="00EC00B7">
        <w:rPr>
          <w:i/>
          <w:iCs/>
        </w:rPr>
        <w:t>CFI</w:t>
      </w:r>
      <w:r w:rsidRPr="000F56E2">
        <w:t xml:space="preserve"> = .81, </w:t>
      </w:r>
      <w:r w:rsidRPr="00EC00B7">
        <w:rPr>
          <w:i/>
          <w:iCs/>
        </w:rPr>
        <w:t>PCFI</w:t>
      </w:r>
      <w:r w:rsidRPr="000F56E2">
        <w:t xml:space="preserve"> = .65, </w:t>
      </w:r>
      <w:r w:rsidRPr="00EC00B7">
        <w:rPr>
          <w:i/>
          <w:iCs/>
        </w:rPr>
        <w:t>GFI</w:t>
      </w:r>
      <w:r w:rsidRPr="000F56E2">
        <w:t xml:space="preserve"> = .89, </w:t>
      </w:r>
      <w:r w:rsidRPr="00EC00B7">
        <w:rPr>
          <w:i/>
          <w:iCs/>
        </w:rPr>
        <w:t>RMSEA</w:t>
      </w:r>
      <w:r w:rsidRPr="000F56E2">
        <w:t xml:space="preserve"> = .10, </w:t>
      </w:r>
      <w:r w:rsidRPr="00EC00B7">
        <w:rPr>
          <w:i/>
          <w:iCs/>
        </w:rPr>
        <w:t>RMR</w:t>
      </w:r>
      <w:r w:rsidRPr="000F56E2">
        <w:t xml:space="preserve"> = .015, </w:t>
      </w:r>
      <w:r w:rsidRPr="00EC00B7">
        <w:rPr>
          <w:i/>
          <w:iCs/>
        </w:rPr>
        <w:t>AIC</w:t>
      </w:r>
      <w:r w:rsidRPr="000F56E2">
        <w:t xml:space="preserve"> = 579.95, </w:t>
      </w:r>
      <w:r w:rsidRPr="00EC00B7">
        <w:rPr>
          <w:i/>
          <w:iCs/>
        </w:rPr>
        <w:t>BIC</w:t>
      </w:r>
      <w:r w:rsidRPr="000F56E2">
        <w:t xml:space="preserve"> = 744.58]</w:t>
      </w:r>
      <w:r>
        <w:t xml:space="preserve"> and </w:t>
      </w:r>
      <w:r w:rsidRPr="000F56E2">
        <w:t xml:space="preserve">clinical [χ2 (96) = </w:t>
      </w:r>
      <w:r w:rsidRPr="000F56E2">
        <w:lastRenderedPageBreak/>
        <w:t xml:space="preserve">501.46, </w:t>
      </w:r>
      <w:r w:rsidRPr="00EC00B7">
        <w:rPr>
          <w:i/>
          <w:iCs/>
        </w:rPr>
        <w:t>p</w:t>
      </w:r>
      <w:r w:rsidRPr="000F56E2">
        <w:t xml:space="preserve"> &lt; .001, </w:t>
      </w:r>
      <w:r w:rsidRPr="00EC00B7">
        <w:rPr>
          <w:i/>
          <w:iCs/>
        </w:rPr>
        <w:t>CFI</w:t>
      </w:r>
      <w:r w:rsidRPr="000F56E2">
        <w:t xml:space="preserve"> = .81, </w:t>
      </w:r>
      <w:r w:rsidRPr="00EC00B7">
        <w:rPr>
          <w:i/>
          <w:iCs/>
        </w:rPr>
        <w:t>PCFI</w:t>
      </w:r>
      <w:r w:rsidRPr="000F56E2">
        <w:t xml:space="preserve"> = .65, </w:t>
      </w:r>
      <w:r w:rsidRPr="00EC00B7">
        <w:rPr>
          <w:i/>
          <w:iCs/>
        </w:rPr>
        <w:t>GFI</w:t>
      </w:r>
      <w:r w:rsidRPr="000F56E2">
        <w:t xml:space="preserve"> = .88, </w:t>
      </w:r>
      <w:r w:rsidRPr="00EC00B7">
        <w:rPr>
          <w:i/>
          <w:iCs/>
        </w:rPr>
        <w:t>RMSEA</w:t>
      </w:r>
      <w:r w:rsidRPr="000F56E2">
        <w:t xml:space="preserve"> = .10, </w:t>
      </w:r>
      <w:r w:rsidRPr="00EC00B7">
        <w:rPr>
          <w:i/>
          <w:iCs/>
        </w:rPr>
        <w:t>RMR</w:t>
      </w:r>
      <w:r w:rsidRPr="000F56E2">
        <w:t xml:space="preserve"> = .028, </w:t>
      </w:r>
      <w:r w:rsidRPr="00EC00B7">
        <w:rPr>
          <w:i/>
          <w:iCs/>
        </w:rPr>
        <w:t>AIC</w:t>
      </w:r>
      <w:r w:rsidRPr="000F56E2">
        <w:t xml:space="preserve"> = 581.46, </w:t>
      </w:r>
      <w:r w:rsidRPr="00EC00B7">
        <w:rPr>
          <w:i/>
          <w:iCs/>
        </w:rPr>
        <w:t>BIC</w:t>
      </w:r>
      <w:r w:rsidRPr="000F56E2">
        <w:t xml:space="preserve"> = 743.36]</w:t>
      </w:r>
      <w:r>
        <w:t xml:space="preserve"> samples. </w:t>
      </w:r>
    </w:p>
    <w:p w14:paraId="7B57152D" w14:textId="2231F7FC" w:rsidR="00B1683F" w:rsidRDefault="00B1683F" w:rsidP="00A94DBB">
      <w:pPr>
        <w:jc w:val="both"/>
        <w:rPr>
          <w:rFonts w:cs="Times New Roman"/>
          <w:szCs w:val="24"/>
        </w:rPr>
      </w:pPr>
      <w:r>
        <w:t>For the non-clinical sample, the plausibility of the two-factor solution was confirmed by the fit indices (</w:t>
      </w:r>
      <w:r w:rsidRPr="00D87EB4">
        <w:rPr>
          <w:i/>
        </w:rPr>
        <w:t>CFI</w:t>
      </w:r>
      <w:r w:rsidRPr="00D87EB4">
        <w:t xml:space="preserve"> = .90, </w:t>
      </w:r>
      <w:r w:rsidRPr="00D87EB4">
        <w:rPr>
          <w:i/>
        </w:rPr>
        <w:t>PCFI</w:t>
      </w:r>
      <w:r w:rsidRPr="00D87EB4">
        <w:t xml:space="preserve"> = .75</w:t>
      </w:r>
      <w:r>
        <w:t xml:space="preserve">, </w:t>
      </w:r>
      <w:r>
        <w:rPr>
          <w:i/>
        </w:rPr>
        <w:t>RMSEA</w:t>
      </w:r>
      <w:r>
        <w:t xml:space="preserve"> = .07, </w:t>
      </w:r>
      <w:r w:rsidRPr="008D7F49">
        <w:rPr>
          <w:i/>
        </w:rPr>
        <w:t>AIC</w:t>
      </w:r>
      <w:r>
        <w:t xml:space="preserve"> = 391.34, </w:t>
      </w:r>
      <w:r w:rsidRPr="008D7F49">
        <w:rPr>
          <w:i/>
        </w:rPr>
        <w:t>BIC</w:t>
      </w:r>
      <w:r>
        <w:t xml:space="preserve"> = 539.51), the examination of the modification indices, the low value of </w:t>
      </w:r>
      <w:r w:rsidRPr="007756B5">
        <w:t xml:space="preserve">the </w:t>
      </w:r>
      <w:r w:rsidRPr="007756B5">
        <w:rPr>
          <w:i/>
        </w:rPr>
        <w:t>RMR</w:t>
      </w:r>
      <w:r w:rsidRPr="007756B5">
        <w:t xml:space="preserve"> (.011), and</w:t>
      </w:r>
      <w:r>
        <w:t xml:space="preserve"> a strong percentage of </w:t>
      </w:r>
      <w:r w:rsidRPr="007756B5">
        <w:t>variance explained (</w:t>
      </w:r>
      <w:r w:rsidRPr="007756B5">
        <w:rPr>
          <w:i/>
        </w:rPr>
        <w:t>GFI</w:t>
      </w:r>
      <w:r w:rsidRPr="007756B5">
        <w:t xml:space="preserve"> = .92). The chi-square was also significant</w:t>
      </w:r>
      <w:r>
        <w:t xml:space="preserve">, </w:t>
      </w:r>
      <w:r w:rsidRPr="007756B5">
        <w:t xml:space="preserve">χ2 (100) = 319.34, </w:t>
      </w:r>
      <w:r w:rsidRPr="007756B5">
        <w:rPr>
          <w:i/>
        </w:rPr>
        <w:t xml:space="preserve">p </w:t>
      </w:r>
      <w:r w:rsidRPr="007756B5">
        <w:t>&lt; .001.</w:t>
      </w:r>
      <w:r>
        <w:t xml:space="preserve"> </w:t>
      </w:r>
      <w:r w:rsidRPr="00291C85">
        <w:t>The</w:t>
      </w:r>
      <w:r>
        <w:t xml:space="preserve"> plausibility of the two-factor solution was also confirmed for the clinical sample, as shown by the fit indices much closer to the critical values than the alternative model (</w:t>
      </w:r>
      <w:r>
        <w:rPr>
          <w:i/>
        </w:rPr>
        <w:t>CFI</w:t>
      </w:r>
      <w:r>
        <w:t xml:space="preserve"> </w:t>
      </w:r>
      <w:r w:rsidRPr="00291C85">
        <w:t>= .85,</w:t>
      </w:r>
      <w:r>
        <w:t xml:space="preserve"> </w:t>
      </w:r>
      <w:r w:rsidRPr="00291C85">
        <w:rPr>
          <w:i/>
        </w:rPr>
        <w:t>PCFI</w:t>
      </w:r>
      <w:r w:rsidRPr="00291C85">
        <w:t xml:space="preserve"> = .71,</w:t>
      </w:r>
      <w:r>
        <w:t xml:space="preserve"> </w:t>
      </w:r>
      <w:r w:rsidRPr="00291C85">
        <w:rPr>
          <w:i/>
        </w:rPr>
        <w:t>RMSEA</w:t>
      </w:r>
      <w:r w:rsidRPr="00291C85">
        <w:t xml:space="preserve"> = .09</w:t>
      </w:r>
      <w:r>
        <w:t xml:space="preserve">, </w:t>
      </w:r>
      <w:r w:rsidRPr="008D7F49">
        <w:rPr>
          <w:i/>
        </w:rPr>
        <w:t>AIC</w:t>
      </w:r>
      <w:r>
        <w:t xml:space="preserve"> = 497.86, </w:t>
      </w:r>
      <w:r w:rsidRPr="008D7F49">
        <w:rPr>
          <w:i/>
        </w:rPr>
        <w:t>BIC</w:t>
      </w:r>
      <w:r>
        <w:t xml:space="preserve"> = 643.56</w:t>
      </w:r>
      <w:r w:rsidRPr="00291C85">
        <w:t>), the examination</w:t>
      </w:r>
      <w:r>
        <w:t xml:space="preserve"> of the modification indices, the low value of the </w:t>
      </w:r>
      <w:r w:rsidRPr="00291C85">
        <w:rPr>
          <w:i/>
        </w:rPr>
        <w:t>RMR</w:t>
      </w:r>
      <w:r w:rsidRPr="00291C85">
        <w:t xml:space="preserve"> (.026),</w:t>
      </w:r>
      <w:r>
        <w:t xml:space="preserve"> and a strong percentage of variance </w:t>
      </w:r>
      <w:r w:rsidRPr="00291C85">
        <w:t>explained (</w:t>
      </w:r>
      <w:r w:rsidRPr="00291C85">
        <w:rPr>
          <w:i/>
        </w:rPr>
        <w:t>GFI</w:t>
      </w:r>
      <w:r w:rsidRPr="00291C85">
        <w:t xml:space="preserve"> = .89). The chi</w:t>
      </w:r>
      <w:r>
        <w:t xml:space="preserve">-square was significant, </w:t>
      </w:r>
      <w:r w:rsidRPr="00B825FF">
        <w:t>χ2</w:t>
      </w:r>
      <w:r>
        <w:t xml:space="preserve"> (</w:t>
      </w:r>
      <w:r w:rsidRPr="00291C85">
        <w:t xml:space="preserve">100) = 425.86, </w:t>
      </w:r>
      <w:r w:rsidRPr="00291C85">
        <w:rPr>
          <w:i/>
        </w:rPr>
        <w:t xml:space="preserve">p </w:t>
      </w:r>
      <w:r w:rsidRPr="00291C85">
        <w:t xml:space="preserve">&lt; .001. </w:t>
      </w:r>
      <w:r w:rsidR="00B83E4B">
        <w:t xml:space="preserve">It is important to note that although </w:t>
      </w:r>
      <w:r w:rsidR="00862939" w:rsidRPr="00862939">
        <w:t xml:space="preserve">some of the fit indices </w:t>
      </w:r>
      <w:r w:rsidR="00E4787A">
        <w:t>reached</w:t>
      </w:r>
      <w:r w:rsidR="00862939" w:rsidRPr="00862939">
        <w:t xml:space="preserve"> the critical values for the three-factor solution</w:t>
      </w:r>
      <w:r w:rsidR="003E2395">
        <w:t xml:space="preserve"> (e.g., </w:t>
      </w:r>
      <w:r w:rsidR="003E2395" w:rsidRPr="003E2395">
        <w:rPr>
          <w:i/>
          <w:iCs/>
        </w:rPr>
        <w:t>GFI</w:t>
      </w:r>
      <w:r w:rsidR="003E2395">
        <w:t xml:space="preserve"> = .89)</w:t>
      </w:r>
      <w:r w:rsidR="00862939" w:rsidRPr="00862939">
        <w:t>, a larger number of fit indices</w:t>
      </w:r>
      <w:r w:rsidR="003E2395">
        <w:t xml:space="preserve"> </w:t>
      </w:r>
      <w:r w:rsidR="00E4787A">
        <w:t>reached</w:t>
      </w:r>
      <w:r w:rsidR="00862939" w:rsidRPr="00862939">
        <w:t xml:space="preserve"> the critical values for the two-factor solution</w:t>
      </w:r>
      <w:r w:rsidR="00F83874">
        <w:t xml:space="preserve"> in both </w:t>
      </w:r>
      <w:r w:rsidR="00D3029A">
        <w:t xml:space="preserve">the </w:t>
      </w:r>
      <w:r w:rsidR="00F83874">
        <w:t xml:space="preserve">non-clinical and clinical </w:t>
      </w:r>
      <w:r w:rsidR="00D3029A">
        <w:t>samples</w:t>
      </w:r>
      <w:r w:rsidR="00B83E4B">
        <w:t>.</w:t>
      </w:r>
      <w:r w:rsidR="005D45E8">
        <w:t xml:space="preserve"> This conclusion is also clearly supported when comparing the AIC and BIC indices (Burnham &amp; Anderson, 2004).</w:t>
      </w:r>
      <w:r w:rsidR="00B83E4B">
        <w:t xml:space="preserve"> </w:t>
      </w:r>
      <w:r>
        <w:t>The final structural equation models ar</w:t>
      </w:r>
      <w:r w:rsidR="00340861">
        <w:t>e presented in Supplementary Figure 1 and</w:t>
      </w:r>
      <w:r>
        <w:t xml:space="preserve"> Supplement</w:t>
      </w:r>
      <w:r w:rsidR="00340861">
        <w:t>ary Figure</w:t>
      </w:r>
      <w:r>
        <w:t xml:space="preserve"> 2, where circles represent latent variable and rectangles represent measured variables (Q stands for Question or item number; e stands for error). </w:t>
      </w:r>
      <w:r w:rsidRPr="00CC06C0">
        <w:t>Finally, the plausibility of the two-factor solution without items 1 and 9 was tested with the clinical sample</w:t>
      </w:r>
      <w:r w:rsidRPr="00B949D3">
        <w:t>. The results seemed to favor this structure based on the fit indices (</w:t>
      </w:r>
      <w:r w:rsidRPr="00B949D3">
        <w:rPr>
          <w:i/>
        </w:rPr>
        <w:t>CFI</w:t>
      </w:r>
      <w:r w:rsidRPr="00B949D3">
        <w:t xml:space="preserve"> = .86, </w:t>
      </w:r>
      <w:r w:rsidRPr="00B949D3">
        <w:rPr>
          <w:i/>
        </w:rPr>
        <w:t>PCFI</w:t>
      </w:r>
      <w:r w:rsidRPr="00B949D3">
        <w:t xml:space="preserve"> = .69, </w:t>
      </w:r>
      <w:r w:rsidRPr="00B949D3">
        <w:rPr>
          <w:i/>
        </w:rPr>
        <w:t>RMSEA</w:t>
      </w:r>
      <w:r w:rsidRPr="00B949D3">
        <w:t xml:space="preserve"> = .09, </w:t>
      </w:r>
      <w:r w:rsidRPr="00B949D3">
        <w:rPr>
          <w:i/>
        </w:rPr>
        <w:t>AIC</w:t>
      </w:r>
      <w:r w:rsidRPr="00B949D3">
        <w:t xml:space="preserve"> = 379.74, </w:t>
      </w:r>
      <w:r w:rsidRPr="00B949D3">
        <w:rPr>
          <w:i/>
        </w:rPr>
        <w:t>BIC</w:t>
      </w:r>
      <w:r w:rsidRPr="00B949D3">
        <w:t xml:space="preserve"> = 509.26), the examination of the modification indices, the low value of the </w:t>
      </w:r>
      <w:r w:rsidRPr="00B949D3">
        <w:rPr>
          <w:i/>
        </w:rPr>
        <w:t>RMR</w:t>
      </w:r>
      <w:r w:rsidRPr="00B949D3">
        <w:t xml:space="preserve"> (.024), and a strong percentage of variance explained (</w:t>
      </w:r>
      <w:r w:rsidRPr="00B949D3">
        <w:rPr>
          <w:i/>
        </w:rPr>
        <w:t>GFI</w:t>
      </w:r>
      <w:r w:rsidRPr="00B949D3">
        <w:t xml:space="preserve"> = .91). The chi-square was significant, χ2 (73) =</w:t>
      </w:r>
      <w:r w:rsidRPr="00CC06C0">
        <w:t xml:space="preserve"> </w:t>
      </w:r>
      <w:r w:rsidRPr="00B949D3">
        <w:t xml:space="preserve">315.74, </w:t>
      </w:r>
      <w:r w:rsidRPr="00B949D3">
        <w:rPr>
          <w:i/>
        </w:rPr>
        <w:t xml:space="preserve">p </w:t>
      </w:r>
      <w:r w:rsidRPr="00B949D3">
        <w:t>&lt; .001. In</w:t>
      </w:r>
      <w:r w:rsidRPr="000F56E2">
        <w:t xml:space="preserve"> short, the fit indices favor</w:t>
      </w:r>
      <w:r>
        <w:t>ed</w:t>
      </w:r>
      <w:r w:rsidRPr="000F56E2">
        <w:t xml:space="preserve"> the two-factor model, and thus, suggest that it is more appropriate in both clinical and non-clinical populations.</w:t>
      </w:r>
      <w:r>
        <w:t xml:space="preserve"> As discussed in the article, replications with less heterogenous clinical samples may lead to improved fit.</w:t>
      </w:r>
    </w:p>
    <w:p w14:paraId="4D059444" w14:textId="5AEC3265" w:rsidR="00994A3D" w:rsidRPr="00994A3D" w:rsidRDefault="00654E8F" w:rsidP="0001436A">
      <w:pPr>
        <w:pStyle w:val="Heading1"/>
      </w:pPr>
      <w:r w:rsidRPr="00994A3D">
        <w:t>Supple</w:t>
      </w:r>
      <w:r w:rsidR="00B454A9">
        <w:t>mentary Figures</w:t>
      </w:r>
    </w:p>
    <w:p w14:paraId="3C419443" w14:textId="1AC42861" w:rsidR="00994A3D" w:rsidRPr="001549D3" w:rsidRDefault="007505C1" w:rsidP="00B454A9">
      <w:pPr>
        <w:keepNext/>
        <w:rPr>
          <w:rFonts w:cs="Times New Roman"/>
          <w:szCs w:val="24"/>
        </w:rPr>
      </w:pPr>
      <w:r w:rsidRPr="007505C1">
        <w:rPr>
          <w:b/>
          <w:bCs/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D7D1" wp14:editId="3E108D61">
                <wp:simplePos x="0" y="0"/>
                <wp:positionH relativeFrom="column">
                  <wp:posOffset>799465</wp:posOffset>
                </wp:positionH>
                <wp:positionV relativeFrom="paragraph">
                  <wp:posOffset>7190740</wp:posOffset>
                </wp:positionV>
                <wp:extent cx="226008" cy="45719"/>
                <wp:effectExtent l="19050" t="0" r="0" b="3111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0928" flipH="1" flipV="1">
                          <a:off x="0" y="0"/>
                          <a:ext cx="226008" cy="45719"/>
                        </a:xfrm>
                        <a:prstGeom prst="arc">
                          <a:avLst>
                            <a:gd name="adj1" fmla="val 12230837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DEA0DA" id="Arc 8" o:spid="_x0000_s1026" style="position:absolute;margin-left:62.95pt;margin-top:566.2pt;width:17.8pt;height:3.6pt;rotation:-566965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0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" path="m65980,2073nsc82218,570,99986,-134,117827,21v60480,523,108181,10593,108181,22839l113004,22860,65980,2073xem65980,2073nfc82218,570,99986,-134,117827,21v60480,523,108181,10593,108181,22839e" filled="f" strokecolor="black [3040]">
                <v:path arrowok="t" o:connecttype="custom" o:connectlocs="65980,2073;117827,21;226008,22860" o:connectangles="0,0,0"/>
              </v:shape>
            </w:pict>
          </mc:Fallback>
        </mc:AlternateContent>
      </w:r>
      <w:r w:rsidR="00B454A9">
        <w:rPr>
          <w:b/>
          <w:bCs/>
          <w:noProof/>
          <w:lang w:val="fr-CA" w:eastAsia="fr-CA"/>
        </w:rPr>
        <w:drawing>
          <wp:inline distT="0" distB="0" distL="0" distR="0" wp14:anchorId="3A0D56DE" wp14:editId="2659B4FC">
            <wp:extent cx="5448300" cy="72377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lthy controls - Model AMOS avec corrélations entre erreur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96" b="879"/>
                    <a:stretch/>
                  </pic:blipFill>
                  <pic:spPr bwMode="auto">
                    <a:xfrm>
                      <a:off x="0" y="0"/>
                      <a:ext cx="5448300" cy="723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196DF" w14:textId="0C932472" w:rsidR="00994A3D" w:rsidRDefault="00994A3D" w:rsidP="002B4A57">
      <w:pPr>
        <w:keepNext/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B454A9" w:rsidRPr="00377B69">
        <w:t xml:space="preserve">Confirmatory factor analysis of the </w:t>
      </w:r>
      <w:r w:rsidR="00B454A9" w:rsidRPr="00377B69">
        <w:rPr>
          <w:i/>
          <w:iCs/>
        </w:rPr>
        <w:t>SSQ</w:t>
      </w:r>
      <w:r w:rsidR="00B454A9" w:rsidRPr="00377B69">
        <w:t xml:space="preserve"> with two factors</w:t>
      </w:r>
      <w:r w:rsidR="00B454A9">
        <w:t xml:space="preserve"> in non-clinical participants</w:t>
      </w:r>
    </w:p>
    <w:p w14:paraId="10530B50" w14:textId="77777777" w:rsidR="00B454A9" w:rsidRDefault="00B454A9" w:rsidP="00B454A9">
      <w:pPr>
        <w:rPr>
          <w:b/>
          <w:bCs/>
        </w:rPr>
      </w:pPr>
      <w:r>
        <w:rPr>
          <w:b/>
          <w:bCs/>
          <w:noProof/>
          <w:lang w:val="fr-CA" w:eastAsia="fr-CA"/>
        </w:rPr>
        <w:lastRenderedPageBreak/>
        <w:drawing>
          <wp:inline distT="0" distB="0" distL="0" distR="0" wp14:anchorId="74D6786B" wp14:editId="7F6B50A1">
            <wp:extent cx="5143500" cy="70008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icipants anx - Model AMOS avec corrélations entre erreur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54"/>
                    <a:stretch/>
                  </pic:blipFill>
                  <pic:spPr bwMode="auto">
                    <a:xfrm>
                      <a:off x="0" y="0"/>
                      <a:ext cx="5157958" cy="7020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5BC41" w14:textId="428F9107" w:rsidR="00DE23E8" w:rsidRDefault="00B454A9" w:rsidP="006A3323">
      <w:r w:rsidRPr="00DB1C2A">
        <w:rPr>
          <w:b/>
          <w:bCs/>
        </w:rPr>
        <w:t>Supplement</w:t>
      </w:r>
      <w:r>
        <w:rPr>
          <w:b/>
          <w:bCs/>
        </w:rPr>
        <w:t>ary</w:t>
      </w:r>
      <w:r w:rsidRPr="00DB1C2A">
        <w:rPr>
          <w:b/>
          <w:bCs/>
        </w:rPr>
        <w:t xml:space="preserve"> Figure </w:t>
      </w:r>
      <w:r>
        <w:rPr>
          <w:b/>
          <w:bCs/>
        </w:rPr>
        <w:t>2</w:t>
      </w:r>
      <w:r w:rsidRPr="00DB1C2A">
        <w:rPr>
          <w:b/>
          <w:bCs/>
        </w:rPr>
        <w:t>.</w:t>
      </w:r>
      <w:r>
        <w:rPr>
          <w:b/>
          <w:bCs/>
        </w:rPr>
        <w:t xml:space="preserve"> </w:t>
      </w:r>
      <w:r w:rsidRPr="00377B69">
        <w:t xml:space="preserve">Confirmatory factor analysis of the </w:t>
      </w:r>
      <w:r w:rsidRPr="00377B69">
        <w:rPr>
          <w:i/>
          <w:iCs/>
        </w:rPr>
        <w:t>SSQ</w:t>
      </w:r>
      <w:r w:rsidRPr="00377B69">
        <w:t xml:space="preserve"> with two factors</w:t>
      </w:r>
      <w:r>
        <w:t xml:space="preserve"> in clinical participants</w:t>
      </w:r>
    </w:p>
    <w:p w14:paraId="18BB8081" w14:textId="3B77EC33" w:rsidR="00114302" w:rsidRDefault="00114302" w:rsidP="006A3323">
      <w:pPr>
        <w:rPr>
          <w:b/>
          <w:bCs/>
        </w:rPr>
      </w:pPr>
    </w:p>
    <w:p w14:paraId="02AD3619" w14:textId="24EFDF16" w:rsidR="00114302" w:rsidRDefault="00114302" w:rsidP="006A3323">
      <w:pPr>
        <w:rPr>
          <w:bCs/>
        </w:rPr>
      </w:pPr>
      <w:r>
        <w:rPr>
          <w:b/>
          <w:bCs/>
        </w:rPr>
        <w:t xml:space="preserve">Reference of studies used </w:t>
      </w:r>
      <w:r w:rsidR="00C84D7C">
        <w:rPr>
          <w:b/>
          <w:bCs/>
        </w:rPr>
        <w:t>for the sample in Study 1</w:t>
      </w:r>
    </w:p>
    <w:p w14:paraId="4166D582" w14:textId="434EE681" w:rsidR="00C84D7C" w:rsidRDefault="00C84D7C" w:rsidP="00A94DBB">
      <w:pPr>
        <w:jc w:val="both"/>
        <w:rPr>
          <w:bCs/>
        </w:rPr>
      </w:pPr>
      <w:r>
        <w:rPr>
          <w:bCs/>
        </w:rPr>
        <w:lastRenderedPageBreak/>
        <w:t xml:space="preserve">The sample for Study 1 consists of data collected in </w:t>
      </w:r>
      <w:r w:rsidR="009A75F4">
        <w:rPr>
          <w:bCs/>
        </w:rPr>
        <w:t xml:space="preserve">the following </w:t>
      </w:r>
      <w:r>
        <w:rPr>
          <w:bCs/>
        </w:rPr>
        <w:t xml:space="preserve">studies. </w:t>
      </w:r>
    </w:p>
    <w:p w14:paraId="3EB10607" w14:textId="77777777" w:rsidR="00C84D7C" w:rsidRPr="00D95F95" w:rsidRDefault="00C84D7C" w:rsidP="00A94DBB">
      <w:pPr>
        <w:jc w:val="both"/>
        <w:rPr>
          <w:lang w:val="en-CA"/>
        </w:rPr>
      </w:pPr>
      <w:r w:rsidRPr="0025546F">
        <w:rPr>
          <w:lang w:val="en-CA"/>
        </w:rPr>
        <w:t xml:space="preserve">Aimé, A., Cotton, K., &amp; </w:t>
      </w:r>
      <w:r>
        <w:rPr>
          <w:lang w:val="en-CA"/>
        </w:rPr>
        <w:t>Bouchard</w:t>
      </w:r>
      <w:r w:rsidRPr="0025546F">
        <w:rPr>
          <w:lang w:val="en-CA"/>
        </w:rPr>
        <w:t xml:space="preserve">, S. (2009). Reactivity to virtual reality immersions in a subclinical sample of women concerned with their weight and shape. </w:t>
      </w:r>
      <w:r w:rsidRPr="00A94DBB">
        <w:rPr>
          <w:i/>
          <w:lang w:val="en-CA"/>
        </w:rPr>
        <w:t xml:space="preserve">Journal of </w:t>
      </w:r>
      <w:proofErr w:type="spellStart"/>
      <w:r w:rsidRPr="00A94DBB">
        <w:rPr>
          <w:i/>
          <w:lang w:val="en-CA"/>
        </w:rPr>
        <w:t>Cybertherapy</w:t>
      </w:r>
      <w:proofErr w:type="spellEnd"/>
      <w:r w:rsidRPr="00A94DBB">
        <w:rPr>
          <w:i/>
          <w:lang w:val="en-CA"/>
        </w:rPr>
        <w:t xml:space="preserve"> and Rehabilitation</w:t>
      </w:r>
      <w:r w:rsidRPr="00D95F95">
        <w:rPr>
          <w:lang w:val="en-CA"/>
        </w:rPr>
        <w:t>, 2(2), 111-120.</w:t>
      </w:r>
    </w:p>
    <w:p w14:paraId="284108B2" w14:textId="77777777" w:rsidR="00C84D7C" w:rsidRDefault="00C84D7C" w:rsidP="00A94DBB">
      <w:pPr>
        <w:jc w:val="both"/>
        <w:rPr>
          <w:lang w:val="en-CA"/>
        </w:rPr>
      </w:pPr>
      <w:r w:rsidRPr="00D80D48">
        <w:t xml:space="preserve">Baus, O., </w:t>
      </w:r>
      <w:r>
        <w:t>Bouchard</w:t>
      </w:r>
      <w:r w:rsidRPr="00D80D48">
        <w:t xml:space="preserve">, S., Gougeon, V., &amp; Roucaut, F.-X. (2011). </w:t>
      </w:r>
      <w:r w:rsidRPr="00D80D48">
        <w:rPr>
          <w:lang w:val="en-CA"/>
        </w:rPr>
        <w:t>Comparison of anxiety in response to virtual spiders while immersed in augmented reality, head-mounted display, or cave-like system. Oral presentation at the 1</w:t>
      </w:r>
      <w:r w:rsidRPr="00A94DBB">
        <w:rPr>
          <w:i/>
          <w:lang w:val="en-CA"/>
        </w:rPr>
        <w:t xml:space="preserve">6th Annual </w:t>
      </w:r>
      <w:proofErr w:type="spellStart"/>
      <w:r w:rsidRPr="00A94DBB">
        <w:rPr>
          <w:i/>
          <w:lang w:val="en-CA"/>
        </w:rPr>
        <w:t>Cybertherapy</w:t>
      </w:r>
      <w:proofErr w:type="spellEnd"/>
      <w:r w:rsidRPr="00A94DBB">
        <w:rPr>
          <w:i/>
          <w:lang w:val="en-CA"/>
        </w:rPr>
        <w:t xml:space="preserve"> &amp; </w:t>
      </w:r>
      <w:proofErr w:type="spellStart"/>
      <w:r w:rsidRPr="00A94DBB">
        <w:rPr>
          <w:i/>
          <w:lang w:val="en-CA"/>
        </w:rPr>
        <w:t>Cyberpsychology</w:t>
      </w:r>
      <w:proofErr w:type="spellEnd"/>
      <w:r w:rsidRPr="00A94DBB">
        <w:rPr>
          <w:i/>
          <w:lang w:val="en-CA"/>
        </w:rPr>
        <w:t xml:space="preserve"> Conferenc</w:t>
      </w:r>
      <w:r w:rsidRPr="00D80D48">
        <w:rPr>
          <w:lang w:val="en-CA"/>
        </w:rPr>
        <w:t>e, Gatineau, June 20-22.</w:t>
      </w:r>
    </w:p>
    <w:p w14:paraId="61F75972" w14:textId="77777777" w:rsidR="00C84D7C" w:rsidRDefault="00C84D7C" w:rsidP="00A94DBB">
      <w:pPr>
        <w:jc w:val="both"/>
        <w:rPr>
          <w:lang w:val="en-CA"/>
        </w:rPr>
      </w:pPr>
      <w:r w:rsidRPr="00C84D7C">
        <w:rPr>
          <w:lang w:val="fr-CA"/>
        </w:rPr>
        <w:t xml:space="preserve">Bouchard, S., Bernier, F., Boivin, É., Dumoulin, S., Laforest, M., Guitard, T., et al. </w:t>
      </w:r>
      <w:r w:rsidRPr="0025546F">
        <w:rPr>
          <w:lang w:val="en-CA"/>
        </w:rPr>
        <w:t xml:space="preserve">(2013). Empathy toward virtual humans depicting a known or unknown person expressing pain. Journal of </w:t>
      </w:r>
      <w:r w:rsidRPr="00A94DBB">
        <w:rPr>
          <w:i/>
          <w:lang w:val="en-CA"/>
        </w:rPr>
        <w:t>CyberPsychology, Behavior and Social Networking</w:t>
      </w:r>
      <w:r w:rsidRPr="0025546F">
        <w:rPr>
          <w:lang w:val="en-CA"/>
        </w:rPr>
        <w:t>, 16(1), 61-71. DOI: 10.1089/cyber.2012.1571</w:t>
      </w:r>
    </w:p>
    <w:p w14:paraId="692F60E0" w14:textId="77777777" w:rsidR="00C84D7C" w:rsidRDefault="00C84D7C" w:rsidP="00A94DBB">
      <w:pPr>
        <w:jc w:val="both"/>
        <w:rPr>
          <w:lang w:val="en-CA"/>
        </w:rPr>
      </w:pPr>
      <w:r>
        <w:rPr>
          <w:lang w:val="en-CA"/>
        </w:rPr>
        <w:t>Bouchard</w:t>
      </w:r>
      <w:r w:rsidRPr="0025546F">
        <w:rPr>
          <w:lang w:val="en-CA"/>
        </w:rPr>
        <w:t xml:space="preserve">, S., Bernier, F., Boivin, E., Guitard, T., Laforest, M. Dumoulin, S. &amp; Robillard, G. (2012). Modes of immersion and stress induced by commercial (off-the-shelf) 3D games. </w:t>
      </w:r>
      <w:r w:rsidRPr="00A94DBB">
        <w:rPr>
          <w:i/>
          <w:lang w:val="en-CA"/>
        </w:rPr>
        <w:t>Journal of Defense Modeling and Simulation: Applications, Methodology, Technology,</w:t>
      </w:r>
      <w:r w:rsidRPr="0025546F">
        <w:rPr>
          <w:lang w:val="en-CA"/>
        </w:rPr>
        <w:t xml:space="preserve"> 1-14.                                                       DOI: 10.1177/1548512912446359.</w:t>
      </w:r>
    </w:p>
    <w:p w14:paraId="59A451E2" w14:textId="77777777" w:rsidR="00C84D7C" w:rsidRPr="00D95F95" w:rsidRDefault="00C84D7C" w:rsidP="00A94DBB">
      <w:pPr>
        <w:jc w:val="both"/>
        <w:rPr>
          <w:lang w:val="fr-CA"/>
        </w:rPr>
      </w:pPr>
      <w:r>
        <w:rPr>
          <w:lang w:val="en-CA"/>
        </w:rPr>
        <w:t>Bouchard</w:t>
      </w:r>
      <w:r w:rsidRPr="0025546F">
        <w:rPr>
          <w:lang w:val="en-CA"/>
        </w:rPr>
        <w:t xml:space="preserve">, S., Bernier, F., Boivin, E., Morin, B., &amp; Robillard, G. (2012). Using biofeedback while immersed in a stressful videogame increases the effectiveness of stress management training. </w:t>
      </w:r>
      <w:proofErr w:type="spellStart"/>
      <w:r w:rsidRPr="00A94DBB">
        <w:rPr>
          <w:i/>
          <w:lang w:val="fr-CA"/>
        </w:rPr>
        <w:t>PLoS</w:t>
      </w:r>
      <w:proofErr w:type="spellEnd"/>
      <w:r w:rsidRPr="00A94DBB">
        <w:rPr>
          <w:i/>
          <w:lang w:val="fr-CA"/>
        </w:rPr>
        <w:t xml:space="preserve"> ONE</w:t>
      </w:r>
      <w:r w:rsidRPr="00D95F95">
        <w:rPr>
          <w:lang w:val="fr-CA"/>
        </w:rPr>
        <w:t>, 4(7), 1-11. DOI: 10.1371/journal.pone.0036169.</w:t>
      </w:r>
    </w:p>
    <w:p w14:paraId="0FE62325" w14:textId="77777777" w:rsidR="00C84D7C" w:rsidRPr="00D95F95" w:rsidRDefault="00C84D7C" w:rsidP="00A94DBB">
      <w:pPr>
        <w:jc w:val="both"/>
        <w:rPr>
          <w:lang w:val="en-CA"/>
        </w:rPr>
      </w:pPr>
      <w:r w:rsidRPr="00EC07D7">
        <w:rPr>
          <w:lang w:val="fr-CA"/>
        </w:rPr>
        <w:t xml:space="preserve">Bouchard, S., Côté, S., Robillard, G., St-Jacques, J., &amp; Renaud, P. (2006). </w:t>
      </w:r>
      <w:r w:rsidRPr="0025546F">
        <w:rPr>
          <w:lang w:val="en-CA"/>
        </w:rPr>
        <w:t xml:space="preserve">Effectiveness of virtual reality exposure in the treatment of arachnophobia using 3D games. </w:t>
      </w:r>
      <w:r w:rsidRPr="00A94DBB">
        <w:rPr>
          <w:i/>
          <w:lang w:val="en-CA"/>
        </w:rPr>
        <w:t>Technology and Health Care,</w:t>
      </w:r>
      <w:r w:rsidRPr="00D95F95">
        <w:rPr>
          <w:lang w:val="en-CA"/>
        </w:rPr>
        <w:t xml:space="preserve"> 14(1), 19-27. DOI: 10.3233/THC-2006-14103</w:t>
      </w:r>
    </w:p>
    <w:p w14:paraId="0ADF0654" w14:textId="77777777" w:rsidR="00C84D7C" w:rsidRDefault="00C84D7C" w:rsidP="00A94DBB">
      <w:pPr>
        <w:jc w:val="both"/>
        <w:rPr>
          <w:lang w:val="en-CA"/>
        </w:rPr>
      </w:pPr>
      <w:r>
        <w:rPr>
          <w:lang w:val="en-CA"/>
        </w:rPr>
        <w:t>Bouchard</w:t>
      </w:r>
      <w:r w:rsidRPr="00D80D48">
        <w:rPr>
          <w:lang w:val="en-CA"/>
        </w:rPr>
        <w:t xml:space="preserve">, S., Dumoulin, S., Labonté-Chartrand, G., &amp; Robillard, G., &amp; Renaud, P. (2006). Perceived realism has a significant impact on the feeling of presence. Oral presentation at the </w:t>
      </w:r>
      <w:r w:rsidRPr="00A94DBB">
        <w:rPr>
          <w:i/>
          <w:lang w:val="en-CA"/>
        </w:rPr>
        <w:t>11th Annual CyberTherapy Conference 2006</w:t>
      </w:r>
      <w:r w:rsidRPr="00D80D48">
        <w:rPr>
          <w:lang w:val="en-CA"/>
        </w:rPr>
        <w:t>, Gatineau (Québec), June 12-15.</w:t>
      </w:r>
    </w:p>
    <w:p w14:paraId="29028DB9" w14:textId="77777777" w:rsidR="00C84D7C" w:rsidRDefault="00C84D7C" w:rsidP="00A94DBB">
      <w:pPr>
        <w:jc w:val="both"/>
        <w:rPr>
          <w:lang w:val="en-CA"/>
        </w:rPr>
      </w:pPr>
      <w:r>
        <w:rPr>
          <w:lang w:val="en-CA"/>
        </w:rPr>
        <w:t>Bouchard</w:t>
      </w:r>
      <w:r w:rsidRPr="00B02A34">
        <w:rPr>
          <w:lang w:val="en-CA"/>
        </w:rPr>
        <w:t xml:space="preserve">, S., Dumoulin, S., Robillard, G., Guitard, T., Klinger, É., Forget, H., Loranger, C., &amp; Roucaut, F.-X. (2017). Exposure in virtual reality is more effective and efficient than in vivo exposure when using broad range of stimuli for the treatment of social anxiety disorder: A three-arm randomized controlled trial. </w:t>
      </w:r>
      <w:r w:rsidRPr="00A94DBB">
        <w:rPr>
          <w:i/>
          <w:lang w:val="en-CA"/>
        </w:rPr>
        <w:t>British Journal of Psychiatry,</w:t>
      </w:r>
      <w:r w:rsidRPr="00B02A34">
        <w:rPr>
          <w:lang w:val="en-CA"/>
        </w:rPr>
        <w:t xml:space="preserve"> 210(4), 276-283. DOI: 10.1192/bjp.bp.116.184234</w:t>
      </w:r>
    </w:p>
    <w:p w14:paraId="6203B770" w14:textId="77777777" w:rsidR="00C84D7C" w:rsidRDefault="00C84D7C" w:rsidP="00A94DBB">
      <w:pPr>
        <w:jc w:val="both"/>
        <w:rPr>
          <w:lang w:val="en-CA"/>
        </w:rPr>
      </w:pPr>
      <w:r w:rsidRPr="00EC07D7">
        <w:rPr>
          <w:lang w:val="en-CA"/>
        </w:rPr>
        <w:t xml:space="preserve">Bouchard, S., &amp; Labonté-Chartrand, G. (2011). </w:t>
      </w:r>
      <w:r w:rsidRPr="0025546F">
        <w:rPr>
          <w:lang w:val="en-CA"/>
        </w:rPr>
        <w:t xml:space="preserve">Emotions and the emotional valence afforded by the virtual environments. In J.-J. Kim (Ed.) </w:t>
      </w:r>
      <w:r w:rsidRPr="00A94DBB">
        <w:rPr>
          <w:i/>
          <w:lang w:val="en-CA"/>
        </w:rPr>
        <w:t xml:space="preserve">Virtual Reality </w:t>
      </w:r>
      <w:r w:rsidRPr="0025546F">
        <w:rPr>
          <w:lang w:val="en-CA"/>
        </w:rPr>
        <w:t>(pp. 501-514). Croatia: InTech.</w:t>
      </w:r>
    </w:p>
    <w:p w14:paraId="43A13D99" w14:textId="77777777" w:rsidR="00C84D7C" w:rsidRDefault="00C84D7C" w:rsidP="00A94DBB">
      <w:pPr>
        <w:jc w:val="both"/>
        <w:rPr>
          <w:lang w:val="en-CA"/>
        </w:rPr>
      </w:pPr>
      <w:r w:rsidRPr="00C84D7C">
        <w:rPr>
          <w:lang w:val="fr-CA"/>
        </w:rPr>
        <w:t xml:space="preserve">Bouchard, S. Robillard, G., Giroux, I., Jacques, C., Loranger, C., St-Pierre, M., Chrétien, M., &amp; Goulet, A. (2017). </w:t>
      </w:r>
      <w:r w:rsidRPr="00B02A34">
        <w:rPr>
          <w:lang w:val="en-CA"/>
        </w:rPr>
        <w:t xml:space="preserve">Using virtual reality in the treatment of gambling disorder: The development of a new tool to practice cognitive behaviour therapy. </w:t>
      </w:r>
      <w:r w:rsidRPr="00A94DBB">
        <w:rPr>
          <w:i/>
          <w:lang w:val="en-CA"/>
        </w:rPr>
        <w:t>Frontiers in Psychiatry</w:t>
      </w:r>
      <w:r w:rsidRPr="00B02A34">
        <w:rPr>
          <w:lang w:val="en-CA"/>
        </w:rPr>
        <w:t>, 8(27), 10pp. DOI: 10.3389/fpsyt.2017.00027</w:t>
      </w:r>
    </w:p>
    <w:p w14:paraId="1BC4DE5E" w14:textId="77777777" w:rsidR="00C84D7C" w:rsidRPr="00D95F95" w:rsidRDefault="00C84D7C" w:rsidP="00A94DBB">
      <w:pPr>
        <w:jc w:val="both"/>
        <w:rPr>
          <w:lang w:val="en-CA"/>
        </w:rPr>
      </w:pPr>
      <w:r>
        <w:rPr>
          <w:lang w:val="en-CA"/>
        </w:rPr>
        <w:t>Bouchard</w:t>
      </w:r>
      <w:r w:rsidRPr="0025546F">
        <w:rPr>
          <w:lang w:val="en-CA"/>
        </w:rPr>
        <w:t xml:space="preserve">, S., St-Jacques, J., Renaud, P., &amp; Wiederhold, B.K. (2009). Side effects of immersions in virtual reality for people suffering from anxiety disorders. </w:t>
      </w:r>
      <w:r w:rsidRPr="00A94DBB">
        <w:rPr>
          <w:i/>
          <w:lang w:val="en-CA"/>
        </w:rPr>
        <w:t xml:space="preserve">Journal of </w:t>
      </w:r>
      <w:proofErr w:type="spellStart"/>
      <w:r w:rsidRPr="00A94DBB">
        <w:rPr>
          <w:i/>
          <w:lang w:val="en-CA"/>
        </w:rPr>
        <w:t>Cybertherapy</w:t>
      </w:r>
      <w:proofErr w:type="spellEnd"/>
      <w:r w:rsidRPr="00A94DBB">
        <w:rPr>
          <w:i/>
          <w:lang w:val="en-CA"/>
        </w:rPr>
        <w:t xml:space="preserve"> and Rehabilitation</w:t>
      </w:r>
      <w:r w:rsidRPr="00D95F95">
        <w:rPr>
          <w:lang w:val="en-CA"/>
        </w:rPr>
        <w:t>, 2(2), 127-137.</w:t>
      </w:r>
    </w:p>
    <w:p w14:paraId="6A937012" w14:textId="77777777" w:rsidR="00C84D7C" w:rsidRPr="00D95F95" w:rsidRDefault="00C84D7C" w:rsidP="00A94DBB">
      <w:pPr>
        <w:jc w:val="both"/>
        <w:rPr>
          <w:lang w:val="en-CA"/>
        </w:rPr>
      </w:pPr>
      <w:r>
        <w:rPr>
          <w:lang w:val="en-CA"/>
        </w:rPr>
        <w:lastRenderedPageBreak/>
        <w:t>Bouchard</w:t>
      </w:r>
      <w:r w:rsidRPr="0025546F">
        <w:rPr>
          <w:lang w:val="en-CA"/>
        </w:rPr>
        <w:t xml:space="preserve">, S., St-Jacques, J., Robillard, G., &amp; Renaud, P. (2008). Anxiety increases the sense of presence in virtual reality. </w:t>
      </w:r>
      <w:r w:rsidRPr="00A94DBB">
        <w:rPr>
          <w:i/>
          <w:lang w:val="en-CA"/>
        </w:rPr>
        <w:t>Presence: Teleoperators and Virtual Environments</w:t>
      </w:r>
      <w:r w:rsidRPr="00D95F95">
        <w:rPr>
          <w:lang w:val="en-CA"/>
        </w:rPr>
        <w:t>, 4(1), 376-391. DOI: 10.1162/pres.17.4.376</w:t>
      </w:r>
    </w:p>
    <w:p w14:paraId="353F5E06" w14:textId="77777777" w:rsidR="00C84D7C" w:rsidRPr="00D95F95" w:rsidRDefault="00C84D7C" w:rsidP="00A94DBB">
      <w:pPr>
        <w:jc w:val="both"/>
        <w:rPr>
          <w:lang w:val="en-CA"/>
        </w:rPr>
      </w:pPr>
      <w:r w:rsidRPr="0025546F">
        <w:rPr>
          <w:lang w:val="en-CA"/>
        </w:rPr>
        <w:t xml:space="preserve">Côté, S. &amp; </w:t>
      </w:r>
      <w:r>
        <w:rPr>
          <w:lang w:val="en-CA"/>
        </w:rPr>
        <w:t>Bouchard</w:t>
      </w:r>
      <w:r w:rsidRPr="0025546F">
        <w:rPr>
          <w:lang w:val="en-CA"/>
        </w:rPr>
        <w:t xml:space="preserve">, S. (2005). Documenting the efficacy of virtual reality exposure with psychophysiological and information processing measures. </w:t>
      </w:r>
      <w:r w:rsidRPr="00A94DBB">
        <w:rPr>
          <w:i/>
          <w:lang w:val="en-CA"/>
        </w:rPr>
        <w:t>Applied Psychophysiology and Biofeedback,</w:t>
      </w:r>
      <w:r w:rsidRPr="00D95F95">
        <w:rPr>
          <w:lang w:val="en-CA"/>
        </w:rPr>
        <w:t xml:space="preserve"> 30(3), 217-232. DOI: 10.1007/s10484-005-6379-x</w:t>
      </w:r>
    </w:p>
    <w:p w14:paraId="5B06CCD7" w14:textId="77777777" w:rsidR="00C84D7C" w:rsidRDefault="00C84D7C" w:rsidP="00A94DBB">
      <w:pPr>
        <w:jc w:val="both"/>
        <w:rPr>
          <w:lang w:val="en-CA"/>
        </w:rPr>
      </w:pPr>
      <w:r w:rsidRPr="00B646F8">
        <w:rPr>
          <w:lang w:val="en-CA"/>
        </w:rPr>
        <w:t xml:space="preserve">Dumoulin, S., Gougeon, V., Loranger, C., &amp; </w:t>
      </w:r>
      <w:r>
        <w:rPr>
          <w:lang w:val="en-CA"/>
        </w:rPr>
        <w:t>Bouchard</w:t>
      </w:r>
      <w:r w:rsidRPr="00B646F8">
        <w:rPr>
          <w:lang w:val="en-CA"/>
        </w:rPr>
        <w:t xml:space="preserve">, S. (2011). Are distraction and attention the main variables in pain management: An experimental study using a cold-pressor test and virtual reality. Poster presentation at the </w:t>
      </w:r>
      <w:r w:rsidRPr="00A94DBB">
        <w:rPr>
          <w:i/>
          <w:lang w:val="en-CA"/>
        </w:rPr>
        <w:t>45th Annual Convention of the Association for Behavioral and Cognitive Therapy (ABCT)</w:t>
      </w:r>
      <w:r w:rsidRPr="00B646F8">
        <w:rPr>
          <w:lang w:val="en-CA"/>
        </w:rPr>
        <w:t>, Toronto, November 10-13.</w:t>
      </w:r>
    </w:p>
    <w:p w14:paraId="2EED4AF1" w14:textId="77777777" w:rsidR="00C84D7C" w:rsidRPr="00D80D48" w:rsidRDefault="00C84D7C" w:rsidP="00A94DBB">
      <w:pPr>
        <w:jc w:val="both"/>
        <w:rPr>
          <w:lang w:val="en-CA"/>
        </w:rPr>
      </w:pPr>
      <w:r w:rsidRPr="001D3083">
        <w:rPr>
          <w:lang w:val="en-CA"/>
        </w:rPr>
        <w:t xml:space="preserve">Guitard, T., &amp; </w:t>
      </w:r>
      <w:r>
        <w:rPr>
          <w:lang w:val="en-CA"/>
        </w:rPr>
        <w:t>Bouchard</w:t>
      </w:r>
      <w:r w:rsidRPr="001D3083">
        <w:rPr>
          <w:lang w:val="en-CA"/>
        </w:rPr>
        <w:t xml:space="preserve">, S. (2006). Failure to influence presence by manipulating narrative content. Poster presentation at the </w:t>
      </w:r>
      <w:r w:rsidRPr="00A94DBB">
        <w:rPr>
          <w:i/>
          <w:lang w:val="en-CA"/>
        </w:rPr>
        <w:t>11th Annual CyberTherapy Conference 2006,</w:t>
      </w:r>
      <w:r w:rsidRPr="001D3083">
        <w:rPr>
          <w:lang w:val="en-CA"/>
        </w:rPr>
        <w:t xml:space="preserve"> Gatineau (Québec), June 12-15.</w:t>
      </w:r>
    </w:p>
    <w:p w14:paraId="6060DC89" w14:textId="77777777" w:rsidR="00C84D7C" w:rsidRDefault="00C84D7C" w:rsidP="00A94DBB">
      <w:pPr>
        <w:jc w:val="both"/>
        <w:rPr>
          <w:lang w:val="en-CA"/>
        </w:rPr>
      </w:pPr>
      <w:r w:rsidRPr="00F73C4B">
        <w:rPr>
          <w:lang w:val="en-CA"/>
        </w:rPr>
        <w:t xml:space="preserve">Guitard, T., </w:t>
      </w:r>
      <w:r>
        <w:rPr>
          <w:lang w:val="en-CA"/>
        </w:rPr>
        <w:t>Bouchard</w:t>
      </w:r>
      <w:r w:rsidRPr="00F73C4B">
        <w:rPr>
          <w:lang w:val="en-CA"/>
        </w:rPr>
        <w:t xml:space="preserve">, S., Bélanger, C., &amp; Berthiaume, M. (2019). Exposure to a standardized catastrophic scenario in virtual reality on a personalized scenario in imagination for generalized anxiety disorder. </w:t>
      </w:r>
      <w:r w:rsidRPr="00A94DBB">
        <w:rPr>
          <w:i/>
          <w:lang w:val="en-CA"/>
        </w:rPr>
        <w:t xml:space="preserve">Journal of Clinical </w:t>
      </w:r>
      <w:proofErr w:type="spellStart"/>
      <w:r w:rsidRPr="00A94DBB">
        <w:rPr>
          <w:i/>
          <w:lang w:val="en-CA"/>
        </w:rPr>
        <w:t>Medecine</w:t>
      </w:r>
      <w:proofErr w:type="spellEnd"/>
      <w:r w:rsidRPr="00F73C4B">
        <w:rPr>
          <w:lang w:val="en-CA"/>
        </w:rPr>
        <w:t>, 8(309), DOI</w:t>
      </w:r>
      <w:proofErr w:type="gramStart"/>
      <w:r w:rsidRPr="00F73C4B">
        <w:rPr>
          <w:lang w:val="en-CA"/>
        </w:rPr>
        <w:t>:10.3390</w:t>
      </w:r>
      <w:proofErr w:type="gramEnd"/>
      <w:r w:rsidRPr="00F73C4B">
        <w:rPr>
          <w:lang w:val="en-CA"/>
        </w:rPr>
        <w:t>/jcm8030309</w:t>
      </w:r>
    </w:p>
    <w:p w14:paraId="7EF95D91" w14:textId="77777777" w:rsidR="00C84D7C" w:rsidRPr="00A94DBB" w:rsidRDefault="00C84D7C" w:rsidP="00A94DBB">
      <w:pPr>
        <w:jc w:val="both"/>
        <w:rPr>
          <w:i/>
        </w:rPr>
      </w:pPr>
      <w:r w:rsidRPr="00744395">
        <w:rPr>
          <w:lang w:val="en-CA"/>
        </w:rPr>
        <w:t xml:space="preserve">Hajjar, A., </w:t>
      </w:r>
      <w:r>
        <w:rPr>
          <w:lang w:val="en-CA"/>
        </w:rPr>
        <w:t>Bouchard</w:t>
      </w:r>
      <w:r w:rsidRPr="00744395">
        <w:rPr>
          <w:lang w:val="en-CA"/>
        </w:rPr>
        <w:t xml:space="preserve">, S., Loranger, C., &amp; Berthiaume, M. (2020). The efficacy of performing tasks in virtual reality that are infeasible in vivo: a clinical trial with acrophobia sufferers. </w:t>
      </w:r>
      <w:r w:rsidRPr="00A94DBB">
        <w:rPr>
          <w:i/>
          <w:lang w:val="en-CA"/>
        </w:rPr>
        <w:t xml:space="preserve">Cypsy25 </w:t>
      </w:r>
      <w:proofErr w:type="spellStart"/>
      <w:r w:rsidRPr="00A94DBB">
        <w:rPr>
          <w:i/>
          <w:lang w:val="en-CA"/>
        </w:rPr>
        <w:t>Conf</w:t>
      </w:r>
      <w:r w:rsidRPr="00A94DBB">
        <w:rPr>
          <w:i/>
        </w:rPr>
        <w:t>erence</w:t>
      </w:r>
      <w:proofErr w:type="spellEnd"/>
      <w:r w:rsidRPr="00A94DBB">
        <w:rPr>
          <w:i/>
        </w:rPr>
        <w:t>.</w:t>
      </w:r>
    </w:p>
    <w:p w14:paraId="3F876FCC" w14:textId="77777777" w:rsidR="00C84D7C" w:rsidRDefault="00C84D7C" w:rsidP="00A94DBB">
      <w:pPr>
        <w:jc w:val="both"/>
      </w:pPr>
      <w:r w:rsidRPr="00865F0C">
        <w:rPr>
          <w:lang w:val="fr-CA"/>
        </w:rPr>
        <w:t xml:space="preserve">Laforest, M., Bouchard, S., Crétu, A.-M., &amp; Mesly, O. (2016). </w:t>
      </w:r>
      <w:r w:rsidRPr="0025546F">
        <w:rPr>
          <w:lang w:val="en-CA"/>
        </w:rPr>
        <w:t xml:space="preserve">Inducing an anxiety response using a contaminated virtual environment: Validation of a therapeutic tool for obsessive-compulsive disorder. </w:t>
      </w:r>
      <w:r w:rsidRPr="00A94DBB">
        <w:rPr>
          <w:i/>
          <w:lang w:val="en-CA"/>
        </w:rPr>
        <w:t>Frontiers in ICT</w:t>
      </w:r>
      <w:r w:rsidRPr="0019343B">
        <w:rPr>
          <w:lang w:val="en-CA"/>
        </w:rPr>
        <w:t xml:space="preserve">, 3(18), 1-11. </w:t>
      </w:r>
      <w:proofErr w:type="gramStart"/>
      <w:r w:rsidRPr="0019343B">
        <w:rPr>
          <w:lang w:val="en-CA"/>
        </w:rPr>
        <w:t>doi</w:t>
      </w:r>
      <w:proofErr w:type="gramEnd"/>
      <w:r w:rsidRPr="0019343B">
        <w:rPr>
          <w:lang w:val="en-CA"/>
        </w:rPr>
        <w:t>: 10.3389/fict.2016.00018.</w:t>
      </w:r>
    </w:p>
    <w:p w14:paraId="49D8C325" w14:textId="77777777" w:rsidR="00C84D7C" w:rsidRPr="00D80D48" w:rsidRDefault="00C84D7C" w:rsidP="00A94DBB">
      <w:pPr>
        <w:jc w:val="both"/>
        <w:rPr>
          <w:lang w:val="en-CA"/>
        </w:rPr>
      </w:pPr>
      <w:r w:rsidRPr="0019343B">
        <w:rPr>
          <w:lang w:val="en-CA"/>
        </w:rPr>
        <w:t xml:space="preserve">Michaud, M., Bouchard, S., Dumoulin, S., &amp; Zhong, X.-W. (2004). </w:t>
      </w:r>
      <w:r w:rsidRPr="00D80D48">
        <w:rPr>
          <w:lang w:val="en-CA"/>
        </w:rPr>
        <w:t xml:space="preserve">Manipulating presence and its impact on anxiety. Poster presentation at the </w:t>
      </w:r>
      <w:proofErr w:type="spellStart"/>
      <w:r w:rsidRPr="00A94DBB">
        <w:rPr>
          <w:i/>
          <w:lang w:val="en-CA"/>
        </w:rPr>
        <w:t>Cybertherapy</w:t>
      </w:r>
      <w:proofErr w:type="spellEnd"/>
      <w:r w:rsidRPr="00A94DBB">
        <w:rPr>
          <w:i/>
          <w:lang w:val="en-CA"/>
        </w:rPr>
        <w:t xml:space="preserve"> Conference 2004</w:t>
      </w:r>
      <w:r w:rsidRPr="00D80D48">
        <w:rPr>
          <w:lang w:val="en-CA"/>
        </w:rPr>
        <w:t>, San Diego, January 10-12.</w:t>
      </w:r>
    </w:p>
    <w:p w14:paraId="1BC33AB6" w14:textId="77777777" w:rsidR="00C84D7C" w:rsidRDefault="00C84D7C" w:rsidP="00A94DBB">
      <w:pPr>
        <w:jc w:val="both"/>
        <w:rPr>
          <w:lang w:val="en-CA"/>
        </w:rPr>
      </w:pPr>
      <w:r w:rsidRPr="00D95F95">
        <w:rPr>
          <w:lang w:val="en-CA"/>
        </w:rPr>
        <w:t xml:space="preserve">Quintana, P., Nolet, K., Baus, O., &amp; Bouchard, S. (2019). </w:t>
      </w:r>
      <w:r w:rsidRPr="006E4903">
        <w:rPr>
          <w:lang w:val="en-CA"/>
        </w:rPr>
        <w:t xml:space="preserve">The effect of exposure to fear-related body odorants on anxiety and interpersonal trust toward a virtual character. </w:t>
      </w:r>
      <w:r w:rsidRPr="00A94DBB">
        <w:rPr>
          <w:i/>
          <w:lang w:val="en-CA"/>
        </w:rPr>
        <w:t>Chemical Senses</w:t>
      </w:r>
      <w:r w:rsidRPr="006E4903">
        <w:rPr>
          <w:lang w:val="en-CA"/>
        </w:rPr>
        <w:t>, 44(9), 683-692. DOI: 10.1093/</w:t>
      </w:r>
      <w:proofErr w:type="spellStart"/>
      <w:r w:rsidRPr="006E4903">
        <w:rPr>
          <w:lang w:val="en-CA"/>
        </w:rPr>
        <w:t>chemse</w:t>
      </w:r>
      <w:proofErr w:type="spellEnd"/>
      <w:r w:rsidRPr="006E4903">
        <w:rPr>
          <w:lang w:val="en-CA"/>
        </w:rPr>
        <w:t>/bjz063</w:t>
      </w:r>
    </w:p>
    <w:p w14:paraId="2BB00A8C" w14:textId="77777777" w:rsidR="00C84D7C" w:rsidRPr="00D95F95" w:rsidRDefault="00C84D7C" w:rsidP="00A94DBB">
      <w:pPr>
        <w:jc w:val="both"/>
        <w:rPr>
          <w:lang w:val="en-CA"/>
        </w:rPr>
      </w:pPr>
      <w:r w:rsidRPr="0025546F">
        <w:rPr>
          <w:lang w:val="en-CA"/>
        </w:rPr>
        <w:t xml:space="preserve">Robillard, G.,   </w:t>
      </w:r>
      <w:r>
        <w:rPr>
          <w:lang w:val="en-CA"/>
        </w:rPr>
        <w:t>Bouchard</w:t>
      </w:r>
      <w:r w:rsidRPr="0025546F">
        <w:rPr>
          <w:lang w:val="en-CA"/>
        </w:rPr>
        <w:t xml:space="preserve">, S., Fournier, T., &amp; Renaud, P. (2003). Anxiety and presence during VR immersion: A comparative study of the reactions of phobic and non-phobic participants in therapeutic virtual environments derived from computer games. </w:t>
      </w:r>
      <w:r w:rsidRPr="00A94DBB">
        <w:rPr>
          <w:i/>
          <w:lang w:val="en-CA"/>
        </w:rPr>
        <w:t>CyberPsychology and Behavior</w:t>
      </w:r>
      <w:r w:rsidRPr="00D95F95">
        <w:rPr>
          <w:lang w:val="en-CA"/>
        </w:rPr>
        <w:t>, 6(5), 467-476. DOI: 10.1089/109493103769710497</w:t>
      </w:r>
    </w:p>
    <w:p w14:paraId="1B9159B4" w14:textId="77777777" w:rsidR="00C84D7C" w:rsidRDefault="00C84D7C" w:rsidP="00A94DBB">
      <w:pPr>
        <w:jc w:val="both"/>
        <w:rPr>
          <w:lang w:val="en-CA"/>
        </w:rPr>
      </w:pPr>
      <w:r w:rsidRPr="007F2B1F">
        <w:rPr>
          <w:lang w:val="en-CA"/>
        </w:rPr>
        <w:t>Tardif, N., Therr</w:t>
      </w:r>
      <w:bookmarkStart w:id="0" w:name="_GoBack"/>
      <w:bookmarkEnd w:id="0"/>
      <w:r w:rsidRPr="007F2B1F">
        <w:rPr>
          <w:lang w:val="en-CA"/>
        </w:rPr>
        <w:t xml:space="preserve">ien, C.-É., </w:t>
      </w:r>
      <w:r>
        <w:rPr>
          <w:lang w:val="en-CA"/>
        </w:rPr>
        <w:t>Bouchard</w:t>
      </w:r>
      <w:r w:rsidRPr="007F2B1F">
        <w:rPr>
          <w:lang w:val="en-CA"/>
        </w:rPr>
        <w:t xml:space="preserve">, S. (2019). Re-examining psychological mechanisms underlying virtual reality-based exposure for spider phobia. </w:t>
      </w:r>
      <w:r w:rsidRPr="00A94DBB">
        <w:rPr>
          <w:i/>
          <w:lang w:val="en-CA"/>
        </w:rPr>
        <w:t xml:space="preserve">Cyberpsychology, Behavior, and Social Networking, </w:t>
      </w:r>
      <w:r w:rsidRPr="007F2B1F">
        <w:rPr>
          <w:lang w:val="en-CA"/>
        </w:rPr>
        <w:t>22(1), 39-45. DOI: 10.1089/cyber.2017.0711</w:t>
      </w:r>
    </w:p>
    <w:p w14:paraId="4CFC6ACB" w14:textId="1296E1F3" w:rsidR="00C84D7C" w:rsidRPr="00C84D7C" w:rsidRDefault="00C84D7C" w:rsidP="00A94DBB">
      <w:pPr>
        <w:jc w:val="both"/>
        <w:rPr>
          <w:bCs/>
        </w:rPr>
      </w:pPr>
      <w:r>
        <w:rPr>
          <w:bCs/>
        </w:rPr>
        <w:t xml:space="preserve">  </w:t>
      </w:r>
    </w:p>
    <w:sectPr w:rsidR="00C84D7C" w:rsidRPr="00C84D7C" w:rsidSect="00AC3960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DE34" w14:textId="77777777" w:rsidR="00363AD5" w:rsidRDefault="00363AD5" w:rsidP="00117666">
      <w:pPr>
        <w:spacing w:after="0"/>
      </w:pPr>
      <w:r>
        <w:separator/>
      </w:r>
    </w:p>
  </w:endnote>
  <w:endnote w:type="continuationSeparator" w:id="0">
    <w:p w14:paraId="4FAE2237" w14:textId="77777777" w:rsidR="00363AD5" w:rsidRDefault="00363AD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E4CF89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4DB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E4CF89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94DBB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8894E5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4DB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8894E5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94DBB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7114" w14:textId="77777777" w:rsidR="00363AD5" w:rsidRDefault="00363AD5" w:rsidP="00117666">
      <w:pPr>
        <w:spacing w:after="0"/>
      </w:pPr>
      <w:r>
        <w:separator/>
      </w:r>
    </w:p>
  </w:footnote>
  <w:footnote w:type="continuationSeparator" w:id="0">
    <w:p w14:paraId="42DB76CE" w14:textId="77777777" w:rsidR="00363AD5" w:rsidRDefault="00363AD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0719"/>
    <w:rsid w:val="0001436A"/>
    <w:rsid w:val="00034304"/>
    <w:rsid w:val="00035434"/>
    <w:rsid w:val="00052A14"/>
    <w:rsid w:val="00077D53"/>
    <w:rsid w:val="00081284"/>
    <w:rsid w:val="00097B15"/>
    <w:rsid w:val="000A6B53"/>
    <w:rsid w:val="000B60E5"/>
    <w:rsid w:val="00105FD9"/>
    <w:rsid w:val="00114302"/>
    <w:rsid w:val="00117666"/>
    <w:rsid w:val="001549D3"/>
    <w:rsid w:val="00160065"/>
    <w:rsid w:val="00177D84"/>
    <w:rsid w:val="0019343B"/>
    <w:rsid w:val="00267D18"/>
    <w:rsid w:val="00274347"/>
    <w:rsid w:val="002868E2"/>
    <w:rsid w:val="002869C3"/>
    <w:rsid w:val="002936E4"/>
    <w:rsid w:val="002B4A57"/>
    <w:rsid w:val="002C5483"/>
    <w:rsid w:val="002C74CA"/>
    <w:rsid w:val="003123F4"/>
    <w:rsid w:val="00340861"/>
    <w:rsid w:val="003544FB"/>
    <w:rsid w:val="00363AD5"/>
    <w:rsid w:val="00396A82"/>
    <w:rsid w:val="003D2F2D"/>
    <w:rsid w:val="003E2395"/>
    <w:rsid w:val="00401590"/>
    <w:rsid w:val="00404711"/>
    <w:rsid w:val="00447801"/>
    <w:rsid w:val="00452E9C"/>
    <w:rsid w:val="004735C8"/>
    <w:rsid w:val="004947A6"/>
    <w:rsid w:val="004961FF"/>
    <w:rsid w:val="00496206"/>
    <w:rsid w:val="004B6C51"/>
    <w:rsid w:val="004C69EE"/>
    <w:rsid w:val="00517A89"/>
    <w:rsid w:val="005250F2"/>
    <w:rsid w:val="005627A1"/>
    <w:rsid w:val="00593EEA"/>
    <w:rsid w:val="005A5D18"/>
    <w:rsid w:val="005A5EEE"/>
    <w:rsid w:val="005D45E8"/>
    <w:rsid w:val="006375C7"/>
    <w:rsid w:val="00654E8F"/>
    <w:rsid w:val="00660D05"/>
    <w:rsid w:val="006820B1"/>
    <w:rsid w:val="006A3323"/>
    <w:rsid w:val="006B7D14"/>
    <w:rsid w:val="00701727"/>
    <w:rsid w:val="0070566C"/>
    <w:rsid w:val="00714C50"/>
    <w:rsid w:val="00725A7D"/>
    <w:rsid w:val="007501BE"/>
    <w:rsid w:val="007505C1"/>
    <w:rsid w:val="00790BB3"/>
    <w:rsid w:val="00796694"/>
    <w:rsid w:val="007C206C"/>
    <w:rsid w:val="007E033E"/>
    <w:rsid w:val="007F2126"/>
    <w:rsid w:val="00817DD6"/>
    <w:rsid w:val="0083759F"/>
    <w:rsid w:val="00862939"/>
    <w:rsid w:val="00865F0C"/>
    <w:rsid w:val="00885156"/>
    <w:rsid w:val="008D2984"/>
    <w:rsid w:val="009151AA"/>
    <w:rsid w:val="0093429D"/>
    <w:rsid w:val="00943573"/>
    <w:rsid w:val="0095079D"/>
    <w:rsid w:val="00964134"/>
    <w:rsid w:val="00970F7D"/>
    <w:rsid w:val="00994A3D"/>
    <w:rsid w:val="009A75F4"/>
    <w:rsid w:val="009C2B12"/>
    <w:rsid w:val="00A174D9"/>
    <w:rsid w:val="00A94DBB"/>
    <w:rsid w:val="00AA4D24"/>
    <w:rsid w:val="00AB6715"/>
    <w:rsid w:val="00AC1D78"/>
    <w:rsid w:val="00AC3960"/>
    <w:rsid w:val="00B1671E"/>
    <w:rsid w:val="00B1683F"/>
    <w:rsid w:val="00B25EB8"/>
    <w:rsid w:val="00B37F4D"/>
    <w:rsid w:val="00B454A9"/>
    <w:rsid w:val="00B83E4B"/>
    <w:rsid w:val="00BD06C1"/>
    <w:rsid w:val="00BD2A5E"/>
    <w:rsid w:val="00BD495D"/>
    <w:rsid w:val="00C52A7B"/>
    <w:rsid w:val="00C56BAF"/>
    <w:rsid w:val="00C679AA"/>
    <w:rsid w:val="00C75972"/>
    <w:rsid w:val="00C84D7C"/>
    <w:rsid w:val="00CD066B"/>
    <w:rsid w:val="00CE4FEE"/>
    <w:rsid w:val="00D060CF"/>
    <w:rsid w:val="00D3029A"/>
    <w:rsid w:val="00D31D27"/>
    <w:rsid w:val="00D33C2F"/>
    <w:rsid w:val="00DB1FC8"/>
    <w:rsid w:val="00DB59C3"/>
    <w:rsid w:val="00DC259A"/>
    <w:rsid w:val="00DE23E8"/>
    <w:rsid w:val="00E4787A"/>
    <w:rsid w:val="00E52377"/>
    <w:rsid w:val="00E537AD"/>
    <w:rsid w:val="00E64E17"/>
    <w:rsid w:val="00E8315D"/>
    <w:rsid w:val="00E866C9"/>
    <w:rsid w:val="00EA3D3C"/>
    <w:rsid w:val="00EC090A"/>
    <w:rsid w:val="00ED20B5"/>
    <w:rsid w:val="00F439AF"/>
    <w:rsid w:val="00F46900"/>
    <w:rsid w:val="00F61D89"/>
    <w:rsid w:val="00F630E0"/>
    <w:rsid w:val="00F83874"/>
    <w:rsid w:val="00F852EF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494D11-3B3C-4480-9559-41F1D4B7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6</Pages>
  <Words>1766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Bouchard, Stéphane</cp:lastModifiedBy>
  <cp:revision>4</cp:revision>
  <cp:lastPrinted>2013-10-03T12:51:00Z</cp:lastPrinted>
  <dcterms:created xsi:type="dcterms:W3CDTF">2021-10-08T14:07:00Z</dcterms:created>
  <dcterms:modified xsi:type="dcterms:W3CDTF">2021-10-08T14:11:00Z</dcterms:modified>
</cp:coreProperties>
</file>