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002BF" w14:textId="77777777" w:rsidR="00B47ABD" w:rsidRDefault="0043064B">
      <w:pPr>
        <w:spacing w:line="480" w:lineRule="auto"/>
        <w:rPr>
          <w:b/>
          <w:bCs/>
          <w:kern w:val="28"/>
          <w:sz w:val="24"/>
          <w:szCs w:val="24"/>
          <w:lang w:eastAsia="zh-CN"/>
        </w:rPr>
      </w:pPr>
      <w:r>
        <w:rPr>
          <w:rFonts w:eastAsia="Times New Roman"/>
          <w:b/>
          <w:bCs/>
          <w:kern w:val="28"/>
          <w:sz w:val="28"/>
          <w:szCs w:val="28"/>
        </w:rPr>
        <w:t xml:space="preserve">Supplemental </w:t>
      </w:r>
      <w:r>
        <w:rPr>
          <w:rFonts w:eastAsia="Times New Roman" w:hint="eastAsia"/>
          <w:b/>
          <w:bCs/>
          <w:kern w:val="28"/>
          <w:sz w:val="28"/>
          <w:szCs w:val="28"/>
        </w:rPr>
        <w:t>Figures</w:t>
      </w:r>
      <w:r>
        <w:rPr>
          <w:b/>
          <w:bCs/>
          <w:noProof/>
          <w:kern w:val="28"/>
          <w:sz w:val="24"/>
          <w:szCs w:val="24"/>
          <w:lang w:eastAsia="zh-CN"/>
        </w:rPr>
        <w:drawing>
          <wp:inline distT="0" distB="0" distL="0" distR="0" wp14:anchorId="72FC94EB" wp14:editId="5EE9F042">
            <wp:extent cx="5540375" cy="3498850"/>
            <wp:effectExtent l="0" t="0" r="317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40400" cy="349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1E629DD" w14:textId="77777777" w:rsidR="00B47ABD" w:rsidRDefault="0043064B">
      <w:pPr>
        <w:spacing w:line="480" w:lineRule="auto"/>
        <w:jc w:val="both"/>
        <w:rPr>
          <w:kern w:val="28"/>
          <w:sz w:val="24"/>
          <w:szCs w:val="24"/>
          <w:lang w:eastAsia="zh-CN"/>
        </w:rPr>
      </w:pPr>
      <w:r>
        <w:rPr>
          <w:b/>
          <w:bCs/>
          <w:kern w:val="28"/>
          <w:sz w:val="24"/>
          <w:szCs w:val="24"/>
          <w:lang w:eastAsia="zh-CN"/>
        </w:rPr>
        <w:t xml:space="preserve">Fig. S1. Lower miR-31 level is associated with higher expression of genes involved in T cell activation and proliferation, cell cycling and cell death </w:t>
      </w:r>
      <w:r>
        <w:rPr>
          <w:b/>
          <w:bCs/>
          <w:i/>
          <w:iCs/>
          <w:kern w:val="28"/>
          <w:sz w:val="24"/>
          <w:szCs w:val="24"/>
          <w:lang w:eastAsia="zh-CN"/>
        </w:rPr>
        <w:t>in vivo</w:t>
      </w:r>
      <w:r>
        <w:rPr>
          <w:b/>
          <w:bCs/>
          <w:kern w:val="28"/>
          <w:sz w:val="24"/>
          <w:szCs w:val="24"/>
          <w:lang w:eastAsia="zh-CN"/>
        </w:rPr>
        <w:t xml:space="preserve">. </w:t>
      </w:r>
      <w:r>
        <w:rPr>
          <w:kern w:val="28"/>
          <w:sz w:val="24"/>
          <w:szCs w:val="24"/>
          <w:lang w:eastAsia="zh-CN"/>
        </w:rPr>
        <w:t>Blood miR-31 levels were quantified for 30 HIV-1 infected individuals, 8 individuals with highest miR-31 expression (miR-31high) and 8 individuals with the lowest miR-31 expression (miR-31low) were selected as miR-31high group and miR-3low group (P &lt; 0.001 for the difference in miR-31 levels between the two groups, fold change = 23.47). Shown are GO analyses of differentially expressed genes between the two groups. “Red star” indicates log10 (P), the height of “black bar” represents gene numbers enriched in each GO category.</w:t>
      </w:r>
    </w:p>
    <w:p w14:paraId="75E0B9E8" w14:textId="77777777" w:rsidR="00B47ABD" w:rsidRDefault="0043064B">
      <w:pPr>
        <w:rPr>
          <w:kern w:val="28"/>
          <w:sz w:val="24"/>
          <w:szCs w:val="24"/>
          <w:lang w:eastAsia="zh-CN"/>
        </w:rPr>
      </w:pPr>
      <w:r>
        <w:rPr>
          <w:kern w:val="28"/>
          <w:sz w:val="24"/>
          <w:szCs w:val="24"/>
          <w:lang w:eastAsia="zh-CN"/>
        </w:rPr>
        <w:br w:type="page"/>
      </w:r>
    </w:p>
    <w:p w14:paraId="4948E315" w14:textId="77777777" w:rsidR="00B47ABD" w:rsidRDefault="0043064B">
      <w:pPr>
        <w:rPr>
          <w:b/>
          <w:bCs/>
          <w:kern w:val="28"/>
          <w:sz w:val="24"/>
          <w:szCs w:val="24"/>
          <w:lang w:eastAsia="zh-CN"/>
        </w:rPr>
      </w:pPr>
      <w:r>
        <w:rPr>
          <w:noProof/>
          <w:kern w:val="28"/>
          <w:sz w:val="24"/>
          <w:szCs w:val="24"/>
          <w:lang w:eastAsia="zh-CN"/>
        </w:rPr>
        <w:lastRenderedPageBreak/>
        <w:drawing>
          <wp:anchor distT="0" distB="0" distL="114300" distR="114300" simplePos="0" relativeHeight="251658240" behindDoc="0" locked="0" layoutInCell="1" allowOverlap="1" wp14:anchorId="4FB2FB9A" wp14:editId="206B24CE">
            <wp:simplePos x="0" y="0"/>
            <wp:positionH relativeFrom="column">
              <wp:posOffset>0</wp:posOffset>
            </wp:positionH>
            <wp:positionV relativeFrom="paragraph">
              <wp:posOffset>131445</wp:posOffset>
            </wp:positionV>
            <wp:extent cx="5636260" cy="3208655"/>
            <wp:effectExtent l="0" t="0" r="0" b="0"/>
            <wp:wrapTopAndBottom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36220" cy="320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C3C7978" w14:textId="77777777" w:rsidR="00B47ABD" w:rsidRDefault="00B47ABD">
      <w:pPr>
        <w:rPr>
          <w:b/>
          <w:bCs/>
          <w:kern w:val="28"/>
          <w:sz w:val="24"/>
          <w:szCs w:val="24"/>
          <w:lang w:eastAsia="zh-CN"/>
        </w:rPr>
      </w:pPr>
    </w:p>
    <w:p w14:paraId="070CA619" w14:textId="70D9300D" w:rsidR="00B47ABD" w:rsidRDefault="0043064B">
      <w:pPr>
        <w:spacing w:line="360" w:lineRule="auto"/>
        <w:rPr>
          <w:kern w:val="28"/>
          <w:sz w:val="24"/>
          <w:szCs w:val="24"/>
          <w:lang w:eastAsia="zh-CN"/>
        </w:rPr>
      </w:pPr>
      <w:r>
        <w:rPr>
          <w:b/>
          <w:bCs/>
          <w:kern w:val="28"/>
          <w:sz w:val="24"/>
          <w:szCs w:val="24"/>
          <w:lang w:eastAsia="zh-CN"/>
        </w:rPr>
        <w:t>Fig. S2.</w:t>
      </w:r>
      <w:r>
        <w:rPr>
          <w:rFonts w:eastAsia="DengXian" w:cstheme="minorBidi"/>
          <w:b/>
          <w:bCs/>
          <w:color w:val="000000" w:themeColor="text1"/>
          <w:kern w:val="28"/>
          <w:sz w:val="36"/>
          <w:szCs w:val="36"/>
        </w:rPr>
        <w:t xml:space="preserve"> </w:t>
      </w:r>
      <w:r w:rsidR="00091ECA" w:rsidRPr="00091ECA">
        <w:rPr>
          <w:b/>
          <w:bCs/>
          <w:sz w:val="24"/>
          <w:szCs w:val="24"/>
          <w:lang w:eastAsia="zh-CN"/>
        </w:rPr>
        <w:t>MiR-31 knockdown efficiency in naïve CD4 T cell</w:t>
      </w:r>
      <w:r w:rsidR="00091ECA" w:rsidRPr="00091ECA">
        <w:rPr>
          <w:sz w:val="24"/>
          <w:szCs w:val="24"/>
          <w:lang w:eastAsia="zh-CN"/>
        </w:rPr>
        <w:t xml:space="preserve">. (A) Representative plots to illustrate gating strategy used to identify naïve CD4 T cells. (B) Knockdown efficiency of miR-31 in purified naïve CD4 T cells 48 </w:t>
      </w:r>
      <w:proofErr w:type="spellStart"/>
      <w:r w:rsidR="00091ECA" w:rsidRPr="00091ECA">
        <w:rPr>
          <w:sz w:val="24"/>
          <w:szCs w:val="24"/>
          <w:lang w:eastAsia="zh-CN"/>
        </w:rPr>
        <w:t>hrs</w:t>
      </w:r>
      <w:proofErr w:type="spellEnd"/>
      <w:r w:rsidR="00091ECA" w:rsidRPr="00091ECA">
        <w:rPr>
          <w:sz w:val="24"/>
          <w:szCs w:val="24"/>
          <w:lang w:eastAsia="zh-CN"/>
        </w:rPr>
        <w:t xml:space="preserve"> after antagomir-31 transfection, assessed by quantitative RT-PCR.</w:t>
      </w:r>
    </w:p>
    <w:p w14:paraId="0B4CB4B9" w14:textId="77777777" w:rsidR="00B47ABD" w:rsidRDefault="00B47ABD">
      <w:pPr>
        <w:rPr>
          <w:kern w:val="28"/>
          <w:sz w:val="24"/>
          <w:szCs w:val="24"/>
          <w:lang w:eastAsia="zh-CN"/>
        </w:rPr>
      </w:pPr>
    </w:p>
    <w:p w14:paraId="18BDD40F" w14:textId="77777777" w:rsidR="00B47ABD" w:rsidRDefault="0043064B">
      <w:pPr>
        <w:rPr>
          <w:kern w:val="28"/>
          <w:sz w:val="24"/>
          <w:szCs w:val="24"/>
          <w:lang w:eastAsia="zh-CN"/>
        </w:rPr>
      </w:pPr>
      <w:r>
        <w:rPr>
          <w:kern w:val="28"/>
          <w:sz w:val="24"/>
          <w:szCs w:val="24"/>
          <w:lang w:eastAsia="zh-CN"/>
        </w:rPr>
        <w:br w:type="page"/>
      </w:r>
    </w:p>
    <w:p w14:paraId="457CF56D" w14:textId="77777777" w:rsidR="00B47ABD" w:rsidRDefault="0043064B">
      <w:pPr>
        <w:rPr>
          <w:kern w:val="28"/>
          <w:sz w:val="24"/>
          <w:szCs w:val="24"/>
          <w:lang w:eastAsia="zh-CN"/>
        </w:rPr>
      </w:pPr>
      <w:r>
        <w:rPr>
          <w:noProof/>
          <w:kern w:val="28"/>
          <w:sz w:val="24"/>
          <w:szCs w:val="24"/>
          <w:lang w:eastAsia="zh-CN"/>
        </w:rPr>
        <w:lastRenderedPageBreak/>
        <w:drawing>
          <wp:inline distT="0" distB="0" distL="114300" distR="114300" wp14:anchorId="496FAEDA" wp14:editId="5EAE74F1">
            <wp:extent cx="5936615" cy="2152650"/>
            <wp:effectExtent l="0" t="0" r="6985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 rotWithShape="1">
                    <a:blip r:embed="rId9"/>
                    <a:srcRect b="35747"/>
                    <a:stretch/>
                  </pic:blipFill>
                  <pic:spPr bwMode="auto">
                    <a:xfrm>
                      <a:off x="0" y="0"/>
                      <a:ext cx="5936615" cy="2152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5E0365B" w14:textId="77777777" w:rsidR="00B47ABD" w:rsidRDefault="00B47ABD">
      <w:pPr>
        <w:rPr>
          <w:kern w:val="28"/>
          <w:sz w:val="24"/>
          <w:szCs w:val="24"/>
          <w:lang w:eastAsia="zh-CN"/>
        </w:rPr>
      </w:pPr>
    </w:p>
    <w:p w14:paraId="33D2B846" w14:textId="10C89057" w:rsidR="0043064B" w:rsidRDefault="0043064B" w:rsidP="0043064B">
      <w:pPr>
        <w:pStyle w:val="Legend"/>
        <w:spacing w:line="360" w:lineRule="auto"/>
        <w:jc w:val="both"/>
      </w:pPr>
      <w:r w:rsidRPr="0043064B">
        <w:rPr>
          <w:b/>
          <w:bCs/>
          <w:lang w:eastAsia="zh-CN"/>
        </w:rPr>
        <w:t>Fig. S3.</w:t>
      </w:r>
      <w:bookmarkStart w:id="0" w:name="_Hlk85542224"/>
      <w:r w:rsidR="00091ECA" w:rsidRPr="00091ECA">
        <w:rPr>
          <w:b/>
          <w:bCs/>
          <w:lang w:eastAsia="zh-CN"/>
        </w:rPr>
        <w:t xml:space="preserve"> </w:t>
      </w:r>
      <w:r w:rsidR="00091ECA" w:rsidRPr="00721DBE">
        <w:rPr>
          <w:b/>
          <w:bCs/>
          <w:lang w:eastAsia="zh-CN"/>
        </w:rPr>
        <w:t>Effects of antagomiR-31 treatment on surface marker expression of naïve CD4+ T cells</w:t>
      </w:r>
      <w:r w:rsidR="00091ECA">
        <w:rPr>
          <w:b/>
          <w:bCs/>
          <w:lang w:eastAsia="zh-CN"/>
        </w:rPr>
        <w:t xml:space="preserve">.  </w:t>
      </w:r>
      <w:r w:rsidR="00091ECA" w:rsidRPr="00D64DB9">
        <w:rPr>
          <w:lang w:eastAsia="zh-CN"/>
        </w:rPr>
        <w:t>The assayed markers includ</w:t>
      </w:r>
      <w:r w:rsidR="00091ECA">
        <w:rPr>
          <w:lang w:eastAsia="zh-CN"/>
        </w:rPr>
        <w:t>ed</w:t>
      </w:r>
      <w:r w:rsidR="00091ECA" w:rsidRPr="00D64DB9">
        <w:rPr>
          <w:lang w:eastAsia="zh-CN"/>
        </w:rPr>
        <w:t xml:space="preserve"> CD38 (A), CD69 (B), CCR7 (C) and CD127 (D).</w:t>
      </w:r>
      <w:r w:rsidR="00091ECA" w:rsidRPr="007A10B4">
        <w:rPr>
          <w:lang w:eastAsia="zh-CN"/>
        </w:rPr>
        <w:t xml:space="preserve"> </w:t>
      </w:r>
      <w:bookmarkEnd w:id="0"/>
      <w:r w:rsidR="00091ECA" w:rsidRPr="007A10B4">
        <w:rPr>
          <w:lang w:eastAsia="zh-CN"/>
        </w:rPr>
        <w:t xml:space="preserve">Blue, antagomir-31 transfected group; red, </w:t>
      </w:r>
      <w:proofErr w:type="spellStart"/>
      <w:r w:rsidR="00091ECA" w:rsidRPr="007A10B4">
        <w:rPr>
          <w:lang w:eastAsia="zh-CN"/>
        </w:rPr>
        <w:t>antagoNC</w:t>
      </w:r>
      <w:proofErr w:type="spellEnd"/>
      <w:r w:rsidR="00091ECA" w:rsidRPr="007A10B4">
        <w:rPr>
          <w:lang w:eastAsia="zh-CN"/>
        </w:rPr>
        <w:t xml:space="preserve"> transfected group. Shown from left to right were representative FACS plot, frequency of positive cells, and median fluorescent intensity (MFI).</w:t>
      </w:r>
    </w:p>
    <w:p w14:paraId="7C2557C2" w14:textId="3C3BFE51" w:rsidR="0043064B" w:rsidRDefault="0043064B">
      <w:pPr>
        <w:rPr>
          <w:rFonts w:eastAsia="Times New Roman"/>
          <w:kern w:val="28"/>
          <w:sz w:val="24"/>
          <w:szCs w:val="24"/>
        </w:rPr>
      </w:pPr>
      <w:r>
        <w:br w:type="page"/>
      </w:r>
    </w:p>
    <w:p w14:paraId="0529B24E" w14:textId="77777777" w:rsidR="00B47ABD" w:rsidRDefault="00B47ABD">
      <w:pPr>
        <w:rPr>
          <w:kern w:val="28"/>
          <w:sz w:val="24"/>
          <w:szCs w:val="24"/>
          <w:lang w:eastAsia="zh-CN"/>
        </w:rPr>
      </w:pPr>
    </w:p>
    <w:p w14:paraId="2BAA0F63" w14:textId="77777777" w:rsidR="00B47ABD" w:rsidRDefault="0043064B">
      <w:pPr>
        <w:spacing w:line="480" w:lineRule="auto"/>
        <w:jc w:val="both"/>
        <w:rPr>
          <w:kern w:val="28"/>
          <w:sz w:val="24"/>
          <w:szCs w:val="24"/>
          <w:lang w:eastAsia="zh-CN"/>
        </w:rPr>
      </w:pPr>
      <w:r>
        <w:rPr>
          <w:kern w:val="28"/>
          <w:sz w:val="24"/>
          <w:szCs w:val="24"/>
          <w:lang w:eastAsia="zh-CN"/>
        </w:rPr>
        <w:object w:dxaOrig="4530" w:dyaOrig="3150" w14:anchorId="2D5259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6.55pt;height:157.6pt" o:ole="">
            <v:imagedata r:id="rId10" o:title=""/>
          </v:shape>
          <o:OLEObject Type="Embed" ProgID="Prism7.Document" ShapeID="_x0000_i1025" DrawAspect="Content" ObjectID="_1696315284" r:id="rId11"/>
        </w:object>
      </w:r>
    </w:p>
    <w:p w14:paraId="361D1385" w14:textId="77777777" w:rsidR="00B47ABD" w:rsidRDefault="00B47ABD">
      <w:pPr>
        <w:rPr>
          <w:kern w:val="28"/>
          <w:sz w:val="24"/>
          <w:szCs w:val="24"/>
          <w:lang w:eastAsia="zh-CN"/>
        </w:rPr>
      </w:pPr>
    </w:p>
    <w:p w14:paraId="1482A4E5" w14:textId="4971C7EC" w:rsidR="00424763" w:rsidRDefault="0043064B">
      <w:pPr>
        <w:spacing w:line="480" w:lineRule="auto"/>
        <w:jc w:val="both"/>
        <w:rPr>
          <w:kern w:val="28"/>
          <w:sz w:val="24"/>
          <w:szCs w:val="24"/>
          <w:lang w:eastAsia="zh-CN"/>
        </w:rPr>
      </w:pPr>
      <w:r>
        <w:rPr>
          <w:b/>
          <w:bCs/>
          <w:kern w:val="28"/>
          <w:sz w:val="24"/>
          <w:szCs w:val="24"/>
          <w:lang w:eastAsia="zh-CN"/>
        </w:rPr>
        <w:t>Fig. S4.</w:t>
      </w:r>
      <w:r>
        <w:rPr>
          <w:rFonts w:eastAsia="DengXian" w:cstheme="minorBidi"/>
          <w:b/>
          <w:bCs/>
          <w:color w:val="000000" w:themeColor="text1"/>
          <w:kern w:val="28"/>
          <w:sz w:val="36"/>
          <w:szCs w:val="36"/>
        </w:rPr>
        <w:t xml:space="preserve"> </w:t>
      </w:r>
      <w:r w:rsidR="00091ECA">
        <w:rPr>
          <w:b/>
          <w:bCs/>
          <w:kern w:val="28"/>
          <w:sz w:val="24"/>
          <w:szCs w:val="24"/>
          <w:lang w:eastAsia="zh-CN"/>
        </w:rPr>
        <w:t>M</w:t>
      </w:r>
      <w:r>
        <w:rPr>
          <w:b/>
          <w:bCs/>
          <w:kern w:val="28"/>
          <w:sz w:val="24"/>
          <w:szCs w:val="24"/>
          <w:lang w:eastAsia="zh-CN"/>
        </w:rPr>
        <w:t xml:space="preserve">iR-31 level was negatively correlated </w:t>
      </w:r>
      <w:r w:rsidR="00512852">
        <w:rPr>
          <w:b/>
          <w:bCs/>
          <w:kern w:val="28"/>
          <w:sz w:val="24"/>
          <w:szCs w:val="24"/>
          <w:lang w:eastAsia="zh-CN"/>
        </w:rPr>
        <w:t>with</w:t>
      </w:r>
      <w:r>
        <w:rPr>
          <w:b/>
          <w:bCs/>
          <w:kern w:val="28"/>
          <w:sz w:val="24"/>
          <w:szCs w:val="24"/>
          <w:lang w:eastAsia="zh-CN"/>
        </w:rPr>
        <w:t xml:space="preserve"> viral load</w:t>
      </w:r>
      <w:r>
        <w:rPr>
          <w:kern w:val="28"/>
          <w:sz w:val="24"/>
          <w:szCs w:val="24"/>
          <w:lang w:eastAsia="zh-CN"/>
        </w:rPr>
        <w:t xml:space="preserve">. Relative blood levels of miR-31 were plot against plasma viral loads for HIV-1-infected individuals (n=50) (P &lt; 0.001, Spearman rho = -0.482). </w:t>
      </w:r>
    </w:p>
    <w:p w14:paraId="60937EB0" w14:textId="77777777" w:rsidR="00424763" w:rsidRDefault="00424763">
      <w:pPr>
        <w:rPr>
          <w:kern w:val="28"/>
          <w:sz w:val="24"/>
          <w:szCs w:val="24"/>
          <w:lang w:eastAsia="zh-CN"/>
        </w:rPr>
      </w:pPr>
      <w:r>
        <w:rPr>
          <w:kern w:val="28"/>
          <w:sz w:val="24"/>
          <w:szCs w:val="24"/>
          <w:lang w:eastAsia="zh-CN"/>
        </w:rPr>
        <w:br w:type="page"/>
      </w:r>
    </w:p>
    <w:p w14:paraId="2FE85D07" w14:textId="77777777" w:rsidR="00424763" w:rsidRDefault="00424763" w:rsidP="00424763">
      <w:pPr>
        <w:pStyle w:val="Legend"/>
        <w:spacing w:line="360" w:lineRule="auto"/>
        <w:jc w:val="both"/>
      </w:pPr>
      <w:r>
        <w:rPr>
          <w:noProof/>
        </w:rPr>
        <w:lastRenderedPageBreak/>
        <w:drawing>
          <wp:inline distT="0" distB="0" distL="0" distR="0" wp14:anchorId="09D6B1C3" wp14:editId="0C6E4BC1">
            <wp:extent cx="5810250" cy="192659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1926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0459E4D" w14:textId="3EA7FF3A" w:rsidR="00424763" w:rsidRPr="00091ECA" w:rsidRDefault="00424763" w:rsidP="00424763">
      <w:pPr>
        <w:spacing w:line="360" w:lineRule="auto"/>
        <w:rPr>
          <w:kern w:val="28"/>
          <w:sz w:val="24"/>
          <w:szCs w:val="24"/>
          <w:lang w:eastAsia="zh-CN"/>
        </w:rPr>
      </w:pPr>
      <w:r w:rsidRPr="0043064B">
        <w:rPr>
          <w:b/>
          <w:bCs/>
          <w:kern w:val="28"/>
          <w:sz w:val="24"/>
          <w:szCs w:val="24"/>
          <w:lang w:eastAsia="zh-CN"/>
        </w:rPr>
        <w:t xml:space="preserve">Fig. </w:t>
      </w:r>
      <w:r w:rsidR="00091ECA" w:rsidRPr="00091ECA">
        <w:rPr>
          <w:b/>
          <w:bCs/>
          <w:sz w:val="24"/>
          <w:szCs w:val="24"/>
          <w:lang w:eastAsia="zh-CN"/>
        </w:rPr>
        <w:t>S5</w:t>
      </w:r>
      <w:r w:rsidR="00091ECA" w:rsidRPr="00091ECA">
        <w:rPr>
          <w:sz w:val="24"/>
          <w:szCs w:val="24"/>
          <w:lang w:eastAsia="zh-CN"/>
        </w:rPr>
        <w:t xml:space="preserve">. </w:t>
      </w:r>
      <w:r w:rsidR="00091ECA" w:rsidRPr="00091ECA">
        <w:rPr>
          <w:b/>
          <w:bCs/>
          <w:sz w:val="24"/>
          <w:szCs w:val="24"/>
          <w:lang w:eastAsia="zh-CN"/>
        </w:rPr>
        <w:t>Correlation of miR-31 to CCR7 and IL7R.</w:t>
      </w:r>
      <w:r w:rsidR="00091ECA" w:rsidRPr="00091ECA">
        <w:rPr>
          <w:sz w:val="24"/>
          <w:szCs w:val="24"/>
          <w:lang w:eastAsia="zh-CN"/>
        </w:rPr>
        <w:t xml:space="preserve">  The measurements were performed with blood samples of HIV infected individuals (n = 25), with levels of miR-31 and CCR7/IL7R being assessed by microarray and quantitative RT-PCR, respectively.</w:t>
      </w:r>
    </w:p>
    <w:p w14:paraId="57D3FFB7" w14:textId="77777777" w:rsidR="00424763" w:rsidRPr="00091ECA" w:rsidRDefault="00424763">
      <w:pPr>
        <w:spacing w:line="480" w:lineRule="auto"/>
        <w:jc w:val="both"/>
        <w:rPr>
          <w:kern w:val="28"/>
          <w:sz w:val="24"/>
          <w:szCs w:val="24"/>
          <w:lang w:eastAsia="zh-CN"/>
        </w:rPr>
      </w:pPr>
    </w:p>
    <w:sectPr w:rsidR="00424763" w:rsidRPr="00091ECA" w:rsidSect="009D2E44">
      <w:pgSz w:w="12240" w:h="15840"/>
      <w:pgMar w:top="1440" w:right="1440" w:bottom="1440" w:left="1440" w:header="431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D4A2D" w14:textId="77777777" w:rsidR="00114E48" w:rsidRDefault="00114E48" w:rsidP="0043064B">
      <w:r>
        <w:separator/>
      </w:r>
    </w:p>
  </w:endnote>
  <w:endnote w:type="continuationSeparator" w:id="0">
    <w:p w14:paraId="4AB0AB27" w14:textId="77777777" w:rsidR="00114E48" w:rsidRDefault="00114E48" w:rsidP="00430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88D07" w14:textId="77777777" w:rsidR="00114E48" w:rsidRDefault="00114E48" w:rsidP="0043064B">
      <w:r>
        <w:separator/>
      </w:r>
    </w:p>
  </w:footnote>
  <w:footnote w:type="continuationSeparator" w:id="0">
    <w:p w14:paraId="525EA88B" w14:textId="77777777" w:rsidR="00114E48" w:rsidRDefault="00114E48" w:rsidP="004306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21E"/>
    <w:rsid w:val="EFEF9F2C"/>
    <w:rsid w:val="00027761"/>
    <w:rsid w:val="0004427D"/>
    <w:rsid w:val="00091ECA"/>
    <w:rsid w:val="00104A16"/>
    <w:rsid w:val="00105BBD"/>
    <w:rsid w:val="00114E48"/>
    <w:rsid w:val="001A6931"/>
    <w:rsid w:val="0026723A"/>
    <w:rsid w:val="002744ED"/>
    <w:rsid w:val="002E021E"/>
    <w:rsid w:val="00424763"/>
    <w:rsid w:val="0043064B"/>
    <w:rsid w:val="004C1A2F"/>
    <w:rsid w:val="00512852"/>
    <w:rsid w:val="00645AB2"/>
    <w:rsid w:val="006978D7"/>
    <w:rsid w:val="00811F7C"/>
    <w:rsid w:val="008C03FF"/>
    <w:rsid w:val="009361F8"/>
    <w:rsid w:val="009D2E44"/>
    <w:rsid w:val="00A723D8"/>
    <w:rsid w:val="00B42283"/>
    <w:rsid w:val="00B47ABD"/>
    <w:rsid w:val="00B74975"/>
    <w:rsid w:val="00BD289A"/>
    <w:rsid w:val="00C124DC"/>
    <w:rsid w:val="00DD53C8"/>
    <w:rsid w:val="00E71048"/>
    <w:rsid w:val="00ED6AA0"/>
    <w:rsid w:val="00F6476C"/>
    <w:rsid w:val="4C7F7A20"/>
    <w:rsid w:val="779EB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148C4FD2"/>
  <w15:docId w15:val="{624B0238-3444-42BB-A510-276856C94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ascii="SimSun" w:eastAsia="SimSun" w:hAnsi="SimSun" w:cs="SimSun"/>
      <w:sz w:val="24"/>
      <w:szCs w:val="24"/>
      <w:lang w:eastAsia="zh-CN"/>
    </w:rPr>
  </w:style>
  <w:style w:type="character" w:styleId="LineNumber">
    <w:name w:val="line number"/>
    <w:basedOn w:val="DefaultParagraphFon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kern w:val="0"/>
      <w:sz w:val="18"/>
      <w:szCs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kern w:val="0"/>
      <w:sz w:val="18"/>
      <w:szCs w:val="18"/>
      <w:lang w:eastAsia="en-US"/>
    </w:rPr>
  </w:style>
  <w:style w:type="paragraph" w:customStyle="1" w:styleId="Legend">
    <w:name w:val="Legend"/>
    <w:basedOn w:val="Normal"/>
    <w:pPr>
      <w:keepNext/>
      <w:spacing w:before="240"/>
      <w:outlineLvl w:val="0"/>
    </w:pPr>
    <w:rPr>
      <w:rFonts w:eastAsia="Times New Roman"/>
      <w:kern w:val="28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5</Pages>
  <Words>278</Words>
  <Characters>1587</Characters>
  <Application>Microsoft Office Word</Application>
  <DocSecurity>0</DocSecurity>
  <Lines>13</Lines>
  <Paragraphs>3</Paragraphs>
  <ScaleCrop>false</ScaleCrop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Hiou Nagi</dc:creator>
  <cp:lastModifiedBy>Eleanor Masterman</cp:lastModifiedBy>
  <cp:revision>6</cp:revision>
  <cp:lastPrinted>2020-06-10T17:01:00Z</cp:lastPrinted>
  <dcterms:created xsi:type="dcterms:W3CDTF">2021-08-10T13:48:00Z</dcterms:created>
  <dcterms:modified xsi:type="dcterms:W3CDTF">2021-10-21T08:55:00Z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</Properties>
</file>