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9044C" w14:textId="6AE2CC32" w:rsidR="003B5DC7" w:rsidRDefault="0015397D" w:rsidP="00764E65">
      <w:pPr>
        <w:spacing w:before="120" w:after="120" w:line="360" w:lineRule="auto"/>
        <w:jc w:val="center"/>
        <w:rPr>
          <w:b/>
          <w:bCs/>
        </w:rPr>
      </w:pPr>
      <w:r w:rsidRPr="002C5EEA">
        <w:rPr>
          <w:b/>
          <w:bCs/>
        </w:rPr>
        <w:t>Supplementary information</w:t>
      </w:r>
    </w:p>
    <w:p w14:paraId="19C090EE" w14:textId="0597115B" w:rsidR="002C5EEA" w:rsidRDefault="002C5EEA" w:rsidP="00A03597">
      <w:pPr>
        <w:spacing w:before="120" w:after="120" w:line="360" w:lineRule="auto"/>
        <w:rPr>
          <w:b/>
          <w:bCs/>
        </w:rPr>
      </w:pPr>
      <w:r>
        <w:rPr>
          <w:b/>
          <w:bCs/>
        </w:rPr>
        <w:t>Materials and Methods</w:t>
      </w:r>
    </w:p>
    <w:p w14:paraId="4E5B579C" w14:textId="77777777" w:rsidR="0024209F" w:rsidRDefault="0024209F" w:rsidP="0024209F">
      <w:pPr>
        <w:spacing w:before="120" w:after="120" w:line="360" w:lineRule="auto"/>
        <w:rPr>
          <w:b/>
          <w:bCs/>
        </w:rPr>
      </w:pPr>
      <w:r>
        <w:rPr>
          <w:b/>
          <w:bCs/>
        </w:rPr>
        <w:t>Rice cultivation and experimental treatments</w:t>
      </w:r>
    </w:p>
    <w:p w14:paraId="213CD836" w14:textId="76A6891E" w:rsidR="0024209F" w:rsidRPr="00181A01" w:rsidRDefault="000A6EE7" w:rsidP="0024209F">
      <w:pPr>
        <w:spacing w:before="120" w:after="120" w:line="360" w:lineRule="auto"/>
      </w:pPr>
      <w:r>
        <w:t>Rice cultivar ‘</w:t>
      </w:r>
      <w:proofErr w:type="spellStart"/>
      <w:r>
        <w:t>cocodrie</w:t>
      </w:r>
      <w:proofErr w:type="spellEnd"/>
      <w:r>
        <w:t>’ (</w:t>
      </w:r>
      <w:r w:rsidRPr="00A03597">
        <w:rPr>
          <w:i/>
          <w:iCs/>
        </w:rPr>
        <w:t>Oryza japonic</w:t>
      </w:r>
      <w:r w:rsidR="00083892" w:rsidRPr="00A03597">
        <w:rPr>
          <w:i/>
          <w:iCs/>
        </w:rPr>
        <w:t>a</w:t>
      </w:r>
      <w:r w:rsidR="00083892">
        <w:t>)</w:t>
      </w:r>
      <w:r>
        <w:t xml:space="preserve"> was used for this study.  </w:t>
      </w:r>
      <w:r w:rsidR="0024209F" w:rsidRPr="00181A01">
        <w:t xml:space="preserve">Approximately 1.5 g of dry seed was planted </w:t>
      </w:r>
      <w:r w:rsidR="00083892">
        <w:t>into a</w:t>
      </w:r>
      <w:r w:rsidR="0024209F" w:rsidRPr="00181A01">
        <w:t xml:space="preserve"> meter of drill</w:t>
      </w:r>
      <w:r w:rsidR="00083892">
        <w:t>. F</w:t>
      </w:r>
      <w:r w:rsidR="0024209F" w:rsidRPr="00181A01">
        <w:t>our randomized replicate</w:t>
      </w:r>
      <w:r w:rsidR="00083892">
        <w:t>d fields were established within MSMA and no-MSMA control blocks</w:t>
      </w:r>
      <w:r w:rsidR="0024209F" w:rsidRPr="00181A01">
        <w:t>.</w:t>
      </w:r>
      <w:r w:rsidR="00083892">
        <w:t xml:space="preserve"> The fields were further split to establish two water treatments. </w:t>
      </w:r>
      <w:r w:rsidR="00083892" w:rsidRPr="00083892">
        <w:t xml:space="preserve">The nitrogen fertilizer </w:t>
      </w:r>
      <w:r w:rsidR="00B21A1C">
        <w:t xml:space="preserve">(urea) </w:t>
      </w:r>
      <w:r w:rsidR="00083892" w:rsidRPr="00083892">
        <w:t>was applied just before a permanent flood at five-leaf stag</w:t>
      </w:r>
      <w:r w:rsidR="00B21A1C">
        <w:t>e at</w:t>
      </w:r>
      <w:r w:rsidR="00083892">
        <w:t xml:space="preserve"> </w:t>
      </w:r>
      <w:r w:rsidR="00083892" w:rsidRPr="00083892">
        <w:t>134</w:t>
      </w:r>
      <w:r w:rsidR="00B21A1C">
        <w:t xml:space="preserve"> </w:t>
      </w:r>
      <w:r w:rsidR="00083892" w:rsidRPr="00083892">
        <w:t>kg ha</w:t>
      </w:r>
      <w:r w:rsidR="00083892" w:rsidRPr="00A03597">
        <w:rPr>
          <w:vertAlign w:val="superscript"/>
        </w:rPr>
        <w:t>−1</w:t>
      </w:r>
      <w:r w:rsidR="00083892" w:rsidRPr="00083892">
        <w:t xml:space="preserve"> of nitrogen</w:t>
      </w:r>
      <w:r w:rsidR="00B21A1C">
        <w:t xml:space="preserve">. </w:t>
      </w:r>
      <w:r w:rsidR="00083892" w:rsidRPr="00083892">
        <w:t xml:space="preserve"> </w:t>
      </w:r>
      <w:r w:rsidR="0024209F" w:rsidRPr="00181A01">
        <w:t xml:space="preserve"> </w:t>
      </w:r>
    </w:p>
    <w:p w14:paraId="363F4F9B" w14:textId="77777777" w:rsidR="0024209F" w:rsidRPr="00764E65" w:rsidRDefault="0024209F" w:rsidP="0024209F">
      <w:pPr>
        <w:spacing w:before="120" w:after="120" w:line="360" w:lineRule="auto"/>
        <w:rPr>
          <w:b/>
          <w:bCs/>
        </w:rPr>
      </w:pPr>
      <w:r w:rsidRPr="00764E65">
        <w:rPr>
          <w:b/>
          <w:bCs/>
        </w:rPr>
        <w:t>Rhizosphere and root-plaque sampling.</w:t>
      </w:r>
    </w:p>
    <w:p w14:paraId="35DDCBCB" w14:textId="77777777" w:rsidR="0024209F" w:rsidRDefault="0024209F" w:rsidP="0024209F">
      <w:pPr>
        <w:pStyle w:val="BodyText"/>
        <w:spacing w:before="120" w:after="120" w:line="360" w:lineRule="auto"/>
        <w:ind w:right="230"/>
      </w:pPr>
      <w:r>
        <w:t xml:space="preserve">Between 4-5 rice plants were collected from each experimental field plots, along with the adhering soil. The plants were vigorously shaken and then remaining loosely adhering non-rhizosphere soil and larger soil aggregates were manually removed. Plants were placed in </w:t>
      </w:r>
      <w:proofErr w:type="spellStart"/>
      <w:r>
        <w:t>ziplock</w:t>
      </w:r>
      <w:proofErr w:type="spellEnd"/>
      <w:r>
        <w:t xml:space="preserve"> bags to transport to the laboratory. After further inspection and scrubbing out potential non-rhizosphere soil leaving few millimeters around the roots, the rhizosphere soil was collected and stored appropriately. The roots were then thoroughly washed with sterile-deionized water to remove any remaining soil, with iron-oxide plaque remained firmly affixed to the roots. The root samples with plaque and the separate rhizosphere-soil samples, were each split into subsamples for subsequent chemical and microbial analyses.</w:t>
      </w:r>
    </w:p>
    <w:p w14:paraId="18E00676" w14:textId="77777777" w:rsidR="0024209F" w:rsidRPr="00764E65" w:rsidRDefault="0024209F" w:rsidP="0024209F">
      <w:pPr>
        <w:spacing w:before="120" w:after="120" w:line="360" w:lineRule="auto"/>
        <w:rPr>
          <w:b/>
          <w:bCs/>
        </w:rPr>
      </w:pPr>
      <w:r w:rsidRPr="00764E65">
        <w:rPr>
          <w:b/>
          <w:bCs/>
        </w:rPr>
        <w:t>Pore-water sampling.</w:t>
      </w:r>
    </w:p>
    <w:p w14:paraId="65649CEE" w14:textId="77777777" w:rsidR="0024209F" w:rsidRDefault="0024209F" w:rsidP="0024209F">
      <w:pPr>
        <w:pStyle w:val="BodyText"/>
        <w:spacing w:before="120" w:after="120" w:line="360" w:lineRule="auto"/>
      </w:pPr>
      <w:r>
        <w:t>Soil core samples from the rooting zone were collected using an 8.5 x 10-cm diameter core-auger with plastic liners. Soil samples collected within the plastic liners were capped with polypropylene end caps, which were further sealed to minimize aeration and stored on ice for transport to the laboratory. The core samples were vacuum filtered through 0.2µm pore size mixed cellulose-ester filters at a negative pressure of 138 kPa for 20 min to extract pore-water. The pore water collected was then acidified to pH 3 with HNO</w:t>
      </w:r>
      <w:r>
        <w:rPr>
          <w:vertAlign w:val="subscript"/>
        </w:rPr>
        <w:t>3</w:t>
      </w:r>
      <w:r>
        <w:t xml:space="preserve"> and stored for subsequent </w:t>
      </w:r>
      <w:proofErr w:type="gramStart"/>
      <w:r>
        <w:t>As</w:t>
      </w:r>
      <w:proofErr w:type="gramEnd"/>
      <w:r>
        <w:t xml:space="preserve"> analysis.</w:t>
      </w:r>
    </w:p>
    <w:p w14:paraId="5FE53BEA" w14:textId="77777777" w:rsidR="0024209F" w:rsidRPr="00136F56" w:rsidRDefault="0024209F" w:rsidP="0024209F">
      <w:pPr>
        <w:pStyle w:val="BodyText"/>
        <w:spacing w:before="120" w:after="120" w:line="360" w:lineRule="auto"/>
        <w:ind w:right="379"/>
        <w:jc w:val="both"/>
        <w:rPr>
          <w:b/>
          <w:bCs/>
        </w:rPr>
      </w:pPr>
      <w:r w:rsidRPr="00136F56">
        <w:rPr>
          <w:b/>
          <w:bCs/>
        </w:rPr>
        <w:t>Rice grain sampling</w:t>
      </w:r>
    </w:p>
    <w:p w14:paraId="78385799" w14:textId="77777777" w:rsidR="0024209F" w:rsidRPr="00FE334F" w:rsidRDefault="0024209F" w:rsidP="0024209F">
      <w:pPr>
        <w:spacing w:before="120" w:after="120" w:line="360" w:lineRule="auto"/>
      </w:pPr>
      <w:r>
        <w:lastRenderedPageBreak/>
        <w:t xml:space="preserve">Rice grain samples </w:t>
      </w:r>
      <w:r w:rsidRPr="00FE334F">
        <w:t xml:space="preserve">were obtained during harvest from each treatment plot. </w:t>
      </w:r>
      <w:r>
        <w:t xml:space="preserve">Entire plots were </w:t>
      </w:r>
      <w:proofErr w:type="gramStart"/>
      <w:r>
        <w:t>harvested</w:t>
      </w:r>
      <w:proofErr w:type="gramEnd"/>
      <w:r>
        <w:t xml:space="preserve"> and grain samples were separated. </w:t>
      </w:r>
      <w:r w:rsidRPr="00FE334F">
        <w:t xml:space="preserve">Approximately 50 g of </w:t>
      </w:r>
      <w:r>
        <w:t xml:space="preserve">representative </w:t>
      </w:r>
      <w:r w:rsidRPr="00FE334F">
        <w:t xml:space="preserve">grain </w:t>
      </w:r>
      <w:r>
        <w:t xml:space="preserve">samples from individual treatment plots were </w:t>
      </w:r>
      <w:r w:rsidRPr="00FE334F">
        <w:t xml:space="preserve">dehulled, milled, ground to </w:t>
      </w:r>
      <w:proofErr w:type="gramStart"/>
      <w:r w:rsidRPr="00FE334F">
        <w:t>flour</w:t>
      </w:r>
      <w:proofErr w:type="gramEnd"/>
      <w:r w:rsidRPr="00FE334F">
        <w:t xml:space="preserve"> and stored at 4 °C until further analysis. </w:t>
      </w:r>
    </w:p>
    <w:p w14:paraId="24856F63" w14:textId="77777777" w:rsidR="0024209F" w:rsidRPr="00FE334F" w:rsidRDefault="0024209F" w:rsidP="0024209F">
      <w:pPr>
        <w:rPr>
          <w:b/>
          <w:bCs/>
        </w:rPr>
      </w:pPr>
      <w:r w:rsidRPr="00FE334F">
        <w:rPr>
          <w:b/>
          <w:bCs/>
        </w:rPr>
        <w:t>Redox potential measurement.</w:t>
      </w:r>
    </w:p>
    <w:p w14:paraId="2E0EE489" w14:textId="0B5C5266" w:rsidR="0024209F" w:rsidRPr="00FE334F" w:rsidRDefault="0024209F" w:rsidP="0024209F">
      <w:pPr>
        <w:spacing w:before="120" w:after="120" w:line="360" w:lineRule="auto"/>
      </w:pPr>
      <w:r w:rsidRPr="00FE334F">
        <w:t xml:space="preserve">Redox potential </w:t>
      </w:r>
      <w:r>
        <w:t xml:space="preserve">in the rhizosphere and bulk soil were </w:t>
      </w:r>
      <w:r w:rsidRPr="00FE334F">
        <w:t xml:space="preserve">measured in the field at </w:t>
      </w:r>
      <w:r w:rsidR="005F1F3B">
        <w:t xml:space="preserve">4 and 8 weeks after flooding and at </w:t>
      </w:r>
      <w:r>
        <w:t>the time of</w:t>
      </w:r>
      <w:r w:rsidRPr="00FE334F">
        <w:t xml:space="preserve"> sampling using a platinum electrode </w:t>
      </w:r>
      <w:r>
        <w:t xml:space="preserve">connected to a silver (Ag) </w:t>
      </w:r>
      <w:r w:rsidRPr="00FE334F">
        <w:t>Ag/AgCl reference electrode. The platinum electrodes were inserted into the rooting zone and into the adjacent bulk soil (between two rows</w:t>
      </w:r>
      <w:r>
        <w:t xml:space="preserve"> without roots</w:t>
      </w:r>
      <w:r w:rsidRPr="00FE334F">
        <w:t>)</w:t>
      </w:r>
      <w:r>
        <w:t xml:space="preserve">. The electrodes were left undisturbed </w:t>
      </w:r>
      <w:r w:rsidRPr="00FE334F">
        <w:t xml:space="preserve">to equilibrate for 24 h before measuring the redox. </w:t>
      </w:r>
      <w:r>
        <w:t>While taking the redox measurement, t</w:t>
      </w:r>
      <w:r w:rsidRPr="00FE334F">
        <w:t xml:space="preserve">he reference electrode was placed in the flood water. </w:t>
      </w:r>
      <w:r>
        <w:t xml:space="preserve">Further details on construction and platinum electrodes and </w:t>
      </w:r>
      <w:r w:rsidRPr="00FE334F">
        <w:t>procedures for measuring redox potential can be found in Fiedler et al. (2007)</w:t>
      </w:r>
      <w:r>
        <w:t xml:space="preserve"> </w:t>
      </w:r>
      <w:r>
        <w:fldChar w:fldCharType="begin"/>
      </w:r>
      <w:r w:rsidR="007C65E7">
        <w:instrText xml:space="preserve"> ADDIN EN.CITE &lt;EndNote&gt;&lt;Cite&gt;&lt;Author&gt;Fiedler&lt;/Author&gt;&lt;Year&gt;2007&lt;/Year&gt;&lt;RecNum&gt;3070&lt;/RecNum&gt;&lt;DisplayText&gt;(1)&lt;/DisplayText&gt;&lt;record&gt;&lt;rec-number&gt;3070&lt;/rec-number&gt;&lt;foreign-keys&gt;&lt;key app="EN" db-id="sa5s0asfar5fave9axrpsd2cvwdw20fr2wwa" timestamp="1627482640"&gt;3070&lt;/key&gt;&lt;/foreign-keys&gt;&lt;ref-type name="Journal Article"&gt;17&lt;/ref-type&gt;&lt;contributors&gt;&lt;authors&gt;&lt;author&gt;Fiedler, Sabine&lt;/author&gt;&lt;author&gt;Vepraskas, Michael J&lt;/author&gt;&lt;author&gt;Richardson, JL&lt;/author&gt;&lt;/authors&gt;&lt;/contributors&gt;&lt;titles&gt;&lt;title&gt;Soil redox potential: importance, field measurements, and observations&lt;/title&gt;&lt;secondary-title&gt;Advances in agronomy&lt;/secondary-title&gt;&lt;/titles&gt;&lt;pages&gt;1-54&lt;/pages&gt;&lt;volume&gt;94&lt;/volume&gt;&lt;dates&gt;&lt;year&gt;2007&lt;/year&gt;&lt;/dates&gt;&lt;isbn&gt;0065-2113&lt;/isbn&gt;&lt;urls&gt;&lt;/urls&gt;&lt;/record&gt;&lt;/Cite&gt;&lt;/EndNote&gt;</w:instrText>
      </w:r>
      <w:r>
        <w:fldChar w:fldCharType="separate"/>
      </w:r>
      <w:r w:rsidR="006E0EEF">
        <w:rPr>
          <w:noProof/>
        </w:rPr>
        <w:t>(1)</w:t>
      </w:r>
      <w:r>
        <w:fldChar w:fldCharType="end"/>
      </w:r>
      <w:r w:rsidRPr="00FE334F">
        <w:t>.</w:t>
      </w:r>
    </w:p>
    <w:p w14:paraId="0C621EC2" w14:textId="77777777" w:rsidR="0024209F" w:rsidRPr="008970FA" w:rsidRDefault="0024209F" w:rsidP="0024209F">
      <w:pPr>
        <w:rPr>
          <w:b/>
          <w:bCs/>
        </w:rPr>
      </w:pPr>
      <w:r>
        <w:rPr>
          <w:b/>
          <w:bCs/>
        </w:rPr>
        <w:t xml:space="preserve">Arsenic </w:t>
      </w:r>
      <w:r w:rsidRPr="008970FA">
        <w:rPr>
          <w:b/>
          <w:bCs/>
        </w:rPr>
        <w:t>extraction</w:t>
      </w:r>
      <w:r>
        <w:rPr>
          <w:b/>
          <w:bCs/>
        </w:rPr>
        <w:t xml:space="preserve"> and analysis from soil, root-plaque pore water and grain samples</w:t>
      </w:r>
    </w:p>
    <w:p w14:paraId="2B42BACA" w14:textId="77777777" w:rsidR="0024209F" w:rsidRDefault="0024209F" w:rsidP="0024209F">
      <w:pPr>
        <w:pStyle w:val="BodyText"/>
        <w:spacing w:before="120" w:after="120" w:line="360" w:lineRule="auto"/>
        <w:ind w:right="336"/>
      </w:pPr>
      <w:r>
        <w:t>Sub samples stored in the freezer were thawed, and approximately 1 g of soil or 2.5 g of root-plaque samples were weighed to the third decimal and transferred into a 50 mL polypropylene centrifuge tubes. Ten mL of 0.4 M H</w:t>
      </w:r>
      <w:r>
        <w:rPr>
          <w:vertAlign w:val="subscript"/>
        </w:rPr>
        <w:t>3</w:t>
      </w:r>
      <w:r>
        <w:t>PO</w:t>
      </w:r>
      <w:r>
        <w:rPr>
          <w:vertAlign w:val="subscript"/>
        </w:rPr>
        <w:t>4</w:t>
      </w:r>
      <w:r>
        <w:t xml:space="preserve"> (pH 1.6) was added to the tubes, and the suspensions were agitated for 6 </w:t>
      </w:r>
      <w:proofErr w:type="spellStart"/>
      <w:r>
        <w:t>hr</w:t>
      </w:r>
      <w:proofErr w:type="spellEnd"/>
      <w:r>
        <w:t xml:space="preserve"> on a reciprocating platform shaker. The suspensions were then centrifuged at approximately 7500 x g for 5 min, and the supernatant was transferred to another tubes. Ten mL of M NaOH (pH~12.2) were added to the suspension </w:t>
      </w:r>
      <w:proofErr w:type="gramStart"/>
      <w:r>
        <w:t>residue, and</w:t>
      </w:r>
      <w:proofErr w:type="gramEnd"/>
      <w:r>
        <w:t xml:space="preserve"> were again agitated for 6 </w:t>
      </w:r>
      <w:proofErr w:type="spellStart"/>
      <w:r>
        <w:t>hr</w:t>
      </w:r>
      <w:proofErr w:type="spellEnd"/>
      <w:r>
        <w:t xml:space="preserve"> on a reciprocating platform shaker. Equal amounts from the two supernatant solutions were then diluted 100-fold using a solution of 2 mM HNO</w:t>
      </w:r>
      <w:r>
        <w:rPr>
          <w:vertAlign w:val="subscript"/>
        </w:rPr>
        <w:t>3</w:t>
      </w:r>
      <w:r>
        <w:t xml:space="preserve"> + 0.5 mM EDTA. The final sample matrix of 4 mM H</w:t>
      </w:r>
      <w:r>
        <w:rPr>
          <w:vertAlign w:val="subscript"/>
        </w:rPr>
        <w:t>3</w:t>
      </w:r>
      <w:r>
        <w:t>PO</w:t>
      </w:r>
      <w:r>
        <w:rPr>
          <w:vertAlign w:val="subscript"/>
        </w:rPr>
        <w:t>4</w:t>
      </w:r>
      <w:r>
        <w:t xml:space="preserve"> + 4 mM NaOH + 2 mM HNO</w:t>
      </w:r>
      <w:r>
        <w:rPr>
          <w:vertAlign w:val="subscript"/>
        </w:rPr>
        <w:t>3</w:t>
      </w:r>
      <w:r>
        <w:t xml:space="preserve"> + 0.5 mM EDTA at a pH ~3.0</w:t>
      </w:r>
      <w:r>
        <w:rPr>
          <w:spacing w:val="-40"/>
        </w:rPr>
        <w:t xml:space="preserve"> </w:t>
      </w:r>
      <w:r>
        <w:t>was then analyzed for concentrations of various</w:t>
      </w:r>
      <w:r>
        <w:rPr>
          <w:spacing w:val="-1"/>
        </w:rPr>
        <w:t xml:space="preserve"> </w:t>
      </w:r>
      <w:r>
        <w:t>As-species.</w:t>
      </w:r>
    </w:p>
    <w:p w14:paraId="3A04A7B5" w14:textId="52FFEC2E" w:rsidR="0024209F" w:rsidRDefault="0024209F" w:rsidP="0024209F">
      <w:pPr>
        <w:pStyle w:val="BodyText"/>
        <w:spacing w:before="120" w:after="120" w:line="360" w:lineRule="auto"/>
        <w:ind w:right="109"/>
      </w:pPr>
      <w:r>
        <w:t>The total-As concentrations in soil samples were extracted by following an open digestion method with HNO</w:t>
      </w:r>
      <w:r>
        <w:rPr>
          <w:vertAlign w:val="subscript"/>
        </w:rPr>
        <w:t>3</w:t>
      </w:r>
      <w:r>
        <w:t>/H</w:t>
      </w:r>
      <w:r>
        <w:rPr>
          <w:vertAlign w:val="subscript"/>
        </w:rPr>
        <w:t>2</w:t>
      </w:r>
      <w:r>
        <w:t>O</w:t>
      </w:r>
      <w:r>
        <w:rPr>
          <w:vertAlign w:val="subscript"/>
        </w:rPr>
        <w:t>2</w:t>
      </w:r>
      <w:r>
        <w:t xml:space="preserve"> as described in the EPA method-3050B </w:t>
      </w:r>
      <w:r>
        <w:fldChar w:fldCharType="begin"/>
      </w:r>
      <w:r w:rsidR="007C65E7">
        <w:instrText xml:space="preserve"> ADDIN EN.CITE &lt;EndNote&gt;&lt;Cite&gt;&lt;Author&gt;USEPA&lt;/Author&gt;&lt;Year&gt;1996&lt;/Year&gt;&lt;RecNum&gt;3071&lt;/RecNum&gt;&lt;DisplayText&gt;(2)&lt;/DisplayText&gt;&lt;record&gt;&lt;rec-number&gt;3071&lt;/rec-number&gt;&lt;foreign-keys&gt;&lt;key app="EN" db-id="sa5s0asfar5fave9axrpsd2cvwdw20fr2wwa" timestamp="1627483236"&gt;3071&lt;/key&gt;&lt;/foreign-keys&gt;&lt;ref-type name="Journal Article"&gt;17&lt;/ref-type&gt;&lt;contributors&gt;&lt;authors&gt;&lt;author&gt;USEPA, E&lt;/author&gt;&lt;/authors&gt;&lt;/contributors&gt;&lt;titles&gt;&lt;title&gt;Method 3050B-Acid digestion of sediments, sludges and soils&lt;/title&gt;&lt;secondary-title&gt;Test methods for evaluating solid wastes: physical/chemical methods. EPA SW‐846&lt;/secondary-title&gt;&lt;/titles&gt;&lt;pages&gt;3050B-1&lt;/pages&gt;&lt;volume&gt;1&lt;/volume&gt;&lt;dates&gt;&lt;year&gt;1996&lt;/year&gt;&lt;/dates&gt;&lt;urls&gt;&lt;/urls&gt;&lt;/record&gt;&lt;/Cite&gt;&lt;/EndNote&gt;</w:instrText>
      </w:r>
      <w:r>
        <w:fldChar w:fldCharType="separate"/>
      </w:r>
      <w:r w:rsidR="006E0EEF">
        <w:rPr>
          <w:noProof/>
        </w:rPr>
        <w:t>(2)</w:t>
      </w:r>
      <w:r>
        <w:fldChar w:fldCharType="end"/>
      </w:r>
      <w:r>
        <w:t xml:space="preserve">. For rice grain samples, we used the trifluoroacetic acid (TFA) extraction method for extracting As species from grain samples following the method described in this study </w:t>
      </w:r>
      <w:r>
        <w:fldChar w:fldCharType="begin"/>
      </w:r>
      <w:r w:rsidR="007C65E7">
        <w:instrText xml:space="preserve"> ADDIN EN.CITE &lt;EndNote&gt;&lt;Cite&gt;&lt;Author&gt;Heitkemper&lt;/Author&gt;&lt;Year&gt;2001&lt;/Year&gt;&lt;RecNum&gt;3072&lt;/RecNum&gt;&lt;DisplayText&gt;(3)&lt;/DisplayText&gt;&lt;record&gt;&lt;rec-number&gt;3072&lt;/rec-number&gt;&lt;foreign-keys&gt;&lt;key app="EN" db-id="sa5s0asfar5fave9axrpsd2cvwdw20fr2wwa" timestamp="1627483731"&gt;3072&lt;/key&gt;&lt;/foreign-keys&gt;&lt;ref-type name="Journal Article"&gt;17&lt;/ref-type&gt;&lt;contributors&gt;&lt;authors&gt;&lt;author&gt;Heitkemper, Douglas T&lt;/author&gt;&lt;author&gt;Vela, Nohora P&lt;/author&gt;&lt;author&gt;Stewart, Kirsten R&lt;/author&gt;&lt;author&gt;Westphal, Craig S&lt;/author&gt;&lt;/authors&gt;&lt;/contributors&gt;&lt;titles&gt;&lt;title&gt;Determination of total and speciated arsenic in rice by ion chromatography and inductively coupled plasma mass spectrometry&lt;/title&gt;&lt;secondary-title&gt;Journal of Analytical Atomic Spectrometry&lt;/secondary-title&gt;&lt;/titles&gt;&lt;pages&gt;299-306&lt;/pages&gt;&lt;volume&gt;16&lt;/volume&gt;&lt;number&gt;4&lt;/number&gt;&lt;dates&gt;&lt;year&gt;2001&lt;/year&gt;&lt;/dates&gt;&lt;urls&gt;&lt;/urls&gt;&lt;/record&gt;&lt;/Cite&gt;&lt;/EndNote&gt;</w:instrText>
      </w:r>
      <w:r>
        <w:fldChar w:fldCharType="separate"/>
      </w:r>
      <w:r w:rsidR="006E0EEF">
        <w:rPr>
          <w:noProof/>
        </w:rPr>
        <w:t>(3)</w:t>
      </w:r>
      <w:r>
        <w:fldChar w:fldCharType="end"/>
      </w:r>
      <w:r>
        <w:t>. Total grain-As concentration was determined following HNO</w:t>
      </w:r>
      <w:r>
        <w:rPr>
          <w:vertAlign w:val="subscript"/>
        </w:rPr>
        <w:t>3</w:t>
      </w:r>
      <w:r>
        <w:t>/H</w:t>
      </w:r>
      <w:r>
        <w:rPr>
          <w:vertAlign w:val="subscript"/>
        </w:rPr>
        <w:t>2</w:t>
      </w:r>
      <w:r>
        <w:t>O</w:t>
      </w:r>
      <w:r>
        <w:rPr>
          <w:vertAlign w:val="subscript"/>
        </w:rPr>
        <w:t>2</w:t>
      </w:r>
      <w:r>
        <w:t xml:space="preserve"> digestion as described in this study </w:t>
      </w:r>
      <w:r>
        <w:fldChar w:fldCharType="begin"/>
      </w:r>
      <w:r w:rsidR="007C65E7">
        <w:instrText xml:space="preserve"> ADDIN EN.CITE &lt;EndNote&gt;&lt;Cite&gt;&lt;Author&gt;Pillai&lt;/Author&gt;&lt;Year&gt;2010&lt;/Year&gt;&lt;RecNum&gt;1828&lt;/RecNum&gt;&lt;DisplayText&gt;(4)&lt;/DisplayText&gt;&lt;record&gt;&lt;rec-number&gt;1828&lt;/rec-number&gt;&lt;foreign-keys&gt;&lt;key app="EN" db-id="sa5s0asfar5fave9axrpsd2cvwdw20fr2wwa" timestamp="1489508099"&gt;1828&lt;/key&gt;&lt;/foreign-keys&gt;&lt;ref-type name="Journal Article"&gt;17&lt;/ref-type&gt;&lt;contributors&gt;&lt;authors&gt;&lt;author&gt;Pillai, Tushara R.&lt;/author&gt;&lt;author&gt;Yan, Wengui&lt;/author&gt;&lt;author&gt;Agrama, Hesham A.&lt;/author&gt;&lt;author&gt;James, William D.&lt;/author&gt;&lt;author&gt;Ibrahim, Amir M. H.&lt;/author&gt;&lt;author&gt;McClung, Anna M.&lt;/author&gt;&lt;author&gt;Gentry, Terry J.&lt;/author&gt;&lt;author&gt;Loeppert, Richard H.&lt;/author&gt;&lt;/authors&gt;&lt;/contributors&gt;&lt;titles&gt;&lt;title&gt;Total Grain-Arsenic and Arsenic-Species Concentrations in Diverse Rice Cultivars under Flooded Conditions&lt;/title&gt;&lt;secondary-title&gt;Crop Sci.&lt;/secondary-title&gt;&lt;/titles&gt;&lt;pages&gt;2065-2075&lt;/pages&gt;&lt;volume&gt;50&lt;/volume&gt;&lt;number&gt;5&lt;/number&gt;&lt;dates&gt;&lt;year&gt;2010&lt;/year&gt;&lt;pub-dates&gt;&lt;date&gt;2010/9&lt;/date&gt;&lt;/pub-dates&gt;&lt;/dates&gt;&lt;urls&gt;&lt;related-urls&gt;&lt;url&gt;https://www.crops.org/publications/cs/abstracts/50/5/2065&lt;/url&gt;&lt;/related-urls&gt;&lt;/urls&gt;&lt;electronic-resource-num&gt;10.2135/cropsci2009.10.0568&lt;/electronic-resource-num&gt;&lt;/record&gt;&lt;/Cite&gt;&lt;/EndNote&gt;</w:instrText>
      </w:r>
      <w:r>
        <w:fldChar w:fldCharType="separate"/>
      </w:r>
      <w:r w:rsidR="006E0EEF">
        <w:rPr>
          <w:noProof/>
        </w:rPr>
        <w:t>(4)</w:t>
      </w:r>
      <w:r>
        <w:fldChar w:fldCharType="end"/>
      </w:r>
      <w:r>
        <w:t xml:space="preserve">. Concentration of </w:t>
      </w:r>
      <w:r>
        <w:lastRenderedPageBreak/>
        <w:t>several As-species (</w:t>
      </w:r>
      <w:proofErr w:type="spellStart"/>
      <w:r>
        <w:t>AsV</w:t>
      </w:r>
      <w:proofErr w:type="spellEnd"/>
      <w:r>
        <w:t xml:space="preserve">, </w:t>
      </w:r>
      <w:proofErr w:type="spellStart"/>
      <w:r>
        <w:t>AsIII</w:t>
      </w:r>
      <w:proofErr w:type="spellEnd"/>
      <w:r>
        <w:t>, MMA, DMA) in the extracts obtained from rhizosphere, root-plaque and grain samples, and the pore-water samples were analyzed in a 200 model high performance liquid chromatography (HPLC) system (Perkin Elmer, Waltham, MA, USA) with a AG7 guard column (</w:t>
      </w:r>
      <w:proofErr w:type="spellStart"/>
      <w:r>
        <w:t>Dionex</w:t>
      </w:r>
      <w:proofErr w:type="spellEnd"/>
      <w:r>
        <w:t xml:space="preserve">, Sunnyvale, CA, USA) and an </w:t>
      </w:r>
      <w:proofErr w:type="spellStart"/>
      <w:r>
        <w:t>IonPac</w:t>
      </w:r>
      <w:proofErr w:type="spellEnd"/>
      <w:r>
        <w:t xml:space="preserve"> AS7 anion-exchange column (</w:t>
      </w:r>
      <w:proofErr w:type="spellStart"/>
      <w:r>
        <w:t>Dionex</w:t>
      </w:r>
      <w:proofErr w:type="spellEnd"/>
      <w:r>
        <w:t xml:space="preserve">), which were attached inline to a ELAN DRCII model inductively-coupled-plasma mass-spectrometry (ICP-MS) (Perkin Elmer). The total </w:t>
      </w:r>
      <w:proofErr w:type="gramStart"/>
      <w:r>
        <w:t>As</w:t>
      </w:r>
      <w:proofErr w:type="gramEnd"/>
      <w:r>
        <w:t xml:space="preserve"> concentrations were determined using a ELAN DRCII model ICP-MS (Perkin Elmer).</w:t>
      </w:r>
    </w:p>
    <w:p w14:paraId="5FA299CD" w14:textId="77777777" w:rsidR="0024209F" w:rsidRPr="00C614A3" w:rsidRDefault="0024209F" w:rsidP="0024209F">
      <w:pPr>
        <w:pStyle w:val="BodyText"/>
        <w:spacing w:before="120" w:after="120" w:line="360" w:lineRule="auto"/>
        <w:rPr>
          <w:b/>
          <w:bCs/>
        </w:rPr>
      </w:pPr>
      <w:r w:rsidRPr="00C614A3">
        <w:rPr>
          <w:b/>
          <w:bCs/>
        </w:rPr>
        <w:t xml:space="preserve">Standards and reference materials used for </w:t>
      </w:r>
      <w:proofErr w:type="gramStart"/>
      <w:r w:rsidRPr="00C614A3">
        <w:rPr>
          <w:b/>
          <w:bCs/>
        </w:rPr>
        <w:t>As</w:t>
      </w:r>
      <w:proofErr w:type="gramEnd"/>
      <w:r w:rsidRPr="00C614A3">
        <w:rPr>
          <w:b/>
          <w:bCs/>
        </w:rPr>
        <w:t xml:space="preserve"> analysis </w:t>
      </w:r>
    </w:p>
    <w:p w14:paraId="7BF33F83" w14:textId="77777777" w:rsidR="0024209F" w:rsidRDefault="0024209F" w:rsidP="0024209F">
      <w:pPr>
        <w:pStyle w:val="BodyText"/>
        <w:spacing w:before="120" w:after="120" w:line="360" w:lineRule="auto"/>
        <w:ind w:right="162"/>
      </w:pPr>
      <w:r>
        <w:t>The DMA</w:t>
      </w:r>
      <w:r>
        <w:rPr>
          <w:vertAlign w:val="superscript"/>
        </w:rPr>
        <w:t>V</w:t>
      </w:r>
      <w:r>
        <w:t xml:space="preserve"> and </w:t>
      </w:r>
      <w:proofErr w:type="spellStart"/>
      <w:r>
        <w:t>MMAs</w:t>
      </w:r>
      <w:r>
        <w:rPr>
          <w:vertAlign w:val="superscript"/>
        </w:rPr>
        <w:t>V</w:t>
      </w:r>
      <w:proofErr w:type="spellEnd"/>
      <w:r>
        <w:t xml:space="preserve"> were obtained from Chem Service (West Chester, PA, USA) as dimethyl </w:t>
      </w:r>
      <w:proofErr w:type="spellStart"/>
      <w:r>
        <w:t>arsinic</w:t>
      </w:r>
      <w:proofErr w:type="spellEnd"/>
      <w:r>
        <w:t xml:space="preserve"> acid and monosodium acid </w:t>
      </w:r>
      <w:proofErr w:type="spellStart"/>
      <w:r>
        <w:t>methanearsonate</w:t>
      </w:r>
      <w:proofErr w:type="spellEnd"/>
      <w:r>
        <w:t>, respectively. Arsenate was obtained as sodium arsonate (Na</w:t>
      </w:r>
      <w:r>
        <w:rPr>
          <w:vertAlign w:val="subscript"/>
        </w:rPr>
        <w:t>2</w:t>
      </w:r>
      <w:r>
        <w:t>HAsO</w:t>
      </w:r>
      <w:r>
        <w:rPr>
          <w:vertAlign w:val="subscript"/>
        </w:rPr>
        <w:t>4</w:t>
      </w:r>
      <w:r>
        <w:t>•7H</w:t>
      </w:r>
      <w:r>
        <w:rPr>
          <w:vertAlign w:val="subscript"/>
        </w:rPr>
        <w:t>2</w:t>
      </w:r>
      <w:r>
        <w:t xml:space="preserve">O) from Sigma (St. Louis, MO, USA) and </w:t>
      </w:r>
      <w:proofErr w:type="spellStart"/>
      <w:r>
        <w:t>iAs</w:t>
      </w:r>
      <w:r>
        <w:rPr>
          <w:vertAlign w:val="superscript"/>
        </w:rPr>
        <w:t>III</w:t>
      </w:r>
      <w:proofErr w:type="spellEnd"/>
      <w:r>
        <w:t xml:space="preserve"> as </w:t>
      </w:r>
      <w:proofErr w:type="spellStart"/>
      <w:r>
        <w:t>arsenite</w:t>
      </w:r>
      <w:proofErr w:type="spellEnd"/>
      <w:r>
        <w:t xml:space="preserve"> oxide (As</w:t>
      </w:r>
      <w:r>
        <w:rPr>
          <w:vertAlign w:val="subscript"/>
        </w:rPr>
        <w:t>2</w:t>
      </w:r>
      <w:r>
        <w:t>O</w:t>
      </w:r>
      <w:r>
        <w:rPr>
          <w:vertAlign w:val="subscript"/>
        </w:rPr>
        <w:t>3</w:t>
      </w:r>
      <w:r>
        <w:t xml:space="preserve">) from Alfa </w:t>
      </w:r>
      <w:proofErr w:type="spellStart"/>
      <w:r>
        <w:t>Aesar</w:t>
      </w:r>
      <w:proofErr w:type="spellEnd"/>
      <w:r>
        <w:t xml:space="preserve"> (Ward Hill, MA, USA). A Perkin Elmer 200 HPLC system (Waltham, MA, USA) with a guard column (</w:t>
      </w:r>
      <w:proofErr w:type="spellStart"/>
      <w:r>
        <w:t>Dionex</w:t>
      </w:r>
      <w:proofErr w:type="spellEnd"/>
      <w:r>
        <w:t xml:space="preserve"> </w:t>
      </w:r>
      <w:proofErr w:type="spellStart"/>
      <w:r>
        <w:t>IonPac</w:t>
      </w:r>
      <w:proofErr w:type="spellEnd"/>
      <w:r>
        <w:t xml:space="preserve"> AG7, Sunnyvale, CA, USA) and an anion-exchange column (</w:t>
      </w:r>
      <w:proofErr w:type="spellStart"/>
      <w:r>
        <w:t>Dionex</w:t>
      </w:r>
      <w:proofErr w:type="spellEnd"/>
      <w:r>
        <w:t xml:space="preserve"> </w:t>
      </w:r>
      <w:proofErr w:type="spellStart"/>
      <w:r>
        <w:t>IonPac</w:t>
      </w:r>
      <w:proofErr w:type="spellEnd"/>
      <w:r>
        <w:t xml:space="preserve"> AS7) was used for separation of </w:t>
      </w:r>
      <w:proofErr w:type="gramStart"/>
      <w:r>
        <w:t>As</w:t>
      </w:r>
      <w:proofErr w:type="gramEnd"/>
      <w:r>
        <w:t xml:space="preserve"> species, which were then quantified by in-line ICP-MS using a Perkin Elmer DRC-ELAN II. The HPLC instrument parameters are presented in Table S3. The post column addition of 3% methanol was used to offset ionization problems due to variable C concentrations. The total </w:t>
      </w:r>
      <w:proofErr w:type="gramStart"/>
      <w:r>
        <w:t>As</w:t>
      </w:r>
      <w:proofErr w:type="gramEnd"/>
      <w:r>
        <w:t xml:space="preserve"> was measured by ICP-MS.</w:t>
      </w:r>
    </w:p>
    <w:p w14:paraId="3DD86FF6" w14:textId="77777777" w:rsidR="0024209F" w:rsidRPr="00FB1C93" w:rsidRDefault="0024209F" w:rsidP="0024209F">
      <w:pPr>
        <w:pStyle w:val="BodyText"/>
        <w:spacing w:before="120" w:after="120" w:line="360" w:lineRule="auto"/>
        <w:ind w:right="379"/>
        <w:jc w:val="both"/>
        <w:rPr>
          <w:b/>
          <w:bCs/>
        </w:rPr>
      </w:pPr>
      <w:r w:rsidRPr="00FB1C93">
        <w:rPr>
          <w:b/>
          <w:bCs/>
        </w:rPr>
        <w:t xml:space="preserve">Estimation of Fe concentrations in root-plaque samples: </w:t>
      </w:r>
    </w:p>
    <w:p w14:paraId="334C1572" w14:textId="5835DA92" w:rsidR="0024209F" w:rsidRDefault="0024209F" w:rsidP="0024209F">
      <w:pPr>
        <w:pStyle w:val="BodyText"/>
        <w:spacing w:before="120" w:after="120" w:line="360" w:lineRule="auto"/>
        <w:ind w:right="379"/>
        <w:jc w:val="both"/>
      </w:pPr>
      <w:r>
        <w:t xml:space="preserve">In order to estimate </w:t>
      </w:r>
      <w:proofErr w:type="spellStart"/>
      <w:proofErr w:type="gramStart"/>
      <w:r>
        <w:t>As:Fe</w:t>
      </w:r>
      <w:proofErr w:type="spellEnd"/>
      <w:proofErr w:type="gramEnd"/>
      <w:r>
        <w:t xml:space="preserve"> molar ratios in the root-plaque samples, a separate total-As and Fe concentrations were determined following ammonium-oxalate extraction in the dark . Approximately 2.5 g of fresh root was placed in a polypropylene centrifuge tube that was covered with aluminum foil to prevent exposure to light. Twenty milliliters of extracting solution (0.175 M ammonium oxalate + 0.1 M oxalic acid at pH 3) were added and the resulting mixture was agitated for 2 </w:t>
      </w:r>
      <w:proofErr w:type="spellStart"/>
      <w:r>
        <w:t>hr</w:t>
      </w:r>
      <w:proofErr w:type="spellEnd"/>
      <w:r>
        <w:t xml:space="preserve"> on a reciprocating platform shaker. The suspensions were then centrifuged, and the supernatant solution was filtered, and stored at 4 </w:t>
      </w:r>
      <w:proofErr w:type="spellStart"/>
      <w:r>
        <w:rPr>
          <w:vertAlign w:val="superscript"/>
        </w:rPr>
        <w:t>o</w:t>
      </w:r>
      <w:r>
        <w:t>C</w:t>
      </w:r>
      <w:proofErr w:type="spellEnd"/>
      <w:r>
        <w:t xml:space="preserve"> for As and Fe analysis. The dry mass of the root-plaque samples </w:t>
      </w:r>
      <w:proofErr w:type="gramStart"/>
      <w:r>
        <w:t>were</w:t>
      </w:r>
      <w:proofErr w:type="gramEnd"/>
      <w:r>
        <w:t xml:space="preserve"> analyzed after the samples were washed with deionized water and oven dried at 60 </w:t>
      </w:r>
      <w:proofErr w:type="spellStart"/>
      <w:r>
        <w:rPr>
          <w:vertAlign w:val="superscript"/>
        </w:rPr>
        <w:t>o</w:t>
      </w:r>
      <w:r>
        <w:t>C</w:t>
      </w:r>
      <w:proofErr w:type="spellEnd"/>
      <w:r>
        <w:t xml:space="preserve"> for 12 hours. Total iron concentrations were determined using an </w:t>
      </w:r>
      <w:proofErr w:type="spellStart"/>
      <w:r>
        <w:t>AAnalyst</w:t>
      </w:r>
      <w:proofErr w:type="spellEnd"/>
      <w:r>
        <w:t xml:space="preserve"> 400 model atomic-absorption spectrophotometer (Perkin Elmer).</w:t>
      </w:r>
    </w:p>
    <w:p w14:paraId="250EF01A" w14:textId="12E9C75F" w:rsidR="00DA1461" w:rsidRDefault="00DA1461" w:rsidP="0024209F">
      <w:pPr>
        <w:pStyle w:val="BodyText"/>
        <w:spacing w:before="120" w:after="120" w:line="360" w:lineRule="auto"/>
        <w:ind w:right="379"/>
        <w:jc w:val="both"/>
        <w:rPr>
          <w:b/>
        </w:rPr>
      </w:pPr>
      <w:proofErr w:type="spellStart"/>
      <w:r w:rsidRPr="0056028A">
        <w:rPr>
          <w:b/>
        </w:rPr>
        <w:lastRenderedPageBreak/>
        <w:t>GeoChip</w:t>
      </w:r>
      <w:proofErr w:type="spellEnd"/>
      <w:r w:rsidRPr="0056028A">
        <w:rPr>
          <w:b/>
        </w:rPr>
        <w:t xml:space="preserve"> microarray hybridization</w:t>
      </w:r>
    </w:p>
    <w:p w14:paraId="2F2C55D6" w14:textId="0FAD88ED" w:rsidR="006E0EEF" w:rsidRDefault="006E0EEF" w:rsidP="006E0EEF">
      <w:pPr>
        <w:pStyle w:val="BodyText"/>
        <w:spacing w:before="120" w:after="120" w:line="360" w:lineRule="auto"/>
        <w:ind w:right="379"/>
        <w:jc w:val="both"/>
      </w:pPr>
      <w:r>
        <w:t xml:space="preserve">The genomic DNA samples </w:t>
      </w:r>
      <w:proofErr w:type="spellStart"/>
      <w:r>
        <w:t>extcrated</w:t>
      </w:r>
      <w:proofErr w:type="spellEnd"/>
      <w:r>
        <w:t xml:space="preserve"> from the rhizosphere and root-plaque samples were labelled with Cy-3, purified using the QIA quick purification kit (Qiagen, Valencia, CA, USA) and quantified in a </w:t>
      </w:r>
      <w:proofErr w:type="spellStart"/>
      <w:r>
        <w:t>NanoDrop</w:t>
      </w:r>
      <w:proofErr w:type="spellEnd"/>
      <w:r>
        <w:t xml:space="preserve"> ND-1000 spectrophotometer (</w:t>
      </w:r>
      <w:proofErr w:type="spellStart"/>
      <w:r>
        <w:t>ThermoSavant</w:t>
      </w:r>
      <w:proofErr w:type="spellEnd"/>
      <w:r>
        <w:t>, Milford, MA, USA) and mixed with sample tracking control (</w:t>
      </w:r>
      <w:proofErr w:type="spellStart"/>
      <w:r>
        <w:t>NimbleGen</w:t>
      </w:r>
      <w:proofErr w:type="spellEnd"/>
      <w:r>
        <w:t xml:space="preserve">). Hybridization buffer at 7.32 </w:t>
      </w:r>
      <w:proofErr w:type="spellStart"/>
      <w:r>
        <w:t>μL</w:t>
      </w:r>
      <w:proofErr w:type="spellEnd"/>
      <w:r>
        <w:t>/sample was added, which contained 40% formamide, 1% SDS, 2.38% Cy3-labelled alignment oligo (</w:t>
      </w:r>
      <w:proofErr w:type="spellStart"/>
      <w:r>
        <w:t>NimbleGen</w:t>
      </w:r>
      <w:proofErr w:type="spellEnd"/>
      <w:r>
        <w:t xml:space="preserve">), 25% SSC and 2.8% Cy5-labelled CORS target. The samples were then mixed by </w:t>
      </w:r>
      <w:proofErr w:type="spellStart"/>
      <w:r>
        <w:t>vortexing</w:t>
      </w:r>
      <w:proofErr w:type="spellEnd"/>
      <w:r>
        <w:t>, centrifuged, incubated at 95 °C for 5 min and maintained at 42 °C until hybridization. An HX12 mixer (</w:t>
      </w:r>
      <w:proofErr w:type="spellStart"/>
      <w:r>
        <w:t>NimbleGen</w:t>
      </w:r>
      <w:proofErr w:type="spellEnd"/>
      <w:r>
        <w:t xml:space="preserve">) was placed onto the array using </w:t>
      </w:r>
      <w:proofErr w:type="spellStart"/>
      <w:r>
        <w:t>NimbleGen's</w:t>
      </w:r>
      <w:proofErr w:type="spellEnd"/>
      <w:r>
        <w:t xml:space="preserve"> precision mixer alignment tool, and then, the array was preheated to 42 °C on a hybridization station (MAUI, </w:t>
      </w:r>
      <w:proofErr w:type="spellStart"/>
      <w:r>
        <w:t>BioMicro</w:t>
      </w:r>
      <w:proofErr w:type="spellEnd"/>
      <w:r>
        <w:t xml:space="preserve"> Systems, Salt Lake City, UT, USA) for 5 min. Samples (6.8 </w:t>
      </w:r>
      <w:proofErr w:type="spellStart"/>
      <w:r>
        <w:t>μL</w:t>
      </w:r>
      <w:proofErr w:type="spellEnd"/>
      <w:r>
        <w:t xml:space="preserve">) were then loaded onto the array surface and hybridized approximately 16 h with mixing. </w:t>
      </w:r>
    </w:p>
    <w:p w14:paraId="5536BE2E" w14:textId="701B2C96" w:rsidR="006E0EEF" w:rsidRDefault="006E0EEF" w:rsidP="006E0EEF">
      <w:pPr>
        <w:pStyle w:val="BodyText"/>
        <w:spacing w:before="120" w:after="120" w:line="360" w:lineRule="auto"/>
        <w:ind w:right="379"/>
        <w:jc w:val="both"/>
      </w:pPr>
      <w:r>
        <w:t xml:space="preserve">After hybridization, arrays were scanned at 100% photomultiplier tubes gain </w:t>
      </w:r>
      <w:r w:rsidR="006469BF">
        <w:t>using</w:t>
      </w:r>
      <w:r>
        <w:t xml:space="preserve"> a </w:t>
      </w:r>
      <w:proofErr w:type="spellStart"/>
      <w:r>
        <w:t>NimbleGen</w:t>
      </w:r>
      <w:proofErr w:type="spellEnd"/>
      <w:r>
        <w:t xml:space="preserve"> MS 200 Microarray Scanner (Roche </w:t>
      </w:r>
      <w:proofErr w:type="spellStart"/>
      <w:r>
        <w:t>NimbleGen</w:t>
      </w:r>
      <w:proofErr w:type="spellEnd"/>
      <w:r>
        <w:t>). Scanned images were</w:t>
      </w:r>
      <w:r w:rsidR="006469BF">
        <w:t xml:space="preserve"> assigned</w:t>
      </w:r>
      <w:r>
        <w:t xml:space="preserve"> </w:t>
      </w:r>
      <w:r w:rsidR="006469BF">
        <w:t xml:space="preserve">grids using the </w:t>
      </w:r>
      <w:proofErr w:type="spellStart"/>
      <w:r>
        <w:t>NimbleScan</w:t>
      </w:r>
      <w:proofErr w:type="spellEnd"/>
      <w:r>
        <w:t xml:space="preserve"> software</w:t>
      </w:r>
      <w:r w:rsidR="006469BF">
        <w:t>. S</w:t>
      </w:r>
      <w:r>
        <w:t>ignal intensity for each probe</w:t>
      </w:r>
      <w:r w:rsidR="006469BF">
        <w:t xml:space="preserve"> were obtained using the grid file containing </w:t>
      </w:r>
      <w:proofErr w:type="spellStart"/>
      <w:r w:rsidR="006469BF">
        <w:t>GeoChip</w:t>
      </w:r>
      <w:proofErr w:type="spellEnd"/>
      <w:r w:rsidR="006469BF">
        <w:t xml:space="preserve"> 4 probes and </w:t>
      </w:r>
      <w:proofErr w:type="spellStart"/>
      <w:r w:rsidR="006469BF">
        <w:t>NimbleGen</w:t>
      </w:r>
      <w:proofErr w:type="spellEnd"/>
      <w:r w:rsidR="006469BF">
        <w:t xml:space="preserve"> control probes</w:t>
      </w:r>
      <w:r>
        <w:t>. Probe spots with coefficient of variance (CV) &gt;0.8 were removed. Furter details on image processing details can be found in Tu et al. (2014) (</w:t>
      </w:r>
      <w:r>
        <w:fldChar w:fldCharType="begin"/>
      </w:r>
      <w:r w:rsidR="007C65E7">
        <w:instrText xml:space="preserve"> ADDIN EN.CITE &lt;EndNote&gt;&lt;Cite&gt;&lt;Author&gt;Tu&lt;/Author&gt;&lt;Year&gt;2014&lt;/Year&gt;&lt;RecNum&gt;3046&lt;/RecNum&gt;&lt;DisplayText&gt;(5)&lt;/DisplayText&gt;&lt;record&gt;&lt;rec-number&gt;3046&lt;/rec-number&gt;&lt;foreign-keys&gt;&lt;key app="EN" db-id="sa5s0asfar5fave9axrpsd2cvwdw20fr2wwa" timestamp="1625494243"&gt;3046&lt;/key&gt;&lt;/foreign-keys&gt;&lt;ref-type name="Journal Article"&gt;17&lt;/ref-type&gt;&lt;contributors&gt;&lt;authors&gt;&lt;author&gt;Tu, Qichao&lt;/author&gt;&lt;author&gt;Yu, Hao&lt;/author&gt;&lt;author&gt;He, Zhili&lt;/author&gt;&lt;author&gt;Deng, YE&lt;/author&gt;&lt;author&gt;Wu, Liyou&lt;/author&gt;&lt;author&gt;Van Nostrand, Joy D&lt;/author&gt;&lt;author&gt;Zhou, Aifen&lt;/author&gt;&lt;author&gt;Voordeckers, James&lt;/author&gt;&lt;author&gt;Lee, Yong‐Jin&lt;/author&gt;&lt;author&gt;Qin, Yujia&lt;/author&gt;&lt;/authors&gt;&lt;/contributors&gt;&lt;titles&gt;&lt;title&gt;GeoChip 4: a functional gene‐array‐based high‐throughput environmental technology for microbial community analysis&lt;/title&gt;&lt;secondary-title&gt;Molecular ecology resources&lt;/secondary-title&gt;&lt;/titles&gt;&lt;periodical&gt;&lt;full-title&gt;Molecular Ecology Resources&lt;/full-title&gt;&lt;abbr-1&gt;Mol. Ecol. Resour.&lt;/abbr-1&gt;&lt;abbr-2&gt;Mol Ecol Resour&lt;/abbr-2&gt;&lt;/periodical&gt;&lt;pages&gt;914-928&lt;/pages&gt;&lt;volume&gt;14&lt;/volume&gt;&lt;number&gt;5&lt;/number&gt;&lt;dates&gt;&lt;year&gt;2014&lt;/year&gt;&lt;/dates&gt;&lt;isbn&gt;1755-098X&lt;/isbn&gt;&lt;urls&gt;&lt;/urls&gt;&lt;/record&gt;&lt;/Cite&gt;&lt;/EndNote&gt;</w:instrText>
      </w:r>
      <w:r>
        <w:fldChar w:fldCharType="separate"/>
      </w:r>
      <w:r>
        <w:rPr>
          <w:noProof/>
        </w:rPr>
        <w:t>(5)</w:t>
      </w:r>
      <w:r>
        <w:fldChar w:fldCharType="end"/>
      </w:r>
    </w:p>
    <w:p w14:paraId="26474F71" w14:textId="5C90E0EB" w:rsidR="00CA76BA" w:rsidRDefault="00CA76BA" w:rsidP="00764E65">
      <w:pPr>
        <w:spacing w:before="120" w:after="120" w:line="360" w:lineRule="auto"/>
      </w:pPr>
    </w:p>
    <w:p w14:paraId="3D1187C4" w14:textId="64922F5C" w:rsidR="00170A4E" w:rsidRDefault="00170A4E" w:rsidP="00764E65">
      <w:pPr>
        <w:spacing w:before="120" w:after="120" w:line="360" w:lineRule="auto"/>
      </w:pPr>
    </w:p>
    <w:p w14:paraId="572FCF5C" w14:textId="6032EEB0" w:rsidR="00170A4E" w:rsidRDefault="00170A4E" w:rsidP="00764E65">
      <w:pPr>
        <w:spacing w:before="120" w:after="120" w:line="360" w:lineRule="auto"/>
      </w:pPr>
    </w:p>
    <w:p w14:paraId="1CFBAFDB" w14:textId="7E9616D5" w:rsidR="00170A4E" w:rsidRDefault="00170A4E" w:rsidP="00764E65">
      <w:pPr>
        <w:spacing w:before="120" w:after="120" w:line="360" w:lineRule="auto"/>
      </w:pPr>
    </w:p>
    <w:p w14:paraId="5EF6E502" w14:textId="40BC72D7" w:rsidR="00170A4E" w:rsidRDefault="00170A4E" w:rsidP="00764E65">
      <w:pPr>
        <w:spacing w:before="120" w:after="120" w:line="360" w:lineRule="auto"/>
      </w:pPr>
    </w:p>
    <w:p w14:paraId="188E7847" w14:textId="2CA8EAED" w:rsidR="00170A4E" w:rsidRDefault="00170A4E" w:rsidP="00764E65">
      <w:pPr>
        <w:spacing w:before="120" w:after="120" w:line="360" w:lineRule="auto"/>
      </w:pPr>
    </w:p>
    <w:p w14:paraId="6749433D" w14:textId="00A55D65" w:rsidR="00170A4E" w:rsidRDefault="00170A4E" w:rsidP="00764E65">
      <w:pPr>
        <w:spacing w:before="120" w:after="120" w:line="360" w:lineRule="auto"/>
      </w:pPr>
    </w:p>
    <w:p w14:paraId="62FCA42F" w14:textId="11339DA2" w:rsidR="00170A4E" w:rsidRDefault="00170A4E" w:rsidP="00764E65">
      <w:pPr>
        <w:spacing w:before="120" w:after="120" w:line="360" w:lineRule="auto"/>
      </w:pPr>
    </w:p>
    <w:p w14:paraId="043306C7" w14:textId="3497B93D" w:rsidR="00170A4E" w:rsidRDefault="00170A4E" w:rsidP="00764E65">
      <w:pPr>
        <w:spacing w:before="120" w:after="120" w:line="360" w:lineRule="auto"/>
      </w:pPr>
    </w:p>
    <w:p w14:paraId="155E7366" w14:textId="77777777" w:rsidR="00E93F3E" w:rsidRDefault="00E93F3E" w:rsidP="00764E65">
      <w:pPr>
        <w:spacing w:before="120" w:after="120" w:line="360" w:lineRule="auto"/>
        <w:sectPr w:rsidR="00E93F3E">
          <w:footerReference w:type="default" r:id="rId7"/>
          <w:pgSz w:w="12240" w:h="15840"/>
          <w:pgMar w:top="1440" w:right="1440" w:bottom="1440" w:left="1440" w:header="720" w:footer="720" w:gutter="0"/>
          <w:cols w:space="720"/>
          <w:docGrid w:linePitch="360"/>
        </w:sectPr>
      </w:pPr>
    </w:p>
    <w:p w14:paraId="386C8B03" w14:textId="04D69340" w:rsidR="008140C3" w:rsidRDefault="008140C3" w:rsidP="00764E65">
      <w:pPr>
        <w:spacing w:before="120" w:after="120" w:line="360" w:lineRule="auto"/>
        <w:rPr>
          <w:b/>
          <w:bCs/>
        </w:rPr>
      </w:pPr>
      <w:r w:rsidRPr="00744366">
        <w:rPr>
          <w:b/>
          <w:bCs/>
        </w:rPr>
        <w:lastRenderedPageBreak/>
        <w:t xml:space="preserve">Supplementary </w:t>
      </w:r>
      <w:r w:rsidR="00744366" w:rsidRPr="00744366">
        <w:rPr>
          <w:b/>
          <w:bCs/>
        </w:rPr>
        <w:t>tables and figures</w:t>
      </w:r>
    </w:p>
    <w:p w14:paraId="041FD3DC" w14:textId="62CB5794" w:rsidR="00E93F3E" w:rsidRDefault="00E93F3E" w:rsidP="00764E65">
      <w:pPr>
        <w:spacing w:before="120" w:after="120" w:line="360" w:lineRule="auto"/>
        <w:rPr>
          <w:b/>
          <w:bCs/>
        </w:rPr>
      </w:pPr>
      <w:r w:rsidRPr="00D96FCE">
        <w:t xml:space="preserve">Table S1. </w:t>
      </w:r>
      <w:r w:rsidRPr="00301CC5">
        <w:t>C</w:t>
      </w:r>
      <w:r>
        <w:t>hemical characteristics of soil samples from the treatment plots</w:t>
      </w:r>
    </w:p>
    <w:tbl>
      <w:tblPr>
        <w:tblW w:w="0" w:type="auto"/>
        <w:tblLook w:val="04A0" w:firstRow="1" w:lastRow="0" w:firstColumn="1" w:lastColumn="0" w:noHBand="0" w:noVBand="1"/>
      </w:tblPr>
      <w:tblGrid>
        <w:gridCol w:w="1296"/>
        <w:gridCol w:w="1299"/>
        <w:gridCol w:w="636"/>
        <w:gridCol w:w="1144"/>
        <w:gridCol w:w="1116"/>
        <w:gridCol w:w="937"/>
        <w:gridCol w:w="334"/>
        <w:gridCol w:w="869"/>
        <w:gridCol w:w="876"/>
        <w:gridCol w:w="576"/>
        <w:gridCol w:w="723"/>
        <w:gridCol w:w="790"/>
        <w:gridCol w:w="636"/>
        <w:gridCol w:w="576"/>
        <w:gridCol w:w="636"/>
        <w:gridCol w:w="516"/>
      </w:tblGrid>
      <w:tr w:rsidR="00855AA4" w:rsidRPr="00855AA4" w14:paraId="7D87D008" w14:textId="77777777" w:rsidTr="00D96FCE">
        <w:trPr>
          <w:trHeight w:val="850"/>
        </w:trPr>
        <w:tc>
          <w:tcPr>
            <w:tcW w:w="810" w:type="dxa"/>
            <w:vMerge w:val="restart"/>
            <w:tcBorders>
              <w:top w:val="single" w:sz="4" w:space="0" w:color="auto"/>
            </w:tcBorders>
            <w:shd w:val="clear" w:color="auto" w:fill="auto"/>
            <w:vAlign w:val="center"/>
            <w:hideMark/>
          </w:tcPr>
          <w:p w14:paraId="63167DBE"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Treatments</w:t>
            </w:r>
          </w:p>
        </w:tc>
        <w:tc>
          <w:tcPr>
            <w:tcW w:w="1450" w:type="dxa"/>
            <w:vMerge w:val="restart"/>
            <w:tcBorders>
              <w:top w:val="single" w:sz="4" w:space="0" w:color="auto"/>
            </w:tcBorders>
            <w:shd w:val="clear" w:color="auto" w:fill="auto"/>
            <w:vAlign w:val="center"/>
            <w:hideMark/>
          </w:tcPr>
          <w:p w14:paraId="32241BE5" w14:textId="39765635" w:rsidR="00855AA4" w:rsidRPr="00D96FCE" w:rsidRDefault="00855AA4" w:rsidP="00D96FCE">
            <w:pPr>
              <w:spacing w:after="0" w:line="240" w:lineRule="auto"/>
              <w:ind w:firstLineChars="200" w:firstLine="480"/>
              <w:jc w:val="center"/>
              <w:rPr>
                <w:rFonts w:eastAsia="Times New Roman"/>
                <w:color w:val="000000"/>
              </w:rPr>
            </w:pPr>
          </w:p>
          <w:p w14:paraId="70E2C440" w14:textId="2E4EDDA2" w:rsidR="00855AA4" w:rsidRPr="00D96FCE" w:rsidRDefault="00855AA4" w:rsidP="00D96FCE">
            <w:pPr>
              <w:spacing w:after="0" w:line="240" w:lineRule="auto"/>
              <w:jc w:val="center"/>
              <w:rPr>
                <w:rFonts w:eastAsia="Times New Roman"/>
                <w:color w:val="000000"/>
              </w:rPr>
            </w:pPr>
            <w:r w:rsidRPr="00D96FCE">
              <w:rPr>
                <w:rFonts w:eastAsia="Times New Roman"/>
                <w:color w:val="000000"/>
              </w:rPr>
              <w:t>Soil Texture</w:t>
            </w:r>
          </w:p>
        </w:tc>
        <w:tc>
          <w:tcPr>
            <w:tcW w:w="636" w:type="dxa"/>
            <w:vMerge w:val="restart"/>
            <w:tcBorders>
              <w:top w:val="single" w:sz="4" w:space="0" w:color="auto"/>
            </w:tcBorders>
            <w:shd w:val="clear" w:color="auto" w:fill="auto"/>
            <w:vAlign w:val="center"/>
            <w:hideMark/>
          </w:tcPr>
          <w:p w14:paraId="468FD079" w14:textId="41DC6041" w:rsidR="00855AA4" w:rsidRPr="00D96FCE" w:rsidRDefault="00855AA4">
            <w:pPr>
              <w:spacing w:after="0" w:line="240" w:lineRule="auto"/>
              <w:jc w:val="center"/>
              <w:rPr>
                <w:rFonts w:eastAsia="Times New Roman"/>
                <w:color w:val="000000"/>
              </w:rPr>
            </w:pPr>
            <w:r w:rsidRPr="00D96FCE">
              <w:rPr>
                <w:rFonts w:eastAsia="Times New Roman"/>
                <w:color w:val="000000"/>
              </w:rPr>
              <w:t>Soil pH</w:t>
            </w:r>
          </w:p>
        </w:tc>
        <w:tc>
          <w:tcPr>
            <w:tcW w:w="1229" w:type="dxa"/>
            <w:vMerge w:val="restart"/>
            <w:tcBorders>
              <w:top w:val="single" w:sz="4" w:space="0" w:color="auto"/>
            </w:tcBorders>
            <w:shd w:val="clear" w:color="auto" w:fill="auto"/>
            <w:vAlign w:val="center"/>
            <w:hideMark/>
          </w:tcPr>
          <w:p w14:paraId="6F18AEB7"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EC</w:t>
            </w:r>
          </w:p>
          <w:p w14:paraId="163D8A4D" w14:textId="20F3865D" w:rsidR="00855AA4" w:rsidRPr="00D96FCE" w:rsidRDefault="00855AA4" w:rsidP="00D96FCE">
            <w:pPr>
              <w:spacing w:after="0" w:line="240" w:lineRule="auto"/>
              <w:jc w:val="center"/>
              <w:rPr>
                <w:rFonts w:eastAsia="Times New Roman"/>
                <w:color w:val="000000"/>
              </w:rPr>
            </w:pPr>
            <w:r w:rsidRPr="00D96FCE">
              <w:rPr>
                <w:rFonts w:eastAsia="Times New Roman"/>
                <w:color w:val="000000"/>
              </w:rPr>
              <w:t xml:space="preserve">(µmhos </w:t>
            </w:r>
            <w:proofErr w:type="gramStart"/>
            <w:r w:rsidRPr="00D96FCE">
              <w:rPr>
                <w:rFonts w:eastAsia="Times New Roman"/>
                <w:color w:val="000000"/>
              </w:rPr>
              <w:t>cm</w:t>
            </w:r>
            <w:r w:rsidRPr="00D96FCE">
              <w:rPr>
                <w:rFonts w:eastAsia="Times New Roman"/>
                <w:color w:val="000000"/>
                <w:vertAlign w:val="superscript"/>
              </w:rPr>
              <w:t>-1</w:t>
            </w:r>
            <w:proofErr w:type="gramEnd"/>
            <w:r w:rsidRPr="00D96FCE">
              <w:rPr>
                <w:rFonts w:eastAsia="Times New Roman"/>
                <w:color w:val="000000"/>
              </w:rPr>
              <w:t>)</w:t>
            </w:r>
          </w:p>
        </w:tc>
        <w:tc>
          <w:tcPr>
            <w:tcW w:w="1116" w:type="dxa"/>
            <w:tcBorders>
              <w:top w:val="single" w:sz="4" w:space="0" w:color="auto"/>
              <w:bottom w:val="single" w:sz="4" w:space="0" w:color="auto"/>
            </w:tcBorders>
            <w:shd w:val="clear" w:color="auto" w:fill="auto"/>
            <w:vAlign w:val="center"/>
            <w:hideMark/>
          </w:tcPr>
          <w:p w14:paraId="51EF655E"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Organic carbon</w:t>
            </w:r>
          </w:p>
        </w:tc>
        <w:tc>
          <w:tcPr>
            <w:tcW w:w="1034" w:type="dxa"/>
            <w:tcBorders>
              <w:top w:val="single" w:sz="4" w:space="0" w:color="auto"/>
              <w:bottom w:val="single" w:sz="4" w:space="0" w:color="auto"/>
            </w:tcBorders>
            <w:shd w:val="clear" w:color="auto" w:fill="auto"/>
            <w:vAlign w:val="center"/>
            <w:hideMark/>
          </w:tcPr>
          <w:p w14:paraId="6810A63B"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Total N</w:t>
            </w:r>
          </w:p>
        </w:tc>
        <w:tc>
          <w:tcPr>
            <w:tcW w:w="385" w:type="dxa"/>
            <w:tcBorders>
              <w:top w:val="single" w:sz="4" w:space="0" w:color="auto"/>
            </w:tcBorders>
          </w:tcPr>
          <w:p w14:paraId="44431772" w14:textId="77777777" w:rsidR="00855AA4" w:rsidRPr="00855AA4" w:rsidRDefault="00855AA4" w:rsidP="00855AA4">
            <w:pPr>
              <w:spacing w:after="0" w:line="240" w:lineRule="auto"/>
              <w:jc w:val="center"/>
              <w:rPr>
                <w:rFonts w:eastAsia="Times New Roman"/>
                <w:color w:val="000000"/>
              </w:rPr>
            </w:pPr>
          </w:p>
        </w:tc>
        <w:tc>
          <w:tcPr>
            <w:tcW w:w="971" w:type="dxa"/>
            <w:tcBorders>
              <w:top w:val="single" w:sz="4" w:space="0" w:color="auto"/>
              <w:bottom w:val="single" w:sz="4" w:space="0" w:color="auto"/>
            </w:tcBorders>
            <w:shd w:val="clear" w:color="auto" w:fill="auto"/>
            <w:vAlign w:val="center"/>
            <w:hideMark/>
          </w:tcPr>
          <w:p w14:paraId="61C61287" w14:textId="35597750" w:rsidR="00855AA4" w:rsidRPr="00D96FCE" w:rsidRDefault="00855AA4" w:rsidP="00D96FCE">
            <w:pPr>
              <w:spacing w:after="0" w:line="240" w:lineRule="auto"/>
              <w:jc w:val="center"/>
              <w:rPr>
                <w:rFonts w:eastAsia="Times New Roman"/>
                <w:color w:val="000000"/>
              </w:rPr>
            </w:pPr>
            <w:r w:rsidRPr="00D96FCE">
              <w:rPr>
                <w:rFonts w:eastAsia="Times New Roman"/>
                <w:color w:val="000000"/>
              </w:rPr>
              <w:t>NO</w:t>
            </w:r>
            <w:r w:rsidRPr="00D96FCE">
              <w:rPr>
                <w:rFonts w:eastAsia="Times New Roman"/>
                <w:color w:val="000000"/>
                <w:vertAlign w:val="subscript"/>
              </w:rPr>
              <w:t>3</w:t>
            </w:r>
          </w:p>
        </w:tc>
        <w:tc>
          <w:tcPr>
            <w:tcW w:w="876" w:type="dxa"/>
            <w:tcBorders>
              <w:top w:val="single" w:sz="4" w:space="0" w:color="auto"/>
              <w:bottom w:val="single" w:sz="4" w:space="0" w:color="auto"/>
            </w:tcBorders>
            <w:shd w:val="clear" w:color="auto" w:fill="auto"/>
            <w:vAlign w:val="center"/>
            <w:hideMark/>
          </w:tcPr>
          <w:p w14:paraId="06C1B0DE"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P</w:t>
            </w:r>
          </w:p>
        </w:tc>
        <w:tc>
          <w:tcPr>
            <w:tcW w:w="576" w:type="dxa"/>
            <w:tcBorders>
              <w:top w:val="single" w:sz="4" w:space="0" w:color="auto"/>
              <w:bottom w:val="single" w:sz="4" w:space="0" w:color="auto"/>
            </w:tcBorders>
            <w:shd w:val="clear" w:color="auto" w:fill="auto"/>
            <w:vAlign w:val="center"/>
            <w:hideMark/>
          </w:tcPr>
          <w:p w14:paraId="4FAAF6BC"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K</w:t>
            </w:r>
          </w:p>
        </w:tc>
        <w:tc>
          <w:tcPr>
            <w:tcW w:w="723" w:type="dxa"/>
            <w:tcBorders>
              <w:top w:val="single" w:sz="4" w:space="0" w:color="auto"/>
              <w:bottom w:val="single" w:sz="4" w:space="0" w:color="auto"/>
            </w:tcBorders>
            <w:shd w:val="clear" w:color="auto" w:fill="auto"/>
            <w:vAlign w:val="center"/>
            <w:hideMark/>
          </w:tcPr>
          <w:p w14:paraId="6CC86C13" w14:textId="77777777" w:rsidR="00855AA4" w:rsidRPr="00D96FCE" w:rsidRDefault="00855AA4" w:rsidP="00D96FCE">
            <w:pPr>
              <w:spacing w:after="0" w:line="240" w:lineRule="auto"/>
              <w:ind w:firstLineChars="100" w:firstLine="240"/>
              <w:jc w:val="center"/>
              <w:rPr>
                <w:rFonts w:eastAsia="Times New Roman"/>
                <w:color w:val="000000"/>
              </w:rPr>
            </w:pPr>
            <w:r w:rsidRPr="00D96FCE">
              <w:rPr>
                <w:rFonts w:eastAsia="Times New Roman"/>
                <w:color w:val="000000"/>
              </w:rPr>
              <w:t>Ca</w:t>
            </w:r>
          </w:p>
        </w:tc>
        <w:tc>
          <w:tcPr>
            <w:tcW w:w="790" w:type="dxa"/>
            <w:tcBorders>
              <w:top w:val="single" w:sz="4" w:space="0" w:color="auto"/>
              <w:bottom w:val="single" w:sz="4" w:space="0" w:color="auto"/>
            </w:tcBorders>
            <w:shd w:val="clear" w:color="auto" w:fill="auto"/>
            <w:vAlign w:val="center"/>
            <w:hideMark/>
          </w:tcPr>
          <w:p w14:paraId="5FE716AD" w14:textId="77777777" w:rsidR="00855AA4" w:rsidRPr="00D96FCE" w:rsidRDefault="00855AA4" w:rsidP="00D96FCE">
            <w:pPr>
              <w:spacing w:after="0" w:line="240" w:lineRule="auto"/>
              <w:ind w:firstLineChars="100" w:firstLine="240"/>
              <w:jc w:val="center"/>
              <w:rPr>
                <w:rFonts w:eastAsia="Times New Roman"/>
                <w:color w:val="000000"/>
              </w:rPr>
            </w:pPr>
            <w:r w:rsidRPr="00D96FCE">
              <w:rPr>
                <w:rFonts w:eastAsia="Times New Roman"/>
                <w:color w:val="000000"/>
              </w:rPr>
              <w:t>Mg</w:t>
            </w:r>
          </w:p>
        </w:tc>
        <w:tc>
          <w:tcPr>
            <w:tcW w:w="636" w:type="dxa"/>
            <w:tcBorders>
              <w:top w:val="single" w:sz="4" w:space="0" w:color="auto"/>
              <w:bottom w:val="single" w:sz="4" w:space="0" w:color="auto"/>
            </w:tcBorders>
            <w:shd w:val="clear" w:color="auto" w:fill="auto"/>
            <w:vAlign w:val="center"/>
            <w:hideMark/>
          </w:tcPr>
          <w:p w14:paraId="3F5DDBC4"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S</w:t>
            </w:r>
          </w:p>
        </w:tc>
        <w:tc>
          <w:tcPr>
            <w:tcW w:w="576" w:type="dxa"/>
            <w:tcBorders>
              <w:top w:val="single" w:sz="4" w:space="0" w:color="auto"/>
              <w:bottom w:val="single" w:sz="4" w:space="0" w:color="auto"/>
            </w:tcBorders>
            <w:shd w:val="clear" w:color="auto" w:fill="auto"/>
            <w:vAlign w:val="center"/>
            <w:hideMark/>
          </w:tcPr>
          <w:p w14:paraId="0EC4BDC8"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Na</w:t>
            </w:r>
          </w:p>
        </w:tc>
        <w:tc>
          <w:tcPr>
            <w:tcW w:w="636" w:type="dxa"/>
            <w:tcBorders>
              <w:top w:val="single" w:sz="4" w:space="0" w:color="auto"/>
              <w:bottom w:val="single" w:sz="4" w:space="0" w:color="auto"/>
            </w:tcBorders>
            <w:shd w:val="clear" w:color="auto" w:fill="auto"/>
            <w:vAlign w:val="center"/>
            <w:hideMark/>
          </w:tcPr>
          <w:p w14:paraId="2CB15163"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Fe</w:t>
            </w:r>
          </w:p>
        </w:tc>
        <w:tc>
          <w:tcPr>
            <w:tcW w:w="516" w:type="dxa"/>
            <w:tcBorders>
              <w:top w:val="single" w:sz="4" w:space="0" w:color="auto"/>
              <w:bottom w:val="single" w:sz="4" w:space="0" w:color="auto"/>
            </w:tcBorders>
            <w:shd w:val="clear" w:color="auto" w:fill="auto"/>
            <w:vAlign w:val="center"/>
            <w:hideMark/>
          </w:tcPr>
          <w:p w14:paraId="298C117E"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Zn</w:t>
            </w:r>
          </w:p>
        </w:tc>
      </w:tr>
      <w:tr w:rsidR="00855AA4" w:rsidRPr="00855AA4" w14:paraId="6639933C" w14:textId="77777777" w:rsidTr="00D96FCE">
        <w:trPr>
          <w:trHeight w:val="413"/>
        </w:trPr>
        <w:tc>
          <w:tcPr>
            <w:tcW w:w="810" w:type="dxa"/>
            <w:vMerge/>
            <w:tcBorders>
              <w:bottom w:val="single" w:sz="4" w:space="0" w:color="auto"/>
            </w:tcBorders>
            <w:shd w:val="clear" w:color="auto" w:fill="auto"/>
            <w:vAlign w:val="center"/>
          </w:tcPr>
          <w:p w14:paraId="3CAC55E6" w14:textId="77777777" w:rsidR="00855AA4" w:rsidRPr="00D96FCE" w:rsidRDefault="00855AA4" w:rsidP="00855AA4">
            <w:pPr>
              <w:spacing w:after="0" w:line="240" w:lineRule="auto"/>
              <w:jc w:val="center"/>
              <w:rPr>
                <w:rFonts w:eastAsia="Times New Roman"/>
                <w:color w:val="000000"/>
              </w:rPr>
            </w:pPr>
          </w:p>
        </w:tc>
        <w:tc>
          <w:tcPr>
            <w:tcW w:w="1450" w:type="dxa"/>
            <w:vMerge/>
            <w:tcBorders>
              <w:bottom w:val="single" w:sz="4" w:space="0" w:color="auto"/>
            </w:tcBorders>
            <w:shd w:val="clear" w:color="auto" w:fill="auto"/>
            <w:vAlign w:val="center"/>
          </w:tcPr>
          <w:p w14:paraId="3A6829DA" w14:textId="77777777" w:rsidR="00855AA4" w:rsidRPr="00D96FCE" w:rsidRDefault="00855AA4" w:rsidP="00855AA4">
            <w:pPr>
              <w:spacing w:after="0" w:line="240" w:lineRule="auto"/>
              <w:ind w:firstLineChars="200" w:firstLine="480"/>
              <w:jc w:val="center"/>
              <w:rPr>
                <w:rFonts w:eastAsia="Times New Roman"/>
                <w:color w:val="000000"/>
              </w:rPr>
            </w:pPr>
          </w:p>
        </w:tc>
        <w:tc>
          <w:tcPr>
            <w:tcW w:w="636" w:type="dxa"/>
            <w:vMerge/>
            <w:tcBorders>
              <w:bottom w:val="single" w:sz="4" w:space="0" w:color="auto"/>
            </w:tcBorders>
            <w:shd w:val="clear" w:color="auto" w:fill="auto"/>
            <w:vAlign w:val="center"/>
          </w:tcPr>
          <w:p w14:paraId="491A6D1B" w14:textId="77777777" w:rsidR="00855AA4" w:rsidRPr="00D96FCE" w:rsidRDefault="00855AA4" w:rsidP="00855AA4">
            <w:pPr>
              <w:spacing w:after="0" w:line="240" w:lineRule="auto"/>
              <w:jc w:val="center"/>
              <w:rPr>
                <w:rFonts w:eastAsia="Times New Roman"/>
                <w:color w:val="000000"/>
              </w:rPr>
            </w:pPr>
          </w:p>
        </w:tc>
        <w:tc>
          <w:tcPr>
            <w:tcW w:w="1229" w:type="dxa"/>
            <w:vMerge/>
            <w:tcBorders>
              <w:bottom w:val="single" w:sz="4" w:space="0" w:color="auto"/>
            </w:tcBorders>
            <w:shd w:val="clear" w:color="auto" w:fill="auto"/>
            <w:vAlign w:val="center"/>
          </w:tcPr>
          <w:p w14:paraId="15D887A4" w14:textId="77777777" w:rsidR="00855AA4" w:rsidRPr="00D96FCE" w:rsidRDefault="00855AA4" w:rsidP="00855AA4">
            <w:pPr>
              <w:spacing w:after="0" w:line="240" w:lineRule="auto"/>
              <w:jc w:val="center"/>
              <w:rPr>
                <w:rFonts w:eastAsia="Times New Roman"/>
                <w:color w:val="000000"/>
              </w:rPr>
            </w:pPr>
          </w:p>
        </w:tc>
        <w:tc>
          <w:tcPr>
            <w:tcW w:w="2150" w:type="dxa"/>
            <w:gridSpan w:val="2"/>
            <w:tcBorders>
              <w:top w:val="single" w:sz="4" w:space="0" w:color="auto"/>
              <w:bottom w:val="single" w:sz="4" w:space="0" w:color="auto"/>
            </w:tcBorders>
            <w:shd w:val="clear" w:color="auto" w:fill="auto"/>
            <w:vAlign w:val="center"/>
          </w:tcPr>
          <w:p w14:paraId="3F2C2E17" w14:textId="73E67B67" w:rsidR="00855AA4" w:rsidRPr="00D96FCE" w:rsidRDefault="00855AA4" w:rsidP="00855AA4">
            <w:pPr>
              <w:spacing w:after="0" w:line="240" w:lineRule="auto"/>
              <w:jc w:val="center"/>
              <w:rPr>
                <w:rFonts w:eastAsia="Times New Roman"/>
                <w:color w:val="000000"/>
              </w:rPr>
            </w:pPr>
            <w:r>
              <w:rPr>
                <w:rFonts w:eastAsia="Times New Roman"/>
                <w:color w:val="000000"/>
              </w:rPr>
              <w:t>%</w:t>
            </w:r>
          </w:p>
        </w:tc>
        <w:tc>
          <w:tcPr>
            <w:tcW w:w="385" w:type="dxa"/>
            <w:tcBorders>
              <w:bottom w:val="single" w:sz="4" w:space="0" w:color="auto"/>
            </w:tcBorders>
          </w:tcPr>
          <w:p w14:paraId="3168C228" w14:textId="77777777" w:rsidR="00855AA4" w:rsidRPr="00855AA4" w:rsidRDefault="00855AA4" w:rsidP="00855AA4">
            <w:pPr>
              <w:spacing w:after="0" w:line="240" w:lineRule="auto"/>
              <w:jc w:val="center"/>
              <w:rPr>
                <w:rFonts w:eastAsia="Times New Roman"/>
                <w:color w:val="000000"/>
              </w:rPr>
            </w:pPr>
          </w:p>
        </w:tc>
        <w:tc>
          <w:tcPr>
            <w:tcW w:w="6300" w:type="dxa"/>
            <w:gridSpan w:val="9"/>
            <w:tcBorders>
              <w:top w:val="single" w:sz="4" w:space="0" w:color="auto"/>
              <w:bottom w:val="single" w:sz="4" w:space="0" w:color="auto"/>
            </w:tcBorders>
            <w:shd w:val="clear" w:color="auto" w:fill="auto"/>
            <w:vAlign w:val="center"/>
          </w:tcPr>
          <w:p w14:paraId="6C89316A" w14:textId="6ECFEBFF" w:rsidR="00855AA4" w:rsidRPr="00D96FCE" w:rsidRDefault="00B50BD6" w:rsidP="00855AA4">
            <w:pPr>
              <w:spacing w:after="0" w:line="240" w:lineRule="auto"/>
              <w:jc w:val="center"/>
              <w:rPr>
                <w:rFonts w:eastAsia="Times New Roman"/>
                <w:color w:val="000000"/>
              </w:rPr>
            </w:pPr>
            <w:r>
              <w:rPr>
                <w:rFonts w:eastAsia="Times New Roman"/>
                <w:color w:val="000000"/>
              </w:rPr>
              <w:t>m</w:t>
            </w:r>
            <w:r w:rsidR="00855AA4" w:rsidRPr="00D96FCE">
              <w:rPr>
                <w:rFonts w:eastAsia="Times New Roman"/>
                <w:color w:val="000000"/>
              </w:rPr>
              <w:t xml:space="preserve">g </w:t>
            </w:r>
            <w:proofErr w:type="gramStart"/>
            <w:r w:rsidR="00855AA4" w:rsidRPr="00D96FCE">
              <w:rPr>
                <w:rFonts w:eastAsia="Times New Roman"/>
                <w:color w:val="000000"/>
              </w:rPr>
              <w:t>kg</w:t>
            </w:r>
            <w:r w:rsidR="00855AA4" w:rsidRPr="00D96FCE">
              <w:rPr>
                <w:rFonts w:eastAsia="Times New Roman"/>
                <w:color w:val="000000"/>
                <w:vertAlign w:val="superscript"/>
              </w:rPr>
              <w:t>-1</w:t>
            </w:r>
            <w:proofErr w:type="gramEnd"/>
          </w:p>
        </w:tc>
      </w:tr>
      <w:tr w:rsidR="00855AA4" w:rsidRPr="00855AA4" w14:paraId="34CFD871" w14:textId="77777777" w:rsidTr="00D96FCE">
        <w:trPr>
          <w:trHeight w:val="300"/>
        </w:trPr>
        <w:tc>
          <w:tcPr>
            <w:tcW w:w="810" w:type="dxa"/>
            <w:tcBorders>
              <w:top w:val="single" w:sz="4" w:space="0" w:color="auto"/>
            </w:tcBorders>
            <w:shd w:val="clear" w:color="auto" w:fill="auto"/>
            <w:vAlign w:val="center"/>
            <w:hideMark/>
          </w:tcPr>
          <w:p w14:paraId="0D4A41BD" w14:textId="77777777" w:rsidR="00855AA4" w:rsidRPr="00D96FCE" w:rsidRDefault="00855AA4">
            <w:pPr>
              <w:spacing w:after="0" w:line="240" w:lineRule="auto"/>
              <w:rPr>
                <w:rFonts w:eastAsia="Times New Roman"/>
                <w:color w:val="000000"/>
              </w:rPr>
            </w:pPr>
            <w:r w:rsidRPr="00D96FCE">
              <w:rPr>
                <w:rFonts w:eastAsia="Times New Roman"/>
                <w:color w:val="000000"/>
              </w:rPr>
              <w:t>CFA</w:t>
            </w:r>
          </w:p>
        </w:tc>
        <w:tc>
          <w:tcPr>
            <w:tcW w:w="1450" w:type="dxa"/>
            <w:tcBorders>
              <w:top w:val="single" w:sz="4" w:space="0" w:color="auto"/>
            </w:tcBorders>
            <w:shd w:val="clear" w:color="auto" w:fill="auto"/>
            <w:vAlign w:val="center"/>
            <w:hideMark/>
          </w:tcPr>
          <w:p w14:paraId="74C89559" w14:textId="77777777" w:rsidR="00855AA4" w:rsidRPr="00D96FCE" w:rsidRDefault="00855AA4">
            <w:pPr>
              <w:spacing w:after="0" w:line="240" w:lineRule="auto"/>
              <w:rPr>
                <w:rFonts w:eastAsia="Times New Roman"/>
                <w:color w:val="000000"/>
              </w:rPr>
            </w:pPr>
            <w:r w:rsidRPr="00D96FCE">
              <w:rPr>
                <w:rFonts w:eastAsia="Times New Roman"/>
                <w:color w:val="000000"/>
              </w:rPr>
              <w:t>Silt loam</w:t>
            </w:r>
          </w:p>
        </w:tc>
        <w:tc>
          <w:tcPr>
            <w:tcW w:w="636" w:type="dxa"/>
            <w:tcBorders>
              <w:top w:val="single" w:sz="4" w:space="0" w:color="auto"/>
            </w:tcBorders>
            <w:shd w:val="clear" w:color="auto" w:fill="auto"/>
            <w:vAlign w:val="center"/>
            <w:hideMark/>
          </w:tcPr>
          <w:p w14:paraId="4E165F2F"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5.78</w:t>
            </w:r>
          </w:p>
        </w:tc>
        <w:tc>
          <w:tcPr>
            <w:tcW w:w="1229" w:type="dxa"/>
            <w:tcBorders>
              <w:top w:val="single" w:sz="4" w:space="0" w:color="auto"/>
            </w:tcBorders>
            <w:shd w:val="clear" w:color="auto" w:fill="auto"/>
            <w:vAlign w:val="center"/>
            <w:hideMark/>
          </w:tcPr>
          <w:p w14:paraId="4B4E5E9F"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141</w:t>
            </w:r>
          </w:p>
        </w:tc>
        <w:tc>
          <w:tcPr>
            <w:tcW w:w="1116" w:type="dxa"/>
            <w:tcBorders>
              <w:top w:val="single" w:sz="4" w:space="0" w:color="auto"/>
            </w:tcBorders>
            <w:shd w:val="clear" w:color="auto" w:fill="auto"/>
            <w:vAlign w:val="center"/>
            <w:hideMark/>
          </w:tcPr>
          <w:p w14:paraId="1890DDB8" w14:textId="77777777" w:rsidR="00855AA4" w:rsidRPr="00D96FCE" w:rsidRDefault="00855AA4" w:rsidP="00D96FCE">
            <w:pPr>
              <w:spacing w:after="0" w:line="240" w:lineRule="auto"/>
              <w:ind w:firstLineChars="200" w:firstLine="480"/>
              <w:rPr>
                <w:rFonts w:eastAsia="Times New Roman"/>
                <w:color w:val="000000"/>
              </w:rPr>
            </w:pPr>
            <w:r w:rsidRPr="00D96FCE">
              <w:rPr>
                <w:rFonts w:eastAsia="Times New Roman"/>
                <w:color w:val="000000"/>
              </w:rPr>
              <w:t>0.81</w:t>
            </w:r>
          </w:p>
        </w:tc>
        <w:tc>
          <w:tcPr>
            <w:tcW w:w="1034" w:type="dxa"/>
            <w:tcBorders>
              <w:top w:val="single" w:sz="4" w:space="0" w:color="auto"/>
            </w:tcBorders>
            <w:shd w:val="clear" w:color="auto" w:fill="auto"/>
            <w:vAlign w:val="center"/>
            <w:hideMark/>
          </w:tcPr>
          <w:p w14:paraId="08969B29"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0.11</w:t>
            </w:r>
          </w:p>
        </w:tc>
        <w:tc>
          <w:tcPr>
            <w:tcW w:w="385" w:type="dxa"/>
            <w:tcBorders>
              <w:top w:val="single" w:sz="4" w:space="0" w:color="auto"/>
            </w:tcBorders>
          </w:tcPr>
          <w:p w14:paraId="1A281E99" w14:textId="77777777" w:rsidR="00855AA4" w:rsidRPr="00855AA4" w:rsidRDefault="00855AA4">
            <w:pPr>
              <w:spacing w:after="0" w:line="240" w:lineRule="auto"/>
              <w:jc w:val="center"/>
              <w:rPr>
                <w:rFonts w:eastAsia="Times New Roman"/>
                <w:color w:val="000000"/>
              </w:rPr>
            </w:pPr>
          </w:p>
        </w:tc>
        <w:tc>
          <w:tcPr>
            <w:tcW w:w="971" w:type="dxa"/>
            <w:tcBorders>
              <w:top w:val="single" w:sz="4" w:space="0" w:color="auto"/>
            </w:tcBorders>
            <w:shd w:val="clear" w:color="auto" w:fill="auto"/>
            <w:vAlign w:val="center"/>
            <w:hideMark/>
          </w:tcPr>
          <w:p w14:paraId="14CB3A08" w14:textId="1AED3C1F" w:rsidR="00855AA4" w:rsidRPr="00D96FCE" w:rsidRDefault="00855AA4">
            <w:pPr>
              <w:spacing w:after="0" w:line="240" w:lineRule="auto"/>
              <w:jc w:val="center"/>
              <w:rPr>
                <w:rFonts w:eastAsia="Times New Roman"/>
                <w:color w:val="000000"/>
              </w:rPr>
            </w:pPr>
            <w:r w:rsidRPr="00D96FCE">
              <w:rPr>
                <w:rFonts w:eastAsia="Times New Roman"/>
                <w:color w:val="000000"/>
              </w:rPr>
              <w:t>8.6</w:t>
            </w:r>
          </w:p>
        </w:tc>
        <w:tc>
          <w:tcPr>
            <w:tcW w:w="876" w:type="dxa"/>
            <w:tcBorders>
              <w:top w:val="single" w:sz="4" w:space="0" w:color="auto"/>
            </w:tcBorders>
            <w:shd w:val="clear" w:color="auto" w:fill="auto"/>
            <w:vAlign w:val="center"/>
            <w:hideMark/>
          </w:tcPr>
          <w:p w14:paraId="537DF8FB" w14:textId="77777777" w:rsidR="00855AA4" w:rsidRPr="00D96FCE" w:rsidRDefault="00855AA4" w:rsidP="00D96FCE">
            <w:pPr>
              <w:spacing w:after="0" w:line="240" w:lineRule="auto"/>
              <w:ind w:firstLineChars="100" w:firstLine="240"/>
              <w:jc w:val="center"/>
              <w:rPr>
                <w:rFonts w:eastAsia="Times New Roman"/>
                <w:color w:val="000000"/>
              </w:rPr>
            </w:pPr>
            <w:r w:rsidRPr="00D96FCE">
              <w:rPr>
                <w:rFonts w:eastAsia="Times New Roman"/>
                <w:color w:val="000000"/>
              </w:rPr>
              <w:t>20.5</w:t>
            </w:r>
          </w:p>
        </w:tc>
        <w:tc>
          <w:tcPr>
            <w:tcW w:w="576" w:type="dxa"/>
            <w:tcBorders>
              <w:top w:val="single" w:sz="4" w:space="0" w:color="auto"/>
            </w:tcBorders>
            <w:shd w:val="clear" w:color="auto" w:fill="auto"/>
            <w:vAlign w:val="center"/>
            <w:hideMark/>
          </w:tcPr>
          <w:p w14:paraId="22C5983E"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148</w:t>
            </w:r>
          </w:p>
        </w:tc>
        <w:tc>
          <w:tcPr>
            <w:tcW w:w="723" w:type="dxa"/>
            <w:tcBorders>
              <w:top w:val="single" w:sz="4" w:space="0" w:color="auto"/>
            </w:tcBorders>
            <w:shd w:val="clear" w:color="auto" w:fill="auto"/>
            <w:vAlign w:val="center"/>
            <w:hideMark/>
          </w:tcPr>
          <w:p w14:paraId="116E3AF3"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800</w:t>
            </w:r>
          </w:p>
        </w:tc>
        <w:tc>
          <w:tcPr>
            <w:tcW w:w="790" w:type="dxa"/>
            <w:tcBorders>
              <w:top w:val="single" w:sz="4" w:space="0" w:color="auto"/>
            </w:tcBorders>
            <w:shd w:val="clear" w:color="auto" w:fill="auto"/>
            <w:vAlign w:val="center"/>
            <w:hideMark/>
          </w:tcPr>
          <w:p w14:paraId="4CD82723"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124</w:t>
            </w:r>
          </w:p>
        </w:tc>
        <w:tc>
          <w:tcPr>
            <w:tcW w:w="636" w:type="dxa"/>
            <w:tcBorders>
              <w:top w:val="single" w:sz="4" w:space="0" w:color="auto"/>
            </w:tcBorders>
            <w:shd w:val="clear" w:color="auto" w:fill="auto"/>
            <w:vAlign w:val="center"/>
            <w:hideMark/>
          </w:tcPr>
          <w:p w14:paraId="1B623FA9"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18.5</w:t>
            </w:r>
          </w:p>
        </w:tc>
        <w:tc>
          <w:tcPr>
            <w:tcW w:w="576" w:type="dxa"/>
            <w:tcBorders>
              <w:top w:val="single" w:sz="4" w:space="0" w:color="auto"/>
            </w:tcBorders>
            <w:shd w:val="clear" w:color="auto" w:fill="auto"/>
            <w:vAlign w:val="center"/>
            <w:hideMark/>
          </w:tcPr>
          <w:p w14:paraId="2330F6FC"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189</w:t>
            </w:r>
          </w:p>
        </w:tc>
        <w:tc>
          <w:tcPr>
            <w:tcW w:w="636" w:type="dxa"/>
            <w:tcBorders>
              <w:top w:val="single" w:sz="4" w:space="0" w:color="auto"/>
            </w:tcBorders>
            <w:shd w:val="clear" w:color="auto" w:fill="auto"/>
            <w:vAlign w:val="center"/>
            <w:hideMark/>
          </w:tcPr>
          <w:p w14:paraId="287FEB0E"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55.2</w:t>
            </w:r>
          </w:p>
        </w:tc>
        <w:tc>
          <w:tcPr>
            <w:tcW w:w="516" w:type="dxa"/>
            <w:tcBorders>
              <w:top w:val="single" w:sz="4" w:space="0" w:color="auto"/>
            </w:tcBorders>
            <w:shd w:val="clear" w:color="auto" w:fill="auto"/>
            <w:vAlign w:val="center"/>
            <w:hideMark/>
          </w:tcPr>
          <w:p w14:paraId="4E6932D4"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2.8</w:t>
            </w:r>
          </w:p>
        </w:tc>
      </w:tr>
      <w:tr w:rsidR="00855AA4" w:rsidRPr="00855AA4" w14:paraId="2E8B7F79" w14:textId="77777777" w:rsidTr="00D96FCE">
        <w:trPr>
          <w:trHeight w:val="300"/>
        </w:trPr>
        <w:tc>
          <w:tcPr>
            <w:tcW w:w="810" w:type="dxa"/>
            <w:shd w:val="clear" w:color="auto" w:fill="auto"/>
            <w:vAlign w:val="center"/>
            <w:hideMark/>
          </w:tcPr>
          <w:p w14:paraId="24AF3055" w14:textId="77777777" w:rsidR="00855AA4" w:rsidRPr="00D96FCE" w:rsidRDefault="00855AA4">
            <w:pPr>
              <w:spacing w:after="0" w:line="240" w:lineRule="auto"/>
              <w:rPr>
                <w:rFonts w:eastAsia="Times New Roman"/>
                <w:color w:val="000000"/>
              </w:rPr>
            </w:pPr>
            <w:r w:rsidRPr="00D96FCE">
              <w:rPr>
                <w:rFonts w:eastAsia="Times New Roman"/>
                <w:color w:val="000000"/>
              </w:rPr>
              <w:t>CFC</w:t>
            </w:r>
          </w:p>
        </w:tc>
        <w:tc>
          <w:tcPr>
            <w:tcW w:w="1450" w:type="dxa"/>
            <w:shd w:val="clear" w:color="auto" w:fill="auto"/>
            <w:vAlign w:val="center"/>
            <w:hideMark/>
          </w:tcPr>
          <w:p w14:paraId="6FDDF914" w14:textId="77777777" w:rsidR="00855AA4" w:rsidRPr="00D96FCE" w:rsidRDefault="00855AA4">
            <w:pPr>
              <w:spacing w:after="0" w:line="240" w:lineRule="auto"/>
              <w:rPr>
                <w:rFonts w:eastAsia="Times New Roman"/>
                <w:color w:val="000000"/>
              </w:rPr>
            </w:pPr>
            <w:r w:rsidRPr="00D96FCE">
              <w:rPr>
                <w:rFonts w:eastAsia="Times New Roman"/>
                <w:color w:val="000000"/>
              </w:rPr>
              <w:t>Silt loam</w:t>
            </w:r>
          </w:p>
        </w:tc>
        <w:tc>
          <w:tcPr>
            <w:tcW w:w="636" w:type="dxa"/>
            <w:shd w:val="clear" w:color="auto" w:fill="auto"/>
            <w:vAlign w:val="center"/>
            <w:hideMark/>
          </w:tcPr>
          <w:p w14:paraId="31A96A0E"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5.89</w:t>
            </w:r>
          </w:p>
        </w:tc>
        <w:tc>
          <w:tcPr>
            <w:tcW w:w="1229" w:type="dxa"/>
            <w:shd w:val="clear" w:color="auto" w:fill="auto"/>
            <w:vAlign w:val="center"/>
            <w:hideMark/>
          </w:tcPr>
          <w:p w14:paraId="4B56633E"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189</w:t>
            </w:r>
          </w:p>
        </w:tc>
        <w:tc>
          <w:tcPr>
            <w:tcW w:w="1116" w:type="dxa"/>
            <w:shd w:val="clear" w:color="auto" w:fill="auto"/>
            <w:vAlign w:val="center"/>
            <w:hideMark/>
          </w:tcPr>
          <w:p w14:paraId="4C2A184A" w14:textId="77777777" w:rsidR="00855AA4" w:rsidRPr="00D96FCE" w:rsidRDefault="00855AA4" w:rsidP="00D96FCE">
            <w:pPr>
              <w:spacing w:after="0" w:line="240" w:lineRule="auto"/>
              <w:ind w:firstLineChars="200" w:firstLine="480"/>
              <w:rPr>
                <w:rFonts w:eastAsia="Times New Roman"/>
                <w:color w:val="000000"/>
              </w:rPr>
            </w:pPr>
            <w:r w:rsidRPr="00D96FCE">
              <w:rPr>
                <w:rFonts w:eastAsia="Times New Roman"/>
                <w:color w:val="000000"/>
              </w:rPr>
              <w:t>0.89</w:t>
            </w:r>
          </w:p>
        </w:tc>
        <w:tc>
          <w:tcPr>
            <w:tcW w:w="1034" w:type="dxa"/>
            <w:shd w:val="clear" w:color="auto" w:fill="auto"/>
            <w:vAlign w:val="center"/>
            <w:hideMark/>
          </w:tcPr>
          <w:p w14:paraId="05F2B5C3"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0.12</w:t>
            </w:r>
          </w:p>
        </w:tc>
        <w:tc>
          <w:tcPr>
            <w:tcW w:w="385" w:type="dxa"/>
          </w:tcPr>
          <w:p w14:paraId="49EE033C" w14:textId="77777777" w:rsidR="00855AA4" w:rsidRPr="00855AA4" w:rsidRDefault="00855AA4">
            <w:pPr>
              <w:spacing w:after="0" w:line="240" w:lineRule="auto"/>
              <w:jc w:val="center"/>
              <w:rPr>
                <w:rFonts w:eastAsia="Times New Roman"/>
                <w:color w:val="000000"/>
              </w:rPr>
            </w:pPr>
          </w:p>
        </w:tc>
        <w:tc>
          <w:tcPr>
            <w:tcW w:w="971" w:type="dxa"/>
            <w:shd w:val="clear" w:color="auto" w:fill="auto"/>
            <w:vAlign w:val="center"/>
            <w:hideMark/>
          </w:tcPr>
          <w:p w14:paraId="4B33BC60" w14:textId="102A82F1" w:rsidR="00855AA4" w:rsidRPr="00D96FCE" w:rsidRDefault="00855AA4">
            <w:pPr>
              <w:spacing w:after="0" w:line="240" w:lineRule="auto"/>
              <w:jc w:val="center"/>
              <w:rPr>
                <w:rFonts w:eastAsia="Times New Roman"/>
                <w:color w:val="000000"/>
              </w:rPr>
            </w:pPr>
            <w:r w:rsidRPr="00D96FCE">
              <w:rPr>
                <w:rFonts w:eastAsia="Times New Roman"/>
                <w:color w:val="000000"/>
              </w:rPr>
              <w:t>9.4</w:t>
            </w:r>
          </w:p>
        </w:tc>
        <w:tc>
          <w:tcPr>
            <w:tcW w:w="876" w:type="dxa"/>
            <w:shd w:val="clear" w:color="auto" w:fill="auto"/>
            <w:vAlign w:val="center"/>
            <w:hideMark/>
          </w:tcPr>
          <w:p w14:paraId="1ACE941B" w14:textId="77777777" w:rsidR="00855AA4" w:rsidRPr="00D96FCE" w:rsidRDefault="00855AA4" w:rsidP="00D96FCE">
            <w:pPr>
              <w:spacing w:after="0" w:line="240" w:lineRule="auto"/>
              <w:ind w:firstLineChars="100" w:firstLine="240"/>
              <w:jc w:val="center"/>
              <w:rPr>
                <w:rFonts w:eastAsia="Times New Roman"/>
                <w:color w:val="000000"/>
              </w:rPr>
            </w:pPr>
            <w:r w:rsidRPr="00D96FCE">
              <w:rPr>
                <w:rFonts w:eastAsia="Times New Roman"/>
                <w:color w:val="000000"/>
              </w:rPr>
              <w:t>28.4</w:t>
            </w:r>
          </w:p>
        </w:tc>
        <w:tc>
          <w:tcPr>
            <w:tcW w:w="576" w:type="dxa"/>
            <w:shd w:val="clear" w:color="auto" w:fill="auto"/>
            <w:vAlign w:val="center"/>
            <w:hideMark/>
          </w:tcPr>
          <w:p w14:paraId="02149280"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158</w:t>
            </w:r>
          </w:p>
        </w:tc>
        <w:tc>
          <w:tcPr>
            <w:tcW w:w="723" w:type="dxa"/>
            <w:shd w:val="clear" w:color="auto" w:fill="auto"/>
            <w:vAlign w:val="center"/>
            <w:hideMark/>
          </w:tcPr>
          <w:p w14:paraId="6A44DEF0"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849</w:t>
            </w:r>
          </w:p>
        </w:tc>
        <w:tc>
          <w:tcPr>
            <w:tcW w:w="790" w:type="dxa"/>
            <w:shd w:val="clear" w:color="auto" w:fill="auto"/>
            <w:vAlign w:val="center"/>
            <w:hideMark/>
          </w:tcPr>
          <w:p w14:paraId="6F297DFF"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138</w:t>
            </w:r>
          </w:p>
        </w:tc>
        <w:tc>
          <w:tcPr>
            <w:tcW w:w="636" w:type="dxa"/>
            <w:shd w:val="clear" w:color="auto" w:fill="auto"/>
            <w:vAlign w:val="center"/>
            <w:hideMark/>
          </w:tcPr>
          <w:p w14:paraId="25D38431"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15.9</w:t>
            </w:r>
          </w:p>
        </w:tc>
        <w:tc>
          <w:tcPr>
            <w:tcW w:w="576" w:type="dxa"/>
            <w:shd w:val="clear" w:color="auto" w:fill="auto"/>
            <w:vAlign w:val="center"/>
            <w:hideMark/>
          </w:tcPr>
          <w:p w14:paraId="3E831CA6"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135</w:t>
            </w:r>
          </w:p>
        </w:tc>
        <w:tc>
          <w:tcPr>
            <w:tcW w:w="636" w:type="dxa"/>
            <w:shd w:val="clear" w:color="auto" w:fill="auto"/>
            <w:vAlign w:val="center"/>
            <w:hideMark/>
          </w:tcPr>
          <w:p w14:paraId="46EEE5C5"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48.5</w:t>
            </w:r>
          </w:p>
        </w:tc>
        <w:tc>
          <w:tcPr>
            <w:tcW w:w="516" w:type="dxa"/>
            <w:shd w:val="clear" w:color="auto" w:fill="auto"/>
            <w:vAlign w:val="center"/>
            <w:hideMark/>
          </w:tcPr>
          <w:p w14:paraId="55F18BC2"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3.1</w:t>
            </w:r>
          </w:p>
        </w:tc>
      </w:tr>
      <w:tr w:rsidR="00855AA4" w:rsidRPr="00855AA4" w14:paraId="3A850D8B" w14:textId="77777777" w:rsidTr="00D96FCE">
        <w:trPr>
          <w:trHeight w:val="315"/>
        </w:trPr>
        <w:tc>
          <w:tcPr>
            <w:tcW w:w="810" w:type="dxa"/>
            <w:tcBorders>
              <w:bottom w:val="single" w:sz="4" w:space="0" w:color="auto"/>
            </w:tcBorders>
            <w:shd w:val="clear" w:color="auto" w:fill="auto"/>
            <w:vAlign w:val="center"/>
            <w:hideMark/>
          </w:tcPr>
          <w:p w14:paraId="38A6114F" w14:textId="77777777" w:rsidR="00855AA4" w:rsidRPr="00D96FCE" w:rsidRDefault="00855AA4">
            <w:pPr>
              <w:spacing w:after="0" w:line="240" w:lineRule="auto"/>
              <w:rPr>
                <w:rFonts w:eastAsia="Times New Roman"/>
                <w:color w:val="000000"/>
              </w:rPr>
            </w:pPr>
            <w:r w:rsidRPr="00D96FCE">
              <w:rPr>
                <w:rFonts w:eastAsia="Times New Roman"/>
                <w:color w:val="000000"/>
              </w:rPr>
              <w:t>IFC</w:t>
            </w:r>
          </w:p>
        </w:tc>
        <w:tc>
          <w:tcPr>
            <w:tcW w:w="1450" w:type="dxa"/>
            <w:tcBorders>
              <w:bottom w:val="single" w:sz="4" w:space="0" w:color="auto"/>
            </w:tcBorders>
            <w:shd w:val="clear" w:color="auto" w:fill="auto"/>
            <w:vAlign w:val="center"/>
            <w:hideMark/>
          </w:tcPr>
          <w:p w14:paraId="55F2E10F" w14:textId="77777777" w:rsidR="00855AA4" w:rsidRPr="00D96FCE" w:rsidRDefault="00855AA4">
            <w:pPr>
              <w:spacing w:after="0" w:line="240" w:lineRule="auto"/>
              <w:rPr>
                <w:rFonts w:eastAsia="Times New Roman"/>
                <w:color w:val="000000"/>
              </w:rPr>
            </w:pPr>
            <w:r w:rsidRPr="00D96FCE">
              <w:rPr>
                <w:rFonts w:eastAsia="Times New Roman"/>
                <w:color w:val="000000"/>
              </w:rPr>
              <w:t>Silt loam</w:t>
            </w:r>
          </w:p>
        </w:tc>
        <w:tc>
          <w:tcPr>
            <w:tcW w:w="636" w:type="dxa"/>
            <w:tcBorders>
              <w:bottom w:val="single" w:sz="4" w:space="0" w:color="auto"/>
            </w:tcBorders>
            <w:shd w:val="clear" w:color="auto" w:fill="auto"/>
            <w:vAlign w:val="center"/>
            <w:hideMark/>
          </w:tcPr>
          <w:p w14:paraId="61B0E2B9"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5.94</w:t>
            </w:r>
          </w:p>
        </w:tc>
        <w:tc>
          <w:tcPr>
            <w:tcW w:w="1229" w:type="dxa"/>
            <w:tcBorders>
              <w:bottom w:val="single" w:sz="4" w:space="0" w:color="auto"/>
            </w:tcBorders>
            <w:shd w:val="clear" w:color="auto" w:fill="auto"/>
            <w:vAlign w:val="center"/>
            <w:hideMark/>
          </w:tcPr>
          <w:p w14:paraId="59F6D116"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194</w:t>
            </w:r>
          </w:p>
        </w:tc>
        <w:tc>
          <w:tcPr>
            <w:tcW w:w="1116" w:type="dxa"/>
            <w:tcBorders>
              <w:bottom w:val="single" w:sz="4" w:space="0" w:color="auto"/>
            </w:tcBorders>
            <w:shd w:val="clear" w:color="auto" w:fill="auto"/>
            <w:vAlign w:val="center"/>
            <w:hideMark/>
          </w:tcPr>
          <w:p w14:paraId="6CC018D3" w14:textId="77777777" w:rsidR="00855AA4" w:rsidRPr="00D96FCE" w:rsidRDefault="00855AA4" w:rsidP="00D96FCE">
            <w:pPr>
              <w:spacing w:after="0" w:line="240" w:lineRule="auto"/>
              <w:ind w:firstLineChars="200" w:firstLine="480"/>
              <w:rPr>
                <w:rFonts w:eastAsia="Times New Roman"/>
                <w:color w:val="000000"/>
              </w:rPr>
            </w:pPr>
            <w:r w:rsidRPr="00D96FCE">
              <w:rPr>
                <w:rFonts w:eastAsia="Times New Roman"/>
                <w:color w:val="000000"/>
              </w:rPr>
              <w:t>0.87</w:t>
            </w:r>
          </w:p>
        </w:tc>
        <w:tc>
          <w:tcPr>
            <w:tcW w:w="1034" w:type="dxa"/>
            <w:tcBorders>
              <w:bottom w:val="single" w:sz="4" w:space="0" w:color="auto"/>
            </w:tcBorders>
            <w:shd w:val="clear" w:color="auto" w:fill="auto"/>
            <w:vAlign w:val="center"/>
            <w:hideMark/>
          </w:tcPr>
          <w:p w14:paraId="20853CB5"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0.13</w:t>
            </w:r>
          </w:p>
        </w:tc>
        <w:tc>
          <w:tcPr>
            <w:tcW w:w="385" w:type="dxa"/>
            <w:tcBorders>
              <w:bottom w:val="single" w:sz="4" w:space="0" w:color="auto"/>
            </w:tcBorders>
          </w:tcPr>
          <w:p w14:paraId="307D5BBE" w14:textId="77777777" w:rsidR="00855AA4" w:rsidRPr="00855AA4" w:rsidRDefault="00855AA4">
            <w:pPr>
              <w:spacing w:after="0" w:line="240" w:lineRule="auto"/>
              <w:jc w:val="center"/>
              <w:rPr>
                <w:rFonts w:eastAsia="Times New Roman"/>
                <w:color w:val="000000"/>
              </w:rPr>
            </w:pPr>
          </w:p>
        </w:tc>
        <w:tc>
          <w:tcPr>
            <w:tcW w:w="971" w:type="dxa"/>
            <w:tcBorders>
              <w:bottom w:val="single" w:sz="4" w:space="0" w:color="auto"/>
            </w:tcBorders>
            <w:shd w:val="clear" w:color="auto" w:fill="auto"/>
            <w:vAlign w:val="center"/>
            <w:hideMark/>
          </w:tcPr>
          <w:p w14:paraId="3276AE84" w14:textId="4AFEEAAA" w:rsidR="00855AA4" w:rsidRPr="00D96FCE" w:rsidRDefault="00855AA4">
            <w:pPr>
              <w:spacing w:after="0" w:line="240" w:lineRule="auto"/>
              <w:jc w:val="center"/>
              <w:rPr>
                <w:rFonts w:eastAsia="Times New Roman"/>
                <w:color w:val="000000"/>
              </w:rPr>
            </w:pPr>
            <w:r w:rsidRPr="00D96FCE">
              <w:rPr>
                <w:rFonts w:eastAsia="Times New Roman"/>
                <w:color w:val="000000"/>
              </w:rPr>
              <w:t>8.9</w:t>
            </w:r>
          </w:p>
        </w:tc>
        <w:tc>
          <w:tcPr>
            <w:tcW w:w="876" w:type="dxa"/>
            <w:tcBorders>
              <w:bottom w:val="single" w:sz="4" w:space="0" w:color="auto"/>
            </w:tcBorders>
            <w:shd w:val="clear" w:color="auto" w:fill="auto"/>
            <w:vAlign w:val="center"/>
            <w:hideMark/>
          </w:tcPr>
          <w:p w14:paraId="0E11D1BA" w14:textId="77777777" w:rsidR="00855AA4" w:rsidRPr="00D96FCE" w:rsidRDefault="00855AA4" w:rsidP="00D96FCE">
            <w:pPr>
              <w:spacing w:after="0" w:line="240" w:lineRule="auto"/>
              <w:ind w:firstLineChars="100" w:firstLine="240"/>
              <w:jc w:val="center"/>
              <w:rPr>
                <w:rFonts w:eastAsia="Times New Roman"/>
                <w:color w:val="000000"/>
              </w:rPr>
            </w:pPr>
            <w:r w:rsidRPr="00D96FCE">
              <w:rPr>
                <w:rFonts w:eastAsia="Times New Roman"/>
                <w:color w:val="000000"/>
              </w:rPr>
              <w:t>31.4</w:t>
            </w:r>
          </w:p>
        </w:tc>
        <w:tc>
          <w:tcPr>
            <w:tcW w:w="576" w:type="dxa"/>
            <w:tcBorders>
              <w:bottom w:val="single" w:sz="4" w:space="0" w:color="auto"/>
            </w:tcBorders>
            <w:shd w:val="clear" w:color="auto" w:fill="auto"/>
            <w:vAlign w:val="center"/>
            <w:hideMark/>
          </w:tcPr>
          <w:p w14:paraId="5CA782E4"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178</w:t>
            </w:r>
          </w:p>
        </w:tc>
        <w:tc>
          <w:tcPr>
            <w:tcW w:w="723" w:type="dxa"/>
            <w:tcBorders>
              <w:bottom w:val="single" w:sz="4" w:space="0" w:color="auto"/>
            </w:tcBorders>
            <w:shd w:val="clear" w:color="auto" w:fill="auto"/>
            <w:vAlign w:val="center"/>
            <w:hideMark/>
          </w:tcPr>
          <w:p w14:paraId="2155591E"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950</w:t>
            </w:r>
          </w:p>
        </w:tc>
        <w:tc>
          <w:tcPr>
            <w:tcW w:w="790" w:type="dxa"/>
            <w:tcBorders>
              <w:bottom w:val="single" w:sz="4" w:space="0" w:color="auto"/>
            </w:tcBorders>
            <w:shd w:val="clear" w:color="auto" w:fill="auto"/>
            <w:vAlign w:val="center"/>
            <w:hideMark/>
          </w:tcPr>
          <w:p w14:paraId="6248AA24"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189</w:t>
            </w:r>
          </w:p>
        </w:tc>
        <w:tc>
          <w:tcPr>
            <w:tcW w:w="636" w:type="dxa"/>
            <w:tcBorders>
              <w:bottom w:val="single" w:sz="4" w:space="0" w:color="auto"/>
            </w:tcBorders>
            <w:shd w:val="clear" w:color="auto" w:fill="auto"/>
            <w:vAlign w:val="center"/>
            <w:hideMark/>
          </w:tcPr>
          <w:p w14:paraId="18B4038B"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16.8</w:t>
            </w:r>
          </w:p>
        </w:tc>
        <w:tc>
          <w:tcPr>
            <w:tcW w:w="576" w:type="dxa"/>
            <w:tcBorders>
              <w:bottom w:val="single" w:sz="4" w:space="0" w:color="auto"/>
            </w:tcBorders>
            <w:shd w:val="clear" w:color="auto" w:fill="auto"/>
            <w:vAlign w:val="center"/>
            <w:hideMark/>
          </w:tcPr>
          <w:p w14:paraId="4CF8A484" w14:textId="77777777" w:rsidR="00855AA4" w:rsidRPr="00D96FCE" w:rsidRDefault="00855AA4" w:rsidP="00D96FCE">
            <w:pPr>
              <w:spacing w:after="0" w:line="240" w:lineRule="auto"/>
              <w:jc w:val="center"/>
              <w:rPr>
                <w:rFonts w:eastAsia="Times New Roman"/>
                <w:color w:val="000000"/>
              </w:rPr>
            </w:pPr>
            <w:r w:rsidRPr="00D96FCE">
              <w:rPr>
                <w:rFonts w:eastAsia="Times New Roman"/>
                <w:color w:val="000000"/>
              </w:rPr>
              <w:t>141</w:t>
            </w:r>
          </w:p>
        </w:tc>
        <w:tc>
          <w:tcPr>
            <w:tcW w:w="636" w:type="dxa"/>
            <w:tcBorders>
              <w:bottom w:val="single" w:sz="4" w:space="0" w:color="auto"/>
            </w:tcBorders>
            <w:shd w:val="clear" w:color="auto" w:fill="auto"/>
            <w:vAlign w:val="center"/>
            <w:hideMark/>
          </w:tcPr>
          <w:p w14:paraId="79CC3E8E"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42.8</w:t>
            </w:r>
          </w:p>
        </w:tc>
        <w:tc>
          <w:tcPr>
            <w:tcW w:w="516" w:type="dxa"/>
            <w:tcBorders>
              <w:bottom w:val="single" w:sz="4" w:space="0" w:color="auto"/>
            </w:tcBorders>
            <w:shd w:val="clear" w:color="auto" w:fill="auto"/>
            <w:vAlign w:val="center"/>
            <w:hideMark/>
          </w:tcPr>
          <w:p w14:paraId="2B88CF4A" w14:textId="77777777" w:rsidR="00855AA4" w:rsidRPr="00D96FCE" w:rsidRDefault="00855AA4">
            <w:pPr>
              <w:spacing w:after="0" w:line="240" w:lineRule="auto"/>
              <w:jc w:val="center"/>
              <w:rPr>
                <w:rFonts w:eastAsia="Times New Roman"/>
                <w:color w:val="000000"/>
              </w:rPr>
            </w:pPr>
            <w:r w:rsidRPr="00D96FCE">
              <w:rPr>
                <w:rFonts w:eastAsia="Times New Roman"/>
                <w:color w:val="000000"/>
              </w:rPr>
              <w:t>5.9</w:t>
            </w:r>
          </w:p>
        </w:tc>
      </w:tr>
    </w:tbl>
    <w:p w14:paraId="6CE53181" w14:textId="77777777" w:rsidR="00E93F3E" w:rsidRDefault="00E93F3E">
      <w:pPr>
        <w:sectPr w:rsidR="00E93F3E" w:rsidSect="00D96FCE">
          <w:pgSz w:w="15840" w:h="12240" w:orient="landscape" w:code="1"/>
          <w:pgMar w:top="1440" w:right="1440" w:bottom="1440" w:left="1440" w:header="720" w:footer="720" w:gutter="0"/>
          <w:cols w:space="720"/>
          <w:docGrid w:linePitch="360"/>
        </w:sectPr>
      </w:pPr>
    </w:p>
    <w:p w14:paraId="5B8AD381" w14:textId="08420D49" w:rsidR="00EB66AF" w:rsidRDefault="00EB66AF">
      <w:r>
        <w:lastRenderedPageBreak/>
        <w:t xml:space="preserve">Table S2. </w:t>
      </w:r>
      <w:proofErr w:type="spellStart"/>
      <w:r w:rsidR="005C5C49">
        <w:t>Geochip</w:t>
      </w:r>
      <w:proofErr w:type="spellEnd"/>
      <w:r w:rsidR="005C5C49">
        <w:t xml:space="preserve"> </w:t>
      </w:r>
      <w:r w:rsidR="00963D65">
        <w:t xml:space="preserve">gene probes </w:t>
      </w:r>
      <w:r w:rsidR="005C5C49">
        <w:t xml:space="preserve">used </w:t>
      </w:r>
      <w:r w:rsidR="00963D65">
        <w:t xml:space="preserve">in this study </w:t>
      </w:r>
      <w:r w:rsidR="005C5C49">
        <w:t xml:space="preserve">for different </w:t>
      </w:r>
      <w:r w:rsidR="00963D65">
        <w:t>functional groups</w:t>
      </w: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353"/>
      </w:tblGrid>
      <w:tr w:rsidR="00CC3392" w:rsidRPr="00CC3392" w14:paraId="506B81B6" w14:textId="77777777" w:rsidTr="00D96FCE">
        <w:trPr>
          <w:trHeight w:val="300"/>
        </w:trPr>
        <w:tc>
          <w:tcPr>
            <w:tcW w:w="1885" w:type="dxa"/>
            <w:shd w:val="clear" w:color="auto" w:fill="auto"/>
            <w:noWrap/>
            <w:vAlign w:val="center"/>
            <w:hideMark/>
          </w:tcPr>
          <w:p w14:paraId="68F437FF"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Category</w:t>
            </w:r>
          </w:p>
        </w:tc>
        <w:tc>
          <w:tcPr>
            <w:tcW w:w="8353" w:type="dxa"/>
            <w:shd w:val="clear" w:color="auto" w:fill="auto"/>
            <w:noWrap/>
            <w:vAlign w:val="center"/>
            <w:hideMark/>
          </w:tcPr>
          <w:p w14:paraId="7C1518F6"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Gene probes</w:t>
            </w:r>
          </w:p>
        </w:tc>
      </w:tr>
      <w:tr w:rsidR="00CC3392" w:rsidRPr="00CC3392" w14:paraId="07050581" w14:textId="77777777" w:rsidTr="00D96FCE">
        <w:trPr>
          <w:trHeight w:val="300"/>
        </w:trPr>
        <w:tc>
          <w:tcPr>
            <w:tcW w:w="1885" w:type="dxa"/>
            <w:shd w:val="clear" w:color="auto" w:fill="auto"/>
            <w:noWrap/>
            <w:vAlign w:val="center"/>
            <w:hideMark/>
          </w:tcPr>
          <w:p w14:paraId="475C1622"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Arsenic</w:t>
            </w:r>
          </w:p>
        </w:tc>
        <w:tc>
          <w:tcPr>
            <w:tcW w:w="8353" w:type="dxa"/>
            <w:shd w:val="clear" w:color="auto" w:fill="auto"/>
            <w:noWrap/>
            <w:vAlign w:val="center"/>
            <w:hideMark/>
          </w:tcPr>
          <w:p w14:paraId="32C9E939" w14:textId="6CD69079"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aoxB</w:t>
            </w:r>
            <w:proofErr w:type="spellEnd"/>
            <w:r w:rsidRPr="00D96FCE">
              <w:rPr>
                <w:rFonts w:eastAsia="Times New Roman"/>
                <w:color w:val="000000"/>
              </w:rPr>
              <w:t xml:space="preserve">, </w:t>
            </w:r>
            <w:proofErr w:type="spellStart"/>
            <w:r w:rsidRPr="00D96FCE">
              <w:rPr>
                <w:rFonts w:eastAsia="Times New Roman"/>
                <w:color w:val="000000"/>
              </w:rPr>
              <w:t>arsA</w:t>
            </w:r>
            <w:proofErr w:type="spellEnd"/>
            <w:r w:rsidRPr="00D96FCE">
              <w:rPr>
                <w:rFonts w:eastAsia="Times New Roman"/>
                <w:color w:val="000000"/>
              </w:rPr>
              <w:t xml:space="preserve">/B/C, </w:t>
            </w:r>
            <w:proofErr w:type="spellStart"/>
            <w:r w:rsidRPr="00D96FCE">
              <w:rPr>
                <w:rFonts w:eastAsia="Times New Roman"/>
                <w:color w:val="000000"/>
              </w:rPr>
              <w:t>arsM</w:t>
            </w:r>
            <w:proofErr w:type="spellEnd"/>
          </w:p>
        </w:tc>
      </w:tr>
      <w:tr w:rsidR="00CC3392" w:rsidRPr="00CC3392" w14:paraId="2506E063" w14:textId="77777777" w:rsidTr="00D96FCE">
        <w:trPr>
          <w:trHeight w:val="300"/>
        </w:trPr>
        <w:tc>
          <w:tcPr>
            <w:tcW w:w="1885" w:type="dxa"/>
            <w:shd w:val="clear" w:color="auto" w:fill="auto"/>
            <w:noWrap/>
            <w:vAlign w:val="center"/>
            <w:hideMark/>
          </w:tcPr>
          <w:p w14:paraId="66B0D883"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Acetogenesis</w:t>
            </w:r>
          </w:p>
        </w:tc>
        <w:tc>
          <w:tcPr>
            <w:tcW w:w="8353" w:type="dxa"/>
            <w:shd w:val="clear" w:color="auto" w:fill="auto"/>
            <w:noWrap/>
            <w:vAlign w:val="center"/>
            <w:hideMark/>
          </w:tcPr>
          <w:p w14:paraId="296F11B4" w14:textId="7E61AA60" w:rsidR="00F8119B" w:rsidRPr="00D96FCE" w:rsidRDefault="00F8119B" w:rsidP="00D96FCE">
            <w:pPr>
              <w:spacing w:after="0" w:line="240" w:lineRule="auto"/>
              <w:rPr>
                <w:rFonts w:eastAsia="Times New Roman"/>
                <w:color w:val="000000"/>
              </w:rPr>
            </w:pPr>
            <w:r w:rsidRPr="00D96FCE">
              <w:rPr>
                <w:rFonts w:eastAsia="Times New Roman"/>
                <w:color w:val="000000"/>
              </w:rPr>
              <w:t>FTHFS</w:t>
            </w:r>
          </w:p>
        </w:tc>
      </w:tr>
      <w:tr w:rsidR="00CC3392" w:rsidRPr="00CC3392" w14:paraId="026E2E95" w14:textId="77777777" w:rsidTr="00D96FCE">
        <w:trPr>
          <w:trHeight w:val="300"/>
        </w:trPr>
        <w:tc>
          <w:tcPr>
            <w:tcW w:w="1885" w:type="dxa"/>
            <w:shd w:val="clear" w:color="auto" w:fill="auto"/>
            <w:noWrap/>
            <w:vAlign w:val="center"/>
            <w:hideMark/>
          </w:tcPr>
          <w:p w14:paraId="13DB0012" w14:textId="3767E010" w:rsidR="00F8119B" w:rsidRPr="00D96FCE" w:rsidRDefault="00475D15" w:rsidP="00D96FCE">
            <w:pPr>
              <w:spacing w:after="0" w:line="240" w:lineRule="auto"/>
              <w:rPr>
                <w:rFonts w:eastAsia="Times New Roman"/>
                <w:color w:val="000000"/>
              </w:rPr>
            </w:pPr>
            <w:proofErr w:type="spellStart"/>
            <w:r>
              <w:rPr>
                <w:rFonts w:eastAsia="Times New Roman"/>
                <w:color w:val="000000"/>
              </w:rPr>
              <w:t>A</w:t>
            </w:r>
            <w:r w:rsidR="00F8119B" w:rsidRPr="00D96FCE">
              <w:rPr>
                <w:rFonts w:eastAsia="Times New Roman"/>
                <w:color w:val="000000"/>
              </w:rPr>
              <w:t>denylylsulfate</w:t>
            </w:r>
            <w:proofErr w:type="spellEnd"/>
            <w:r w:rsidR="00F8119B" w:rsidRPr="00D96FCE">
              <w:rPr>
                <w:rFonts w:eastAsia="Times New Roman"/>
                <w:color w:val="000000"/>
              </w:rPr>
              <w:t xml:space="preserve"> reductase</w:t>
            </w:r>
          </w:p>
        </w:tc>
        <w:tc>
          <w:tcPr>
            <w:tcW w:w="8353" w:type="dxa"/>
            <w:shd w:val="clear" w:color="auto" w:fill="auto"/>
            <w:noWrap/>
            <w:vAlign w:val="center"/>
            <w:hideMark/>
          </w:tcPr>
          <w:p w14:paraId="539E7EAA" w14:textId="61E15919"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APS_AprA</w:t>
            </w:r>
            <w:proofErr w:type="spellEnd"/>
            <w:r w:rsidRPr="00D96FCE">
              <w:rPr>
                <w:rFonts w:eastAsia="Times New Roman"/>
                <w:color w:val="000000"/>
              </w:rPr>
              <w:t xml:space="preserve">/B/ </w:t>
            </w:r>
            <w:proofErr w:type="spellStart"/>
            <w:r w:rsidRPr="00D96FCE">
              <w:rPr>
                <w:rFonts w:eastAsia="Times New Roman"/>
                <w:color w:val="000000"/>
              </w:rPr>
              <w:t>AprA</w:t>
            </w:r>
            <w:proofErr w:type="spellEnd"/>
          </w:p>
        </w:tc>
      </w:tr>
      <w:tr w:rsidR="00CC3392" w:rsidRPr="00CC3392" w14:paraId="46E6135E" w14:textId="77777777" w:rsidTr="00D96FCE">
        <w:trPr>
          <w:trHeight w:val="300"/>
        </w:trPr>
        <w:tc>
          <w:tcPr>
            <w:tcW w:w="1885" w:type="dxa"/>
            <w:shd w:val="clear" w:color="auto" w:fill="auto"/>
            <w:noWrap/>
            <w:vAlign w:val="center"/>
            <w:hideMark/>
          </w:tcPr>
          <w:p w14:paraId="57FDB00B"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Ammonification</w:t>
            </w:r>
          </w:p>
        </w:tc>
        <w:tc>
          <w:tcPr>
            <w:tcW w:w="8353" w:type="dxa"/>
            <w:shd w:val="clear" w:color="auto" w:fill="auto"/>
            <w:noWrap/>
            <w:vAlign w:val="center"/>
            <w:hideMark/>
          </w:tcPr>
          <w:p w14:paraId="3A576C64" w14:textId="7E715C20"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ureC</w:t>
            </w:r>
            <w:proofErr w:type="spellEnd"/>
          </w:p>
        </w:tc>
      </w:tr>
      <w:tr w:rsidR="00CC3392" w:rsidRPr="00CC3392" w14:paraId="291331B0" w14:textId="77777777" w:rsidTr="00D96FCE">
        <w:trPr>
          <w:trHeight w:val="300"/>
        </w:trPr>
        <w:tc>
          <w:tcPr>
            <w:tcW w:w="1885" w:type="dxa"/>
            <w:shd w:val="clear" w:color="auto" w:fill="auto"/>
            <w:noWrap/>
            <w:vAlign w:val="center"/>
            <w:hideMark/>
          </w:tcPr>
          <w:p w14:paraId="0381CB3A"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Aromatics remediation</w:t>
            </w:r>
          </w:p>
        </w:tc>
        <w:tc>
          <w:tcPr>
            <w:tcW w:w="8353" w:type="dxa"/>
            <w:shd w:val="clear" w:color="auto" w:fill="auto"/>
            <w:noWrap/>
            <w:vAlign w:val="center"/>
            <w:hideMark/>
          </w:tcPr>
          <w:p w14:paraId="255E2DE3" w14:textId="5DE846A9" w:rsidR="00F8119B" w:rsidRPr="00D96FCE" w:rsidRDefault="00F8119B" w:rsidP="00D96FCE">
            <w:pPr>
              <w:spacing w:after="0" w:line="240" w:lineRule="auto"/>
              <w:rPr>
                <w:rFonts w:eastAsia="Times New Roman"/>
                <w:color w:val="000000"/>
              </w:rPr>
            </w:pPr>
            <w:r w:rsidRPr="00D96FCE">
              <w:rPr>
                <w:rFonts w:eastAsia="Times New Roman"/>
                <w:color w:val="000000"/>
              </w:rPr>
              <w:t xml:space="preserve">4HBH, </w:t>
            </w:r>
            <w:proofErr w:type="spellStart"/>
            <w:r w:rsidRPr="00D96FCE">
              <w:rPr>
                <w:rFonts w:eastAsia="Times New Roman"/>
                <w:color w:val="000000"/>
              </w:rPr>
              <w:t>akbF</w:t>
            </w:r>
            <w:proofErr w:type="spellEnd"/>
            <w:r w:rsidRPr="00D96FCE">
              <w:rPr>
                <w:rFonts w:eastAsia="Times New Roman"/>
                <w:color w:val="000000"/>
              </w:rPr>
              <w:t xml:space="preserve">, BADH, </w:t>
            </w:r>
            <w:proofErr w:type="spellStart"/>
            <w:r w:rsidRPr="00D96FCE">
              <w:rPr>
                <w:rFonts w:eastAsia="Times New Roman"/>
                <w:color w:val="000000"/>
              </w:rPr>
              <w:t>bclA</w:t>
            </w:r>
            <w:proofErr w:type="spellEnd"/>
            <w:r w:rsidRPr="00D96FCE">
              <w:rPr>
                <w:rFonts w:eastAsia="Times New Roman"/>
                <w:color w:val="000000"/>
              </w:rPr>
              <w:t xml:space="preserve">, </w:t>
            </w:r>
            <w:proofErr w:type="spellStart"/>
            <w:r w:rsidRPr="00D96FCE">
              <w:rPr>
                <w:rFonts w:eastAsia="Times New Roman"/>
                <w:color w:val="000000"/>
              </w:rPr>
              <w:t>bco</w:t>
            </w:r>
            <w:proofErr w:type="spellEnd"/>
            <w:r w:rsidRPr="00D96FCE">
              <w:rPr>
                <w:rFonts w:eastAsia="Times New Roman"/>
                <w:color w:val="000000"/>
              </w:rPr>
              <w:t xml:space="preserve">, </w:t>
            </w:r>
            <w:proofErr w:type="spellStart"/>
            <w:r w:rsidRPr="00D96FCE">
              <w:rPr>
                <w:rFonts w:eastAsia="Times New Roman"/>
                <w:color w:val="000000"/>
              </w:rPr>
              <w:t>benAB</w:t>
            </w:r>
            <w:proofErr w:type="spellEnd"/>
            <w:r w:rsidRPr="00D96FCE">
              <w:rPr>
                <w:rFonts w:eastAsia="Times New Roman"/>
                <w:color w:val="000000"/>
              </w:rPr>
              <w:t xml:space="preserve">, </w:t>
            </w:r>
            <w:proofErr w:type="spellStart"/>
            <w:r w:rsidRPr="00D96FCE">
              <w:rPr>
                <w:rFonts w:eastAsia="Times New Roman"/>
                <w:color w:val="000000"/>
              </w:rPr>
              <w:t>bphA</w:t>
            </w:r>
            <w:proofErr w:type="spellEnd"/>
            <w:r w:rsidRPr="00D96FCE">
              <w:rPr>
                <w:rFonts w:eastAsia="Times New Roman"/>
                <w:color w:val="000000"/>
              </w:rPr>
              <w:t xml:space="preserve">/C/F1, </w:t>
            </w:r>
            <w:proofErr w:type="spellStart"/>
            <w:r w:rsidRPr="00D96FCE">
              <w:rPr>
                <w:rFonts w:eastAsia="Times New Roman"/>
                <w:color w:val="000000"/>
              </w:rPr>
              <w:t>carA</w:t>
            </w:r>
            <w:proofErr w:type="spellEnd"/>
            <w:r w:rsidRPr="00D96FCE">
              <w:rPr>
                <w:rFonts w:eastAsia="Times New Roman"/>
                <w:color w:val="000000"/>
              </w:rPr>
              <w:t xml:space="preserve">, </w:t>
            </w:r>
            <w:proofErr w:type="spellStart"/>
            <w:r w:rsidRPr="00D96FCE">
              <w:rPr>
                <w:rFonts w:eastAsia="Times New Roman"/>
                <w:color w:val="000000"/>
              </w:rPr>
              <w:t>catB</w:t>
            </w:r>
            <w:proofErr w:type="spellEnd"/>
            <w:r w:rsidRPr="00D96FCE">
              <w:rPr>
                <w:rFonts w:eastAsia="Times New Roman"/>
                <w:color w:val="000000"/>
              </w:rPr>
              <w:t xml:space="preserve">, </w:t>
            </w:r>
            <w:proofErr w:type="spellStart"/>
            <w:r w:rsidRPr="00D96FCE">
              <w:rPr>
                <w:rFonts w:eastAsia="Times New Roman"/>
                <w:color w:val="000000"/>
              </w:rPr>
              <w:t>cumA</w:t>
            </w:r>
            <w:proofErr w:type="spellEnd"/>
            <w:r w:rsidRPr="00D96FCE">
              <w:rPr>
                <w:rFonts w:eastAsia="Times New Roman"/>
                <w:color w:val="000000"/>
              </w:rPr>
              <w:t xml:space="preserve">, </w:t>
            </w:r>
            <w:proofErr w:type="spellStart"/>
            <w:r w:rsidRPr="00D96FCE">
              <w:rPr>
                <w:rFonts w:eastAsia="Times New Roman"/>
                <w:color w:val="000000"/>
              </w:rPr>
              <w:t>GCoADH</w:t>
            </w:r>
            <w:proofErr w:type="spellEnd"/>
            <w:r w:rsidRPr="00D96FCE">
              <w:rPr>
                <w:rFonts w:eastAsia="Times New Roman"/>
                <w:color w:val="000000"/>
              </w:rPr>
              <w:t xml:space="preserve">, HBH, </w:t>
            </w:r>
            <w:proofErr w:type="spellStart"/>
            <w:r w:rsidRPr="00D96FCE">
              <w:rPr>
                <w:rFonts w:eastAsia="Times New Roman"/>
                <w:color w:val="000000"/>
              </w:rPr>
              <w:t>hmgA</w:t>
            </w:r>
            <w:proofErr w:type="spellEnd"/>
            <w:r w:rsidRPr="00D96FCE">
              <w:rPr>
                <w:rFonts w:eastAsia="Times New Roman"/>
                <w:color w:val="000000"/>
              </w:rPr>
              <w:t xml:space="preserve">/C, </w:t>
            </w:r>
            <w:proofErr w:type="spellStart"/>
            <w:r w:rsidRPr="00D96FCE">
              <w:rPr>
                <w:rFonts w:eastAsia="Times New Roman"/>
                <w:color w:val="000000"/>
              </w:rPr>
              <w:t>mdlA</w:t>
            </w:r>
            <w:proofErr w:type="spellEnd"/>
            <w:r w:rsidRPr="00D96FCE">
              <w:rPr>
                <w:rFonts w:eastAsia="Times New Roman"/>
                <w:color w:val="000000"/>
              </w:rPr>
              <w:t xml:space="preserve">/B/C, </w:t>
            </w:r>
            <w:proofErr w:type="spellStart"/>
            <w:r w:rsidRPr="00D96FCE">
              <w:rPr>
                <w:rFonts w:eastAsia="Times New Roman"/>
                <w:color w:val="000000"/>
              </w:rPr>
              <w:t>mhpA</w:t>
            </w:r>
            <w:proofErr w:type="spellEnd"/>
            <w:r w:rsidRPr="00D96FCE">
              <w:rPr>
                <w:rFonts w:eastAsia="Times New Roman"/>
                <w:color w:val="000000"/>
              </w:rPr>
              <w:t xml:space="preserve">, </w:t>
            </w:r>
            <w:proofErr w:type="spellStart"/>
            <w:r w:rsidRPr="00D96FCE">
              <w:rPr>
                <w:rFonts w:eastAsia="Times New Roman"/>
                <w:color w:val="000000"/>
              </w:rPr>
              <w:t>nagG</w:t>
            </w:r>
            <w:proofErr w:type="spellEnd"/>
            <w:r w:rsidRPr="00D96FCE">
              <w:rPr>
                <w:rFonts w:eastAsia="Times New Roman"/>
                <w:color w:val="000000"/>
              </w:rPr>
              <w:t xml:space="preserve">/'/k, </w:t>
            </w:r>
            <w:proofErr w:type="spellStart"/>
            <w:r w:rsidRPr="00D96FCE">
              <w:rPr>
                <w:rFonts w:eastAsia="Times New Roman"/>
                <w:color w:val="000000"/>
              </w:rPr>
              <w:t>nahA</w:t>
            </w:r>
            <w:proofErr w:type="spellEnd"/>
            <w:r w:rsidRPr="00D96FCE">
              <w:rPr>
                <w:rFonts w:eastAsia="Times New Roman"/>
                <w:color w:val="000000"/>
              </w:rPr>
              <w:t xml:space="preserve">, </w:t>
            </w:r>
            <w:proofErr w:type="spellStart"/>
            <w:r w:rsidRPr="00D96FCE">
              <w:rPr>
                <w:rFonts w:eastAsia="Times New Roman"/>
                <w:color w:val="000000"/>
              </w:rPr>
              <w:t>nhh</w:t>
            </w:r>
            <w:proofErr w:type="spellEnd"/>
            <w:r w:rsidRPr="00D96FCE">
              <w:rPr>
                <w:rFonts w:eastAsia="Times New Roman"/>
                <w:color w:val="000000"/>
              </w:rPr>
              <w:t xml:space="preserve">, </w:t>
            </w:r>
            <w:proofErr w:type="spellStart"/>
            <w:r w:rsidRPr="00D96FCE">
              <w:rPr>
                <w:rFonts w:eastAsia="Times New Roman"/>
                <w:color w:val="000000"/>
              </w:rPr>
              <w:t>nitA</w:t>
            </w:r>
            <w:proofErr w:type="spellEnd"/>
            <w:r w:rsidRPr="00D96FCE">
              <w:rPr>
                <w:rFonts w:eastAsia="Times New Roman"/>
                <w:color w:val="000000"/>
              </w:rPr>
              <w:t xml:space="preserve">, </w:t>
            </w:r>
            <w:proofErr w:type="spellStart"/>
            <w:r w:rsidRPr="00D96FCE">
              <w:rPr>
                <w:rFonts w:eastAsia="Times New Roman"/>
                <w:color w:val="000000"/>
              </w:rPr>
              <w:t>nmoA</w:t>
            </w:r>
            <w:proofErr w:type="spellEnd"/>
            <w:r w:rsidRPr="00D96FCE">
              <w:rPr>
                <w:rFonts w:eastAsia="Times New Roman"/>
                <w:color w:val="000000"/>
              </w:rPr>
              <w:t xml:space="preserve">, </w:t>
            </w:r>
            <w:proofErr w:type="spellStart"/>
            <w:r w:rsidRPr="00D96FCE">
              <w:rPr>
                <w:rFonts w:eastAsia="Times New Roman"/>
                <w:color w:val="000000"/>
              </w:rPr>
              <w:t>ohbAB</w:t>
            </w:r>
            <w:proofErr w:type="spellEnd"/>
            <w:r w:rsidRPr="00D96FCE">
              <w:rPr>
                <w:rFonts w:eastAsia="Times New Roman"/>
                <w:color w:val="000000"/>
              </w:rPr>
              <w:t xml:space="preserve">, </w:t>
            </w:r>
            <w:proofErr w:type="spellStart"/>
            <w:r w:rsidRPr="00D96FCE">
              <w:rPr>
                <w:rFonts w:eastAsia="Times New Roman"/>
                <w:color w:val="000000"/>
              </w:rPr>
              <w:t>pcaG</w:t>
            </w:r>
            <w:proofErr w:type="spellEnd"/>
            <w:r w:rsidRPr="00D96FCE">
              <w:rPr>
                <w:rFonts w:eastAsia="Times New Roman"/>
                <w:color w:val="000000"/>
              </w:rPr>
              <w:t xml:space="preserve">, </w:t>
            </w:r>
            <w:proofErr w:type="spellStart"/>
            <w:r w:rsidRPr="00D96FCE">
              <w:rPr>
                <w:rFonts w:eastAsia="Times New Roman"/>
                <w:color w:val="000000"/>
              </w:rPr>
              <w:t>PhaB</w:t>
            </w:r>
            <w:proofErr w:type="spellEnd"/>
            <w:r w:rsidRPr="00D96FCE">
              <w:rPr>
                <w:rFonts w:eastAsia="Times New Roman"/>
                <w:color w:val="000000"/>
              </w:rPr>
              <w:t xml:space="preserve">, </w:t>
            </w:r>
            <w:proofErr w:type="spellStart"/>
            <w:r w:rsidRPr="00D96FCE">
              <w:rPr>
                <w:rFonts w:eastAsia="Times New Roman"/>
                <w:color w:val="000000"/>
              </w:rPr>
              <w:t>pheA</w:t>
            </w:r>
            <w:proofErr w:type="spellEnd"/>
            <w:r w:rsidRPr="00D96FCE">
              <w:rPr>
                <w:rFonts w:eastAsia="Times New Roman"/>
                <w:color w:val="000000"/>
              </w:rPr>
              <w:t xml:space="preserve">, </w:t>
            </w:r>
            <w:proofErr w:type="spellStart"/>
            <w:r w:rsidRPr="00D96FCE">
              <w:rPr>
                <w:rFonts w:eastAsia="Times New Roman"/>
                <w:color w:val="000000"/>
              </w:rPr>
              <w:t>pimF</w:t>
            </w:r>
            <w:proofErr w:type="spellEnd"/>
            <w:r w:rsidRPr="00D96FCE">
              <w:rPr>
                <w:rFonts w:eastAsia="Times New Roman"/>
                <w:color w:val="000000"/>
              </w:rPr>
              <w:t xml:space="preserve">, </w:t>
            </w:r>
            <w:proofErr w:type="spellStart"/>
            <w:r w:rsidRPr="00D96FCE">
              <w:rPr>
                <w:rFonts w:eastAsia="Times New Roman"/>
                <w:color w:val="000000"/>
              </w:rPr>
              <w:t>pmdAB</w:t>
            </w:r>
            <w:proofErr w:type="spellEnd"/>
            <w:r w:rsidRPr="00D96FCE">
              <w:rPr>
                <w:rFonts w:eastAsia="Times New Roman"/>
                <w:color w:val="000000"/>
              </w:rPr>
              <w:t xml:space="preserve">, </w:t>
            </w:r>
            <w:proofErr w:type="spellStart"/>
            <w:r w:rsidRPr="00D96FCE">
              <w:rPr>
                <w:rFonts w:eastAsia="Times New Roman"/>
                <w:color w:val="000000"/>
              </w:rPr>
              <w:t>PobA</w:t>
            </w:r>
            <w:proofErr w:type="spellEnd"/>
            <w:r w:rsidRPr="00D96FCE">
              <w:rPr>
                <w:rFonts w:eastAsia="Times New Roman"/>
                <w:color w:val="000000"/>
              </w:rPr>
              <w:t xml:space="preserve">, </w:t>
            </w:r>
            <w:proofErr w:type="spellStart"/>
            <w:r w:rsidRPr="00D96FCE">
              <w:rPr>
                <w:rFonts w:eastAsia="Times New Roman"/>
                <w:color w:val="000000"/>
              </w:rPr>
              <w:t>xylC</w:t>
            </w:r>
            <w:proofErr w:type="spellEnd"/>
            <w:r w:rsidRPr="00D96FCE">
              <w:rPr>
                <w:rFonts w:eastAsia="Times New Roman"/>
                <w:color w:val="000000"/>
              </w:rPr>
              <w:t>/G</w:t>
            </w:r>
          </w:p>
        </w:tc>
      </w:tr>
      <w:tr w:rsidR="00CC3392" w:rsidRPr="00CC3392" w14:paraId="6CB0C0EA" w14:textId="77777777" w:rsidTr="00D96FCE">
        <w:trPr>
          <w:trHeight w:val="300"/>
        </w:trPr>
        <w:tc>
          <w:tcPr>
            <w:tcW w:w="1885" w:type="dxa"/>
            <w:shd w:val="clear" w:color="auto" w:fill="auto"/>
            <w:noWrap/>
            <w:vAlign w:val="center"/>
            <w:hideMark/>
          </w:tcPr>
          <w:p w14:paraId="6065E6B5"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Assimilatory N reduction</w:t>
            </w:r>
          </w:p>
        </w:tc>
        <w:tc>
          <w:tcPr>
            <w:tcW w:w="8353" w:type="dxa"/>
            <w:shd w:val="clear" w:color="auto" w:fill="auto"/>
            <w:noWrap/>
            <w:vAlign w:val="center"/>
            <w:hideMark/>
          </w:tcPr>
          <w:p w14:paraId="40508951" w14:textId="32EBB828"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nasA</w:t>
            </w:r>
            <w:proofErr w:type="spellEnd"/>
            <w:r w:rsidRPr="00D96FCE">
              <w:rPr>
                <w:rFonts w:eastAsia="Times New Roman"/>
                <w:color w:val="000000"/>
              </w:rPr>
              <w:t xml:space="preserve">, </w:t>
            </w:r>
            <w:proofErr w:type="spellStart"/>
            <w:r w:rsidRPr="00D96FCE">
              <w:rPr>
                <w:rFonts w:eastAsia="Times New Roman"/>
                <w:color w:val="000000"/>
              </w:rPr>
              <w:t>NiR</w:t>
            </w:r>
            <w:proofErr w:type="spellEnd"/>
            <w:r w:rsidRPr="00D96FCE">
              <w:rPr>
                <w:rFonts w:eastAsia="Times New Roman"/>
                <w:color w:val="000000"/>
              </w:rPr>
              <w:t xml:space="preserve">, </w:t>
            </w:r>
            <w:proofErr w:type="spellStart"/>
            <w:r w:rsidRPr="00D96FCE">
              <w:rPr>
                <w:rFonts w:eastAsia="Times New Roman"/>
                <w:color w:val="000000"/>
              </w:rPr>
              <w:t>NiRA</w:t>
            </w:r>
            <w:proofErr w:type="spellEnd"/>
            <w:r w:rsidRPr="00D96FCE">
              <w:rPr>
                <w:rFonts w:eastAsia="Times New Roman"/>
                <w:color w:val="000000"/>
              </w:rPr>
              <w:t>/B</w:t>
            </w:r>
          </w:p>
        </w:tc>
      </w:tr>
      <w:tr w:rsidR="00CC3392" w:rsidRPr="00CC3392" w14:paraId="20148348" w14:textId="77777777" w:rsidTr="00D96FCE">
        <w:trPr>
          <w:trHeight w:val="300"/>
        </w:trPr>
        <w:tc>
          <w:tcPr>
            <w:tcW w:w="1885" w:type="dxa"/>
            <w:shd w:val="clear" w:color="auto" w:fill="auto"/>
            <w:noWrap/>
            <w:vAlign w:val="center"/>
            <w:hideMark/>
          </w:tcPr>
          <w:p w14:paraId="53E5BEB4"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Cadmium</w:t>
            </w:r>
          </w:p>
        </w:tc>
        <w:tc>
          <w:tcPr>
            <w:tcW w:w="8353" w:type="dxa"/>
            <w:shd w:val="clear" w:color="auto" w:fill="auto"/>
            <w:noWrap/>
            <w:vAlign w:val="center"/>
            <w:hideMark/>
          </w:tcPr>
          <w:p w14:paraId="2FD1D63C" w14:textId="60B64E13"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CadA</w:t>
            </w:r>
            <w:proofErr w:type="spellEnd"/>
            <w:r w:rsidRPr="00D96FCE">
              <w:rPr>
                <w:rFonts w:eastAsia="Times New Roman"/>
                <w:color w:val="000000"/>
              </w:rPr>
              <w:t xml:space="preserve">, </w:t>
            </w:r>
            <w:proofErr w:type="spellStart"/>
            <w:r w:rsidRPr="00D96FCE">
              <w:rPr>
                <w:rFonts w:eastAsia="Times New Roman"/>
                <w:color w:val="000000"/>
              </w:rPr>
              <w:t>czcA</w:t>
            </w:r>
            <w:proofErr w:type="spellEnd"/>
          </w:p>
        </w:tc>
      </w:tr>
      <w:tr w:rsidR="00CC3392" w:rsidRPr="00CC3392" w14:paraId="5CCBBE1B" w14:textId="77777777" w:rsidTr="00D96FCE">
        <w:trPr>
          <w:trHeight w:val="300"/>
        </w:trPr>
        <w:tc>
          <w:tcPr>
            <w:tcW w:w="1885" w:type="dxa"/>
            <w:shd w:val="clear" w:color="auto" w:fill="auto"/>
            <w:noWrap/>
            <w:vAlign w:val="center"/>
            <w:hideMark/>
          </w:tcPr>
          <w:p w14:paraId="4DFD1F92"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Carbon degradation</w:t>
            </w:r>
          </w:p>
        </w:tc>
        <w:tc>
          <w:tcPr>
            <w:tcW w:w="8353" w:type="dxa"/>
            <w:shd w:val="clear" w:color="auto" w:fill="auto"/>
            <w:noWrap/>
            <w:vAlign w:val="center"/>
            <w:hideMark/>
          </w:tcPr>
          <w:p w14:paraId="02B109A5" w14:textId="22B6794D"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AceA</w:t>
            </w:r>
            <w:proofErr w:type="spellEnd"/>
            <w:r w:rsidRPr="00D96FCE">
              <w:rPr>
                <w:rFonts w:eastAsia="Times New Roman"/>
                <w:color w:val="000000"/>
              </w:rPr>
              <w:t xml:space="preserve">/b, </w:t>
            </w:r>
            <w:proofErr w:type="spellStart"/>
            <w:r w:rsidRPr="00D96FCE">
              <w:rPr>
                <w:rFonts w:eastAsia="Times New Roman"/>
                <w:color w:val="000000"/>
              </w:rPr>
              <w:t>acetylglucosaminidase</w:t>
            </w:r>
            <w:proofErr w:type="spellEnd"/>
            <w:r w:rsidRPr="00D96FCE">
              <w:rPr>
                <w:rFonts w:eastAsia="Times New Roman"/>
                <w:color w:val="000000"/>
              </w:rPr>
              <w:t xml:space="preserve">, </w:t>
            </w:r>
            <w:proofErr w:type="spellStart"/>
            <w:r w:rsidRPr="00D96FCE">
              <w:rPr>
                <w:rFonts w:eastAsia="Times New Roman"/>
                <w:color w:val="000000"/>
              </w:rPr>
              <w:t>amyA</w:t>
            </w:r>
            <w:proofErr w:type="spellEnd"/>
            <w:r w:rsidRPr="00D96FCE">
              <w:rPr>
                <w:rFonts w:eastAsia="Times New Roman"/>
                <w:color w:val="000000"/>
              </w:rPr>
              <w:t xml:space="preserve">/X, </w:t>
            </w:r>
            <w:proofErr w:type="spellStart"/>
            <w:r w:rsidRPr="00D96FCE">
              <w:rPr>
                <w:rFonts w:eastAsia="Times New Roman"/>
                <w:color w:val="000000"/>
              </w:rPr>
              <w:t>ara</w:t>
            </w:r>
            <w:proofErr w:type="spellEnd"/>
            <w:r w:rsidRPr="00D96FCE">
              <w:rPr>
                <w:rFonts w:eastAsia="Times New Roman"/>
                <w:color w:val="000000"/>
              </w:rPr>
              <w:t xml:space="preserve">, </w:t>
            </w:r>
            <w:proofErr w:type="spellStart"/>
            <w:r w:rsidRPr="00D96FCE">
              <w:rPr>
                <w:rFonts w:eastAsia="Times New Roman"/>
                <w:color w:val="000000"/>
              </w:rPr>
              <w:t>cda</w:t>
            </w:r>
            <w:proofErr w:type="spellEnd"/>
            <w:r w:rsidRPr="00D96FCE">
              <w:rPr>
                <w:rFonts w:eastAsia="Times New Roman"/>
                <w:color w:val="000000"/>
              </w:rPr>
              <w:t xml:space="preserve">, CDH, </w:t>
            </w:r>
            <w:proofErr w:type="spellStart"/>
            <w:r w:rsidRPr="00D96FCE">
              <w:rPr>
                <w:rFonts w:eastAsia="Times New Roman"/>
                <w:color w:val="000000"/>
              </w:rPr>
              <w:t>cellobiase</w:t>
            </w:r>
            <w:proofErr w:type="spellEnd"/>
            <w:r w:rsidRPr="00D96FCE">
              <w:rPr>
                <w:rFonts w:eastAsia="Times New Roman"/>
                <w:color w:val="000000"/>
              </w:rPr>
              <w:t xml:space="preserve">, </w:t>
            </w:r>
            <w:proofErr w:type="spellStart"/>
            <w:r w:rsidRPr="00D96FCE">
              <w:rPr>
                <w:rFonts w:eastAsia="Times New Roman"/>
                <w:color w:val="000000"/>
              </w:rPr>
              <w:t>endochitinase</w:t>
            </w:r>
            <w:proofErr w:type="spellEnd"/>
            <w:r w:rsidRPr="00D96FCE">
              <w:rPr>
                <w:rFonts w:eastAsia="Times New Roman"/>
                <w:color w:val="000000"/>
              </w:rPr>
              <w:t xml:space="preserve">, endoglucanase, </w:t>
            </w:r>
            <w:proofErr w:type="spellStart"/>
            <w:r w:rsidRPr="00D96FCE">
              <w:rPr>
                <w:rFonts w:eastAsia="Times New Roman"/>
                <w:color w:val="000000"/>
              </w:rPr>
              <w:t>exochitinase</w:t>
            </w:r>
            <w:proofErr w:type="spellEnd"/>
            <w:r w:rsidRPr="00D96FCE">
              <w:rPr>
                <w:rFonts w:eastAsia="Times New Roman"/>
                <w:color w:val="000000"/>
              </w:rPr>
              <w:t xml:space="preserve">, </w:t>
            </w:r>
            <w:proofErr w:type="spellStart"/>
            <w:r w:rsidRPr="00D96FCE">
              <w:rPr>
                <w:rFonts w:eastAsia="Times New Roman"/>
                <w:color w:val="000000"/>
              </w:rPr>
              <w:t>exoglucanase</w:t>
            </w:r>
            <w:proofErr w:type="spellEnd"/>
            <w:r w:rsidRPr="00D96FCE">
              <w:rPr>
                <w:rFonts w:eastAsia="Times New Roman"/>
                <w:color w:val="000000"/>
              </w:rPr>
              <w:t xml:space="preserve">, glucoamylase, </w:t>
            </w:r>
            <w:proofErr w:type="spellStart"/>
            <w:r w:rsidRPr="00D96FCE">
              <w:rPr>
                <w:rFonts w:eastAsia="Times New Roman"/>
                <w:color w:val="000000"/>
              </w:rPr>
              <w:t>glx</w:t>
            </w:r>
            <w:proofErr w:type="spellEnd"/>
            <w:r w:rsidRPr="00D96FCE">
              <w:rPr>
                <w:rFonts w:eastAsia="Times New Roman"/>
                <w:color w:val="000000"/>
              </w:rPr>
              <w:t xml:space="preserve">, </w:t>
            </w:r>
            <w:proofErr w:type="spellStart"/>
            <w:r w:rsidRPr="00D96FCE">
              <w:rPr>
                <w:rFonts w:eastAsia="Times New Roman"/>
                <w:color w:val="000000"/>
              </w:rPr>
              <w:t>limEH</w:t>
            </w:r>
            <w:proofErr w:type="spellEnd"/>
            <w:r w:rsidRPr="00D96FCE">
              <w:rPr>
                <w:rFonts w:eastAsia="Times New Roman"/>
                <w:color w:val="000000"/>
              </w:rPr>
              <w:t xml:space="preserve">, LMO, </w:t>
            </w:r>
            <w:proofErr w:type="spellStart"/>
            <w:r w:rsidRPr="00D96FCE">
              <w:rPr>
                <w:rFonts w:eastAsia="Times New Roman"/>
                <w:color w:val="000000"/>
              </w:rPr>
              <w:t>mannanase</w:t>
            </w:r>
            <w:proofErr w:type="spellEnd"/>
            <w:r w:rsidRPr="00D96FCE">
              <w:rPr>
                <w:rFonts w:eastAsia="Times New Roman"/>
                <w:color w:val="000000"/>
              </w:rPr>
              <w:t xml:space="preserve">, </w:t>
            </w:r>
            <w:proofErr w:type="spellStart"/>
            <w:r w:rsidRPr="00D96FCE">
              <w:rPr>
                <w:rFonts w:eastAsia="Times New Roman"/>
                <w:color w:val="000000"/>
              </w:rPr>
              <w:t>nplT</w:t>
            </w:r>
            <w:proofErr w:type="spellEnd"/>
            <w:r w:rsidRPr="00D96FCE">
              <w:rPr>
                <w:rFonts w:eastAsia="Times New Roman"/>
                <w:color w:val="000000"/>
              </w:rPr>
              <w:t xml:space="preserve">, pectinase, </w:t>
            </w:r>
            <w:proofErr w:type="spellStart"/>
            <w:r w:rsidRPr="00D96FCE">
              <w:rPr>
                <w:rFonts w:eastAsia="Times New Roman"/>
                <w:color w:val="000000"/>
              </w:rPr>
              <w:t>phenol_oxidase</w:t>
            </w:r>
            <w:proofErr w:type="spellEnd"/>
            <w:r w:rsidRPr="00D96FCE">
              <w:rPr>
                <w:rFonts w:eastAsia="Times New Roman"/>
                <w:color w:val="000000"/>
              </w:rPr>
              <w:t xml:space="preserve">, </w:t>
            </w:r>
            <w:proofErr w:type="spellStart"/>
            <w:r w:rsidRPr="00D96FCE">
              <w:rPr>
                <w:rFonts w:eastAsia="Times New Roman"/>
                <w:color w:val="000000"/>
              </w:rPr>
              <w:t>pulA</w:t>
            </w:r>
            <w:proofErr w:type="spellEnd"/>
            <w:r w:rsidRPr="00D96FCE">
              <w:rPr>
                <w:rFonts w:eastAsia="Times New Roman"/>
                <w:color w:val="000000"/>
              </w:rPr>
              <w:t xml:space="preserve">, </w:t>
            </w:r>
            <w:proofErr w:type="spellStart"/>
            <w:r w:rsidRPr="00D96FCE">
              <w:rPr>
                <w:rFonts w:eastAsia="Times New Roman"/>
                <w:color w:val="000000"/>
              </w:rPr>
              <w:t>vanA</w:t>
            </w:r>
            <w:proofErr w:type="spellEnd"/>
            <w:r w:rsidRPr="00D96FCE">
              <w:rPr>
                <w:rFonts w:eastAsia="Times New Roman"/>
                <w:color w:val="000000"/>
              </w:rPr>
              <w:t xml:space="preserve">, </w:t>
            </w:r>
            <w:proofErr w:type="spellStart"/>
            <w:r w:rsidRPr="00D96FCE">
              <w:rPr>
                <w:rFonts w:eastAsia="Times New Roman"/>
                <w:color w:val="000000"/>
              </w:rPr>
              <w:t>vdh</w:t>
            </w:r>
            <w:proofErr w:type="spellEnd"/>
            <w:r w:rsidRPr="00D96FCE">
              <w:rPr>
                <w:rFonts w:eastAsia="Times New Roman"/>
                <w:color w:val="000000"/>
              </w:rPr>
              <w:t xml:space="preserve">, </w:t>
            </w:r>
            <w:proofErr w:type="spellStart"/>
            <w:r w:rsidRPr="00D96FCE">
              <w:rPr>
                <w:rFonts w:eastAsia="Times New Roman"/>
                <w:color w:val="000000"/>
              </w:rPr>
              <w:t>xylA</w:t>
            </w:r>
            <w:proofErr w:type="spellEnd"/>
            <w:r w:rsidRPr="00D96FCE">
              <w:rPr>
                <w:rFonts w:eastAsia="Times New Roman"/>
                <w:color w:val="000000"/>
              </w:rPr>
              <w:t>, xylanase</w:t>
            </w:r>
          </w:p>
        </w:tc>
      </w:tr>
      <w:tr w:rsidR="00CC3392" w:rsidRPr="00CC3392" w14:paraId="61AFA79E" w14:textId="77777777" w:rsidTr="00D96FCE">
        <w:trPr>
          <w:trHeight w:val="300"/>
        </w:trPr>
        <w:tc>
          <w:tcPr>
            <w:tcW w:w="1885" w:type="dxa"/>
            <w:shd w:val="clear" w:color="auto" w:fill="auto"/>
            <w:noWrap/>
            <w:vAlign w:val="center"/>
            <w:hideMark/>
          </w:tcPr>
          <w:p w14:paraId="0F48F060"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Carbon fixation</w:t>
            </w:r>
          </w:p>
        </w:tc>
        <w:tc>
          <w:tcPr>
            <w:tcW w:w="8353" w:type="dxa"/>
            <w:shd w:val="clear" w:color="auto" w:fill="auto"/>
            <w:noWrap/>
            <w:vAlign w:val="center"/>
            <w:hideMark/>
          </w:tcPr>
          <w:p w14:paraId="7C3A3FD4" w14:textId="1804AC8D"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aclB</w:t>
            </w:r>
            <w:proofErr w:type="spellEnd"/>
            <w:r w:rsidRPr="00D96FCE">
              <w:rPr>
                <w:rFonts w:eastAsia="Times New Roman"/>
                <w:color w:val="000000"/>
              </w:rPr>
              <w:t xml:space="preserve">, CODH, </w:t>
            </w:r>
            <w:proofErr w:type="spellStart"/>
            <w:r w:rsidRPr="00D96FCE">
              <w:rPr>
                <w:rFonts w:eastAsia="Times New Roman"/>
                <w:color w:val="000000"/>
              </w:rPr>
              <w:t>pcc</w:t>
            </w:r>
            <w:proofErr w:type="spellEnd"/>
            <w:r w:rsidRPr="00D96FCE">
              <w:rPr>
                <w:rFonts w:eastAsia="Times New Roman"/>
                <w:color w:val="000000"/>
              </w:rPr>
              <w:t>, RUBISCO</w:t>
            </w:r>
          </w:p>
        </w:tc>
      </w:tr>
      <w:tr w:rsidR="00CC3392" w:rsidRPr="00CC3392" w14:paraId="14132CF7" w14:textId="77777777" w:rsidTr="00D96FCE">
        <w:trPr>
          <w:trHeight w:val="300"/>
        </w:trPr>
        <w:tc>
          <w:tcPr>
            <w:tcW w:w="1885" w:type="dxa"/>
            <w:shd w:val="clear" w:color="auto" w:fill="auto"/>
            <w:noWrap/>
            <w:vAlign w:val="center"/>
            <w:hideMark/>
          </w:tcPr>
          <w:p w14:paraId="2ABE3F20"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Cytochrome</w:t>
            </w:r>
          </w:p>
        </w:tc>
        <w:tc>
          <w:tcPr>
            <w:tcW w:w="8353" w:type="dxa"/>
            <w:shd w:val="clear" w:color="auto" w:fill="auto"/>
            <w:noWrap/>
            <w:vAlign w:val="center"/>
            <w:hideMark/>
          </w:tcPr>
          <w:p w14:paraId="5F888996" w14:textId="065C64C8"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cytochrome_b</w:t>
            </w:r>
            <w:proofErr w:type="spellEnd"/>
            <w:r w:rsidRPr="00D96FCE">
              <w:rPr>
                <w:rFonts w:eastAsia="Times New Roman"/>
                <w:color w:val="000000"/>
              </w:rPr>
              <w:t>/c</w:t>
            </w:r>
          </w:p>
        </w:tc>
      </w:tr>
      <w:tr w:rsidR="00CC3392" w:rsidRPr="00CC3392" w14:paraId="63803762" w14:textId="77777777" w:rsidTr="00D96FCE">
        <w:trPr>
          <w:trHeight w:val="300"/>
        </w:trPr>
        <w:tc>
          <w:tcPr>
            <w:tcW w:w="1885" w:type="dxa"/>
            <w:shd w:val="clear" w:color="auto" w:fill="auto"/>
            <w:noWrap/>
            <w:vAlign w:val="center"/>
            <w:hideMark/>
          </w:tcPr>
          <w:p w14:paraId="3EB0C1AB"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Denitrification</w:t>
            </w:r>
          </w:p>
        </w:tc>
        <w:tc>
          <w:tcPr>
            <w:tcW w:w="8353" w:type="dxa"/>
            <w:shd w:val="clear" w:color="auto" w:fill="auto"/>
            <w:noWrap/>
            <w:vAlign w:val="center"/>
            <w:hideMark/>
          </w:tcPr>
          <w:p w14:paraId="1E0290F8" w14:textId="69C1F3E6"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narG</w:t>
            </w:r>
            <w:proofErr w:type="spellEnd"/>
            <w:r w:rsidRPr="00D96FCE">
              <w:rPr>
                <w:rFonts w:eastAsia="Times New Roman"/>
                <w:color w:val="000000"/>
              </w:rPr>
              <w:t xml:space="preserve">, </w:t>
            </w:r>
            <w:proofErr w:type="spellStart"/>
            <w:r w:rsidRPr="00D96FCE">
              <w:rPr>
                <w:rFonts w:eastAsia="Times New Roman"/>
                <w:color w:val="000000"/>
              </w:rPr>
              <w:t>nirK</w:t>
            </w:r>
            <w:proofErr w:type="spellEnd"/>
            <w:r w:rsidRPr="00D96FCE">
              <w:rPr>
                <w:rFonts w:eastAsia="Times New Roman"/>
                <w:color w:val="000000"/>
              </w:rPr>
              <w:t xml:space="preserve">, </w:t>
            </w:r>
            <w:proofErr w:type="spellStart"/>
            <w:r w:rsidRPr="00D96FCE">
              <w:rPr>
                <w:rFonts w:eastAsia="Times New Roman"/>
                <w:color w:val="000000"/>
              </w:rPr>
              <w:t>nirS</w:t>
            </w:r>
            <w:proofErr w:type="spellEnd"/>
            <w:r w:rsidRPr="00D96FCE">
              <w:rPr>
                <w:rFonts w:eastAsia="Times New Roman"/>
                <w:color w:val="000000"/>
              </w:rPr>
              <w:t xml:space="preserve">, </w:t>
            </w:r>
            <w:proofErr w:type="spellStart"/>
            <w:r w:rsidRPr="00D96FCE">
              <w:rPr>
                <w:rFonts w:eastAsia="Times New Roman"/>
                <w:color w:val="000000"/>
              </w:rPr>
              <w:t>nosZ</w:t>
            </w:r>
            <w:proofErr w:type="spellEnd"/>
          </w:p>
        </w:tc>
      </w:tr>
      <w:tr w:rsidR="00CC3392" w:rsidRPr="00CC3392" w14:paraId="02AB3A05" w14:textId="77777777" w:rsidTr="00D96FCE">
        <w:trPr>
          <w:trHeight w:val="300"/>
        </w:trPr>
        <w:tc>
          <w:tcPr>
            <w:tcW w:w="1885" w:type="dxa"/>
            <w:shd w:val="clear" w:color="auto" w:fill="auto"/>
            <w:noWrap/>
            <w:vAlign w:val="center"/>
            <w:hideMark/>
          </w:tcPr>
          <w:p w14:paraId="48D99AC5"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Dissimilatory N reduction</w:t>
            </w:r>
          </w:p>
        </w:tc>
        <w:tc>
          <w:tcPr>
            <w:tcW w:w="8353" w:type="dxa"/>
            <w:shd w:val="clear" w:color="auto" w:fill="auto"/>
            <w:noWrap/>
            <w:vAlign w:val="center"/>
            <w:hideMark/>
          </w:tcPr>
          <w:p w14:paraId="5F134E2F" w14:textId="78FEADD4"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napA</w:t>
            </w:r>
            <w:proofErr w:type="spellEnd"/>
            <w:r w:rsidRPr="00D96FCE">
              <w:rPr>
                <w:rFonts w:eastAsia="Times New Roman"/>
                <w:color w:val="000000"/>
              </w:rPr>
              <w:t xml:space="preserve">, </w:t>
            </w:r>
            <w:proofErr w:type="spellStart"/>
            <w:r w:rsidRPr="00D96FCE">
              <w:rPr>
                <w:rFonts w:eastAsia="Times New Roman"/>
                <w:color w:val="000000"/>
              </w:rPr>
              <w:t>nrfA</w:t>
            </w:r>
            <w:proofErr w:type="spellEnd"/>
          </w:p>
        </w:tc>
      </w:tr>
      <w:tr w:rsidR="00CC3392" w:rsidRPr="00CC3392" w14:paraId="08D686BE" w14:textId="77777777" w:rsidTr="00D96FCE">
        <w:trPr>
          <w:trHeight w:val="300"/>
        </w:trPr>
        <w:tc>
          <w:tcPr>
            <w:tcW w:w="1885" w:type="dxa"/>
            <w:shd w:val="clear" w:color="auto" w:fill="auto"/>
            <w:noWrap/>
            <w:vAlign w:val="center"/>
            <w:hideMark/>
          </w:tcPr>
          <w:p w14:paraId="7DDD763A"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Methane</w:t>
            </w:r>
          </w:p>
        </w:tc>
        <w:tc>
          <w:tcPr>
            <w:tcW w:w="8353" w:type="dxa"/>
            <w:shd w:val="clear" w:color="auto" w:fill="auto"/>
            <w:noWrap/>
            <w:vAlign w:val="center"/>
            <w:hideMark/>
          </w:tcPr>
          <w:p w14:paraId="340D99EA" w14:textId="7F407EBD"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mcrA</w:t>
            </w:r>
            <w:proofErr w:type="spellEnd"/>
            <w:r w:rsidRPr="00D96FCE">
              <w:rPr>
                <w:rFonts w:eastAsia="Times New Roman"/>
                <w:color w:val="000000"/>
              </w:rPr>
              <w:t xml:space="preserve">, </w:t>
            </w:r>
            <w:proofErr w:type="spellStart"/>
            <w:r w:rsidRPr="00D96FCE">
              <w:rPr>
                <w:rFonts w:eastAsia="Times New Roman"/>
                <w:color w:val="000000"/>
              </w:rPr>
              <w:t>mmoX</w:t>
            </w:r>
            <w:proofErr w:type="spellEnd"/>
          </w:p>
        </w:tc>
      </w:tr>
      <w:tr w:rsidR="00CC3392" w:rsidRPr="00CC3392" w14:paraId="5187157E" w14:textId="77777777" w:rsidTr="00D96FCE">
        <w:trPr>
          <w:trHeight w:val="300"/>
        </w:trPr>
        <w:tc>
          <w:tcPr>
            <w:tcW w:w="1885" w:type="dxa"/>
            <w:shd w:val="clear" w:color="auto" w:fill="auto"/>
            <w:noWrap/>
            <w:vAlign w:val="center"/>
            <w:hideMark/>
          </w:tcPr>
          <w:p w14:paraId="28FBED9C"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Phosphate limitation</w:t>
            </w:r>
          </w:p>
        </w:tc>
        <w:tc>
          <w:tcPr>
            <w:tcW w:w="8353" w:type="dxa"/>
            <w:shd w:val="clear" w:color="auto" w:fill="auto"/>
            <w:noWrap/>
            <w:vAlign w:val="center"/>
            <w:hideMark/>
          </w:tcPr>
          <w:p w14:paraId="63D73131" w14:textId="33D58661"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phoA</w:t>
            </w:r>
            <w:proofErr w:type="spellEnd"/>
            <w:r w:rsidRPr="00D96FCE">
              <w:rPr>
                <w:rFonts w:eastAsia="Times New Roman"/>
                <w:color w:val="000000"/>
              </w:rPr>
              <w:t xml:space="preserve">/B, </w:t>
            </w:r>
            <w:proofErr w:type="spellStart"/>
            <w:r w:rsidRPr="00D96FCE">
              <w:rPr>
                <w:rFonts w:eastAsia="Times New Roman"/>
                <w:color w:val="000000"/>
              </w:rPr>
              <w:t>pstA</w:t>
            </w:r>
            <w:proofErr w:type="spellEnd"/>
            <w:r w:rsidRPr="00D96FCE">
              <w:rPr>
                <w:rFonts w:eastAsia="Times New Roman"/>
                <w:color w:val="000000"/>
              </w:rPr>
              <w:t>/B/C</w:t>
            </w:r>
          </w:p>
        </w:tc>
      </w:tr>
      <w:tr w:rsidR="00CC3392" w:rsidRPr="00CC3392" w14:paraId="63D7E2A5" w14:textId="77777777" w:rsidTr="00D96FCE">
        <w:trPr>
          <w:trHeight w:val="300"/>
        </w:trPr>
        <w:tc>
          <w:tcPr>
            <w:tcW w:w="1885" w:type="dxa"/>
            <w:shd w:val="clear" w:color="auto" w:fill="auto"/>
            <w:noWrap/>
            <w:vAlign w:val="center"/>
            <w:hideMark/>
          </w:tcPr>
          <w:p w14:paraId="465063CE"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Phosphorus utilization</w:t>
            </w:r>
          </w:p>
        </w:tc>
        <w:tc>
          <w:tcPr>
            <w:tcW w:w="8353" w:type="dxa"/>
            <w:shd w:val="clear" w:color="auto" w:fill="auto"/>
            <w:noWrap/>
            <w:vAlign w:val="center"/>
            <w:hideMark/>
          </w:tcPr>
          <w:p w14:paraId="1511B84B" w14:textId="7279226D"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ppk</w:t>
            </w:r>
            <w:proofErr w:type="spellEnd"/>
            <w:r w:rsidRPr="00D96FCE">
              <w:rPr>
                <w:rFonts w:eastAsia="Times New Roman"/>
                <w:color w:val="000000"/>
              </w:rPr>
              <w:t xml:space="preserve">, </w:t>
            </w:r>
            <w:proofErr w:type="spellStart"/>
            <w:r w:rsidRPr="00D96FCE">
              <w:rPr>
                <w:rFonts w:eastAsia="Times New Roman"/>
                <w:color w:val="000000"/>
              </w:rPr>
              <w:t>ppx</w:t>
            </w:r>
            <w:proofErr w:type="spellEnd"/>
          </w:p>
        </w:tc>
      </w:tr>
      <w:tr w:rsidR="00CC3392" w:rsidRPr="00CC3392" w14:paraId="6FD41571" w14:textId="77777777" w:rsidTr="00D96FCE">
        <w:trPr>
          <w:trHeight w:val="300"/>
        </w:trPr>
        <w:tc>
          <w:tcPr>
            <w:tcW w:w="1885" w:type="dxa"/>
            <w:shd w:val="clear" w:color="auto" w:fill="auto"/>
            <w:noWrap/>
            <w:vAlign w:val="center"/>
            <w:hideMark/>
          </w:tcPr>
          <w:p w14:paraId="6C1EC621" w14:textId="028B8BC5" w:rsidR="00F8119B" w:rsidRPr="00D96FCE" w:rsidRDefault="00475D15" w:rsidP="00D96FCE">
            <w:pPr>
              <w:spacing w:after="0" w:line="240" w:lineRule="auto"/>
              <w:rPr>
                <w:rFonts w:eastAsia="Times New Roman"/>
                <w:color w:val="000000"/>
              </w:rPr>
            </w:pPr>
            <w:r>
              <w:rPr>
                <w:rFonts w:eastAsia="Times New Roman"/>
                <w:color w:val="000000"/>
              </w:rPr>
              <w:t>S</w:t>
            </w:r>
            <w:r w:rsidR="00F8119B" w:rsidRPr="00D96FCE">
              <w:rPr>
                <w:rFonts w:eastAsia="Times New Roman"/>
                <w:color w:val="000000"/>
              </w:rPr>
              <w:t>ulfite reductase</w:t>
            </w:r>
          </w:p>
        </w:tc>
        <w:tc>
          <w:tcPr>
            <w:tcW w:w="8353" w:type="dxa"/>
            <w:shd w:val="clear" w:color="auto" w:fill="auto"/>
            <w:noWrap/>
            <w:vAlign w:val="center"/>
            <w:hideMark/>
          </w:tcPr>
          <w:p w14:paraId="73A3D94B" w14:textId="55CA3422" w:rsidR="00F8119B" w:rsidRPr="00D96FCE" w:rsidRDefault="00F8119B" w:rsidP="00D96FCE">
            <w:pPr>
              <w:spacing w:after="0" w:line="240" w:lineRule="auto"/>
              <w:rPr>
                <w:rFonts w:eastAsia="Times New Roman"/>
                <w:color w:val="000000"/>
              </w:rPr>
            </w:pPr>
            <w:proofErr w:type="spellStart"/>
            <w:r w:rsidRPr="00D96FCE">
              <w:rPr>
                <w:rFonts w:eastAsia="Times New Roman"/>
                <w:color w:val="000000"/>
              </w:rPr>
              <w:t>dsrA</w:t>
            </w:r>
            <w:proofErr w:type="spellEnd"/>
            <w:r w:rsidRPr="00D96FCE">
              <w:rPr>
                <w:rFonts w:eastAsia="Times New Roman"/>
                <w:color w:val="000000"/>
              </w:rPr>
              <w:t>/B</w:t>
            </w:r>
          </w:p>
        </w:tc>
      </w:tr>
      <w:tr w:rsidR="00CC3392" w:rsidRPr="00CC3392" w14:paraId="3EBA41B8" w14:textId="77777777" w:rsidTr="00D96FCE">
        <w:trPr>
          <w:trHeight w:val="300"/>
        </w:trPr>
        <w:tc>
          <w:tcPr>
            <w:tcW w:w="1885" w:type="dxa"/>
            <w:shd w:val="clear" w:color="auto" w:fill="auto"/>
            <w:noWrap/>
            <w:vAlign w:val="center"/>
            <w:hideMark/>
          </w:tcPr>
          <w:p w14:paraId="3647925A" w14:textId="77777777" w:rsidR="00F8119B" w:rsidRPr="00D96FCE" w:rsidRDefault="00F8119B" w:rsidP="00D96FCE">
            <w:pPr>
              <w:spacing w:after="0" w:line="240" w:lineRule="auto"/>
              <w:rPr>
                <w:rFonts w:eastAsia="Times New Roman"/>
                <w:color w:val="000000"/>
              </w:rPr>
            </w:pPr>
            <w:r w:rsidRPr="00D96FCE">
              <w:rPr>
                <w:rFonts w:eastAsia="Times New Roman"/>
                <w:color w:val="000000"/>
              </w:rPr>
              <w:t>Sulphur oxidation</w:t>
            </w:r>
          </w:p>
        </w:tc>
        <w:tc>
          <w:tcPr>
            <w:tcW w:w="8353" w:type="dxa"/>
            <w:shd w:val="clear" w:color="auto" w:fill="auto"/>
            <w:noWrap/>
            <w:vAlign w:val="center"/>
            <w:hideMark/>
          </w:tcPr>
          <w:p w14:paraId="72C65BBC" w14:textId="2193120B" w:rsidR="00F8119B" w:rsidRPr="00D96FCE" w:rsidRDefault="00F8119B" w:rsidP="00D96FCE">
            <w:pPr>
              <w:spacing w:after="0" w:line="240" w:lineRule="auto"/>
              <w:rPr>
                <w:rFonts w:eastAsia="Times New Roman"/>
                <w:color w:val="000000"/>
              </w:rPr>
            </w:pPr>
            <w:r w:rsidRPr="00D96FCE">
              <w:rPr>
                <w:rFonts w:eastAsia="Times New Roman"/>
                <w:color w:val="000000"/>
              </w:rPr>
              <w:t>sox</w:t>
            </w:r>
          </w:p>
        </w:tc>
      </w:tr>
    </w:tbl>
    <w:p w14:paraId="7025EB73" w14:textId="20249361" w:rsidR="00F8119B" w:rsidRDefault="00F8119B">
      <w:r>
        <w:br w:type="page"/>
      </w:r>
    </w:p>
    <w:p w14:paraId="53C1ACFE" w14:textId="1FFBE554" w:rsidR="005F77D2" w:rsidRDefault="005F77D2" w:rsidP="005F77D2">
      <w:pPr>
        <w:spacing w:before="120" w:after="120" w:line="360" w:lineRule="auto"/>
        <w:rPr>
          <w:noProof/>
        </w:rPr>
      </w:pPr>
      <w:bookmarkStart w:id="0" w:name="_Hlk76373492"/>
      <w:r>
        <w:rPr>
          <w:noProof/>
        </w:rPr>
        <w:lastRenderedPageBreak/>
        <w:drawing>
          <wp:inline distT="0" distB="0" distL="0" distR="0" wp14:anchorId="1D9986AF" wp14:editId="0F090640">
            <wp:extent cx="5943600" cy="5133975"/>
            <wp:effectExtent l="19050" t="19050" r="19050" b="2857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33975"/>
                    </a:xfrm>
                    <a:prstGeom prst="rect">
                      <a:avLst/>
                    </a:prstGeom>
                    <a:ln>
                      <a:solidFill>
                        <a:schemeClr val="tx1"/>
                      </a:solidFill>
                    </a:ln>
                  </pic:spPr>
                </pic:pic>
              </a:graphicData>
            </a:graphic>
          </wp:inline>
        </w:drawing>
      </w:r>
    </w:p>
    <w:p w14:paraId="0CFCFCF2" w14:textId="7D3ACC6F" w:rsidR="008140C3" w:rsidRDefault="008140C3" w:rsidP="005F77D2">
      <w:pPr>
        <w:spacing w:after="0" w:line="240" w:lineRule="auto"/>
      </w:pPr>
      <w:r w:rsidRPr="00A35081">
        <w:t xml:space="preserve">Figure </w:t>
      </w:r>
      <w:r>
        <w:t>S1</w:t>
      </w:r>
      <w:r w:rsidRPr="00A35081">
        <w:t>. Hierarchical cluster</w:t>
      </w:r>
      <w:r>
        <w:t xml:space="preserve"> analysis </w:t>
      </w:r>
      <w:r w:rsidRPr="00A35081">
        <w:t xml:space="preserve">of relative </w:t>
      </w:r>
      <w:r>
        <w:t>abundance of</w:t>
      </w:r>
      <w:r w:rsidRPr="00A35081">
        <w:t xml:space="preserve"> </w:t>
      </w:r>
      <w:proofErr w:type="spellStart"/>
      <w:r w:rsidRPr="00FE42E3">
        <w:rPr>
          <w:i/>
        </w:rPr>
        <w:t>arsM</w:t>
      </w:r>
      <w:proofErr w:type="spellEnd"/>
      <w:r w:rsidRPr="00A35081">
        <w:t xml:space="preserve"> gene </w:t>
      </w:r>
      <w:r>
        <w:t xml:space="preserve">containing prokaryotes </w:t>
      </w:r>
      <w:r w:rsidRPr="00A35081">
        <w:t xml:space="preserve">detected in </w:t>
      </w:r>
      <w:r>
        <w:t>the rhizosphere</w:t>
      </w:r>
      <w:r w:rsidRPr="00A35081">
        <w:t xml:space="preserve"> </w:t>
      </w:r>
      <w:r>
        <w:t>compartments</w:t>
      </w:r>
      <w:r w:rsidRPr="00A35081">
        <w:t xml:space="preserve"> under different soil-As concentrations and </w:t>
      </w:r>
      <w:r>
        <w:t>water management</w:t>
      </w:r>
      <w:r w:rsidRPr="00A35081">
        <w:t xml:space="preserve"> treatments</w:t>
      </w:r>
      <w:r>
        <w:t>. Higher intensity of color corresponds to higher abundance.</w:t>
      </w:r>
      <w:r w:rsidR="008F0E2E">
        <w:t xml:space="preserve"> </w:t>
      </w:r>
      <w:r w:rsidR="008F0E2E" w:rsidRPr="006C5D79">
        <w:t xml:space="preserve">CFA=continuously flooded-arsenic, CFC=continuously flooded-control and </w:t>
      </w:r>
      <w:r w:rsidR="008F0E2E">
        <w:t>IF</w:t>
      </w:r>
      <w:r w:rsidR="008F0E2E" w:rsidRPr="006C5D79">
        <w:t>C =</w:t>
      </w:r>
      <w:r w:rsidR="008F0E2E">
        <w:t xml:space="preserve"> intermittently flooded control</w:t>
      </w:r>
      <w:r w:rsidR="008F0E2E" w:rsidRPr="006C5D79">
        <w:t>.</w:t>
      </w:r>
      <w:r w:rsidR="008F0E2E">
        <w:t xml:space="preserve"> </w:t>
      </w:r>
      <w:r w:rsidR="008F0E2E" w:rsidRPr="006C5D79">
        <w:t>Suffix RP and Rz represent the root-plaque and the rhizosphere samples, respectively.</w:t>
      </w:r>
    </w:p>
    <w:bookmarkEnd w:id="0"/>
    <w:p w14:paraId="60809645" w14:textId="77777777" w:rsidR="008140C3" w:rsidRDefault="008140C3" w:rsidP="00764E65">
      <w:pPr>
        <w:spacing w:before="120" w:after="120" w:line="360" w:lineRule="auto"/>
      </w:pPr>
    </w:p>
    <w:p w14:paraId="4011C469" w14:textId="77777777" w:rsidR="008140C3" w:rsidRDefault="008140C3" w:rsidP="00764E65">
      <w:pPr>
        <w:spacing w:before="120" w:after="120" w:line="360" w:lineRule="auto"/>
      </w:pPr>
    </w:p>
    <w:p w14:paraId="0BAD7567" w14:textId="3C8031C8" w:rsidR="00E223A6" w:rsidRDefault="008140C3" w:rsidP="00D96FCE">
      <w:pPr>
        <w:spacing w:before="120" w:after="120" w:line="360" w:lineRule="auto"/>
        <w:rPr>
          <w:rFonts w:asciiTheme="minorHAnsi" w:hAnsiTheme="minorHAnsi"/>
        </w:rPr>
      </w:pPr>
      <w:r>
        <w:br w:type="page"/>
      </w:r>
      <w:r w:rsidR="00E223A6">
        <w:rPr>
          <w:rFonts w:asciiTheme="minorHAnsi" w:hAnsiTheme="minorHAnsi"/>
          <w:noProof/>
        </w:rPr>
        <w:lastRenderedPageBreak/>
        <w:drawing>
          <wp:inline distT="0" distB="0" distL="0" distR="0" wp14:anchorId="55EEF2F6" wp14:editId="7FC1E99A">
            <wp:extent cx="5538588" cy="7010400"/>
            <wp:effectExtent l="19050" t="19050" r="24130" b="19050"/>
            <wp:docPr id="6" name="Picture 6"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rossword puzz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3599" cy="7016743"/>
                    </a:xfrm>
                    <a:prstGeom prst="rect">
                      <a:avLst/>
                    </a:prstGeom>
                    <a:ln>
                      <a:solidFill>
                        <a:schemeClr val="tx1"/>
                      </a:solidFill>
                    </a:ln>
                  </pic:spPr>
                </pic:pic>
              </a:graphicData>
            </a:graphic>
          </wp:inline>
        </w:drawing>
      </w:r>
    </w:p>
    <w:p w14:paraId="52EFFB5E" w14:textId="0D364607" w:rsidR="008140C3" w:rsidRDefault="008140C3" w:rsidP="00E223A6">
      <w:pPr>
        <w:pStyle w:val="EndNoteBibliography"/>
        <w:spacing w:after="0"/>
        <w:rPr>
          <w:szCs w:val="24"/>
        </w:rPr>
      </w:pPr>
      <w:r>
        <w:rPr>
          <w:rFonts w:asciiTheme="minorHAnsi" w:hAnsiTheme="minorHAnsi"/>
          <w:szCs w:val="24"/>
        </w:rPr>
        <w:t>Figure S2</w:t>
      </w:r>
      <w:r w:rsidRPr="00015AAC">
        <w:rPr>
          <w:rFonts w:asciiTheme="minorHAnsi" w:hAnsiTheme="minorHAnsi"/>
          <w:szCs w:val="24"/>
        </w:rPr>
        <w:t xml:space="preserve">. </w:t>
      </w:r>
      <w:bookmarkStart w:id="1" w:name="_Hlk5715741"/>
      <w:r w:rsidRPr="00CC54D4">
        <w:rPr>
          <w:szCs w:val="24"/>
        </w:rPr>
        <w:t xml:space="preserve">Cluster analysis for other functional gene probes detected for ARBs. This </w:t>
      </w:r>
      <w:r>
        <w:rPr>
          <w:szCs w:val="24"/>
        </w:rPr>
        <w:t xml:space="preserve">analysis </w:t>
      </w:r>
      <w:r w:rsidRPr="00CC54D4">
        <w:rPr>
          <w:szCs w:val="24"/>
        </w:rPr>
        <w:t>was perf</w:t>
      </w:r>
      <w:r>
        <w:rPr>
          <w:szCs w:val="24"/>
        </w:rPr>
        <w:t xml:space="preserve">ormed in addition to CCA analysis </w:t>
      </w:r>
      <w:r w:rsidRPr="00CC54D4">
        <w:rPr>
          <w:szCs w:val="24"/>
        </w:rPr>
        <w:t xml:space="preserve">to </w:t>
      </w:r>
      <w:r>
        <w:rPr>
          <w:szCs w:val="24"/>
        </w:rPr>
        <w:t xml:space="preserve">reveal the </w:t>
      </w:r>
      <w:r w:rsidRPr="00CC54D4">
        <w:rPr>
          <w:szCs w:val="24"/>
        </w:rPr>
        <w:t xml:space="preserve"> </w:t>
      </w:r>
      <w:r>
        <w:rPr>
          <w:szCs w:val="24"/>
        </w:rPr>
        <w:t xml:space="preserve">differences between the </w:t>
      </w:r>
      <w:r w:rsidRPr="00CC54D4">
        <w:rPr>
          <w:szCs w:val="24"/>
        </w:rPr>
        <w:t>treatments  Higher intensity of color corresponds to higher abundance.</w:t>
      </w:r>
      <w:bookmarkEnd w:id="1"/>
      <w:r w:rsidR="00E223A6">
        <w:rPr>
          <w:szCs w:val="24"/>
        </w:rPr>
        <w:t xml:space="preserve"> </w:t>
      </w:r>
      <w:r w:rsidR="00E223A6" w:rsidRPr="006C5D79">
        <w:rPr>
          <w:szCs w:val="24"/>
        </w:rPr>
        <w:t xml:space="preserve">CFA=continuously flooded-arsenic, CFC=continuously flooded-control and </w:t>
      </w:r>
      <w:r w:rsidR="00E223A6">
        <w:rPr>
          <w:szCs w:val="24"/>
        </w:rPr>
        <w:t>IF</w:t>
      </w:r>
      <w:r w:rsidR="00E223A6" w:rsidRPr="006C5D79">
        <w:rPr>
          <w:szCs w:val="24"/>
        </w:rPr>
        <w:t>C =</w:t>
      </w:r>
      <w:r w:rsidR="00E223A6">
        <w:rPr>
          <w:szCs w:val="24"/>
        </w:rPr>
        <w:t xml:space="preserve"> intermittently flooded control</w:t>
      </w:r>
      <w:r w:rsidR="00E223A6" w:rsidRPr="006C5D79">
        <w:rPr>
          <w:szCs w:val="24"/>
        </w:rPr>
        <w:t>.</w:t>
      </w:r>
      <w:r w:rsidR="008F0E2E">
        <w:rPr>
          <w:szCs w:val="24"/>
        </w:rPr>
        <w:t xml:space="preserve"> </w:t>
      </w:r>
      <w:r w:rsidR="008F0E2E" w:rsidRPr="006C5D79">
        <w:rPr>
          <w:szCs w:val="24"/>
        </w:rPr>
        <w:t>Suffix RP and Rz represent the root-plaque and the rhizosphere samples, respectively.</w:t>
      </w:r>
    </w:p>
    <w:p w14:paraId="5134027A" w14:textId="1EFC2B74" w:rsidR="00233A6C" w:rsidRDefault="006F7E4F">
      <w:r>
        <w:rPr>
          <w:noProof/>
        </w:rPr>
        <w:lastRenderedPageBreak/>
        <w:drawing>
          <wp:inline distT="0" distB="0" distL="0" distR="0" wp14:anchorId="4B1BB836" wp14:editId="4713573F">
            <wp:extent cx="6134100" cy="5569927"/>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40824" cy="5576032"/>
                    </a:xfrm>
                    <a:prstGeom prst="rect">
                      <a:avLst/>
                    </a:prstGeom>
                  </pic:spPr>
                </pic:pic>
              </a:graphicData>
            </a:graphic>
          </wp:inline>
        </w:drawing>
      </w:r>
    </w:p>
    <w:p w14:paraId="534FE560" w14:textId="616375CF" w:rsidR="00233A6C" w:rsidRPr="006C5D79" w:rsidRDefault="00233A6C" w:rsidP="00233A6C">
      <w:r w:rsidRPr="006C5D79">
        <w:t xml:space="preserve">Figure </w:t>
      </w:r>
      <w:r>
        <w:t>S</w:t>
      </w:r>
      <w:r w:rsidRPr="006C5D79">
        <w:t xml:space="preserve">3.  PCA ordination for all arsenic transforming gene-probes detected in </w:t>
      </w:r>
      <w:proofErr w:type="spellStart"/>
      <w:r w:rsidRPr="006C5D79">
        <w:t>Geochip</w:t>
      </w:r>
      <w:proofErr w:type="spellEnd"/>
      <w:r w:rsidRPr="006C5D79">
        <w:t xml:space="preserve">. The values in parenthesis next to components 1 and 2 represent the percentages of variance accounted in each component. Axis variables (gene probe OTU IDs) are projected as bi-plot vectors, and some major vectors are labeled to reveal the species name. Suffix RP and Rz in group labels represent the root-plaque and the rhizosphere samples, respectively. CFA=continuously flooded-arsenic (squares), CFC=continuously flooded-control (triangles) and </w:t>
      </w:r>
      <w:r w:rsidR="009D6803">
        <w:t>IF</w:t>
      </w:r>
      <w:r w:rsidR="009D6803" w:rsidRPr="006C5D79">
        <w:t>C =</w:t>
      </w:r>
      <w:r w:rsidR="009D6803">
        <w:t xml:space="preserve"> intermittently flooded control </w:t>
      </w:r>
      <w:r w:rsidRPr="006C5D79">
        <w:t>(stars).</w:t>
      </w:r>
    </w:p>
    <w:p w14:paraId="30D1DA66" w14:textId="0FD3F393" w:rsidR="00233A6C" w:rsidRDefault="00233A6C">
      <w:pPr>
        <w:rPr>
          <w:rFonts w:eastAsiaTheme="minorEastAsia"/>
          <w:noProof/>
        </w:rPr>
      </w:pPr>
      <w:r>
        <w:br w:type="page"/>
      </w:r>
    </w:p>
    <w:p w14:paraId="293BFF96" w14:textId="686F8091" w:rsidR="008140C3" w:rsidRDefault="00ED0313" w:rsidP="00041E85">
      <w:pPr>
        <w:pStyle w:val="EndNoteBibliography"/>
        <w:spacing w:before="120" w:after="120" w:line="360" w:lineRule="auto"/>
      </w:pPr>
      <w:r>
        <w:lastRenderedPageBreak/>
        <w:drawing>
          <wp:anchor distT="0" distB="0" distL="114300" distR="114300" simplePos="0" relativeHeight="251658240" behindDoc="1" locked="0" layoutInCell="1" allowOverlap="1" wp14:anchorId="04C45646" wp14:editId="2981E993">
            <wp:simplePos x="0" y="0"/>
            <wp:positionH relativeFrom="margin">
              <wp:posOffset>-26670</wp:posOffset>
            </wp:positionH>
            <wp:positionV relativeFrom="paragraph">
              <wp:posOffset>3859530</wp:posOffset>
            </wp:positionV>
            <wp:extent cx="5829935" cy="4359910"/>
            <wp:effectExtent l="0" t="0" r="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a:extLst>
                        <a:ext uri="{28A0092B-C50C-407E-A947-70E740481C1C}">
                          <a14:useLocalDpi xmlns:a14="http://schemas.microsoft.com/office/drawing/2010/main" val="0"/>
                        </a:ext>
                      </a:extLst>
                    </a:blip>
                    <a:srcRect t="9195" r="7212" b="3621"/>
                    <a:stretch/>
                  </pic:blipFill>
                  <pic:spPr bwMode="auto">
                    <a:xfrm>
                      <a:off x="0" y="0"/>
                      <a:ext cx="5829935" cy="435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9264" behindDoc="0" locked="0" layoutInCell="1" allowOverlap="1" wp14:anchorId="4D4A2A2F" wp14:editId="311956A1">
            <wp:simplePos x="0" y="0"/>
            <wp:positionH relativeFrom="margin">
              <wp:align>left</wp:align>
            </wp:positionH>
            <wp:positionV relativeFrom="paragraph">
              <wp:posOffset>0</wp:posOffset>
            </wp:positionV>
            <wp:extent cx="5791200" cy="3886200"/>
            <wp:effectExtent l="0" t="0" r="0" b="0"/>
            <wp:wrapTopAndBottom/>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rotWithShape="1">
                    <a:blip r:embed="rId12">
                      <a:extLst>
                        <a:ext uri="{28A0092B-C50C-407E-A947-70E740481C1C}">
                          <a14:useLocalDpi xmlns:a14="http://schemas.microsoft.com/office/drawing/2010/main" val="0"/>
                        </a:ext>
                      </a:extLst>
                    </a:blip>
                    <a:srcRect t="10436" r="7532" b="3641"/>
                    <a:stretch/>
                  </pic:blipFill>
                  <pic:spPr bwMode="auto">
                    <a:xfrm>
                      <a:off x="0" y="0"/>
                      <a:ext cx="5793930" cy="3888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78500" w14:textId="33AA3F85" w:rsidR="008140C3" w:rsidRDefault="008140C3" w:rsidP="00041E85">
      <w:pPr>
        <w:spacing w:after="0" w:line="240" w:lineRule="auto"/>
      </w:pPr>
      <w:r>
        <w:lastRenderedPageBreak/>
        <w:t>Figure S</w:t>
      </w:r>
      <w:r w:rsidR="00850E87">
        <w:t>4</w:t>
      </w:r>
      <w:r>
        <w:t xml:space="preserve">.  PCA ordination for ARBs in </w:t>
      </w:r>
      <w:r w:rsidR="00FF20A9">
        <w:t xml:space="preserve">the </w:t>
      </w:r>
      <w:r>
        <w:t xml:space="preserve">rhizosphere (a) and </w:t>
      </w:r>
      <w:r w:rsidR="00FF20A9">
        <w:t xml:space="preserve">the </w:t>
      </w:r>
      <w:r>
        <w:t>root-</w:t>
      </w:r>
      <w:r w:rsidR="00922CF1">
        <w:t>plaque</w:t>
      </w:r>
      <w:r>
        <w:t xml:space="preserve"> (b)</w:t>
      </w:r>
      <w:r w:rsidR="00FF20A9">
        <w:t xml:space="preserve"> compartments</w:t>
      </w:r>
      <w:r>
        <w:t>. The values in parenthesis next to components 1 and 2 represent t</w:t>
      </w:r>
      <w:r w:rsidRPr="002F4E54">
        <w:t>he percentages</w:t>
      </w:r>
      <w:r>
        <w:t xml:space="preserve"> of variance accounted in each component.</w:t>
      </w:r>
      <w:r w:rsidRPr="002F4E54">
        <w:t xml:space="preserve"> </w:t>
      </w:r>
      <w:r>
        <w:t xml:space="preserve">Axis variables (gene probe OTU IDs) are projected as bi-plot vectors, and some major vectors are labeled to reveal the species name. Suffix RP and Rz in group labels represent the root-plaque and the rhizosphere samples, respectively. CFA=continuously flooded-arsenic (squares), CFC=continuously flooded-control (triangles) and </w:t>
      </w:r>
      <w:r w:rsidR="009D6803">
        <w:t>IF</w:t>
      </w:r>
      <w:r w:rsidR="009D6803" w:rsidRPr="006C5D79">
        <w:t>C =</w:t>
      </w:r>
      <w:r w:rsidR="009D6803">
        <w:t xml:space="preserve"> intermittently flooded control</w:t>
      </w:r>
      <w:r>
        <w:t xml:space="preserve"> (stars).</w:t>
      </w:r>
    </w:p>
    <w:p w14:paraId="68274199" w14:textId="3B13E34E" w:rsidR="003F1172" w:rsidRDefault="003F1172"/>
    <w:p w14:paraId="0640866D" w14:textId="6D7F0D2B" w:rsidR="00437DCB" w:rsidRDefault="00437DCB" w:rsidP="003F1172">
      <w:r>
        <w:rPr>
          <w:noProof/>
        </w:rPr>
        <w:drawing>
          <wp:inline distT="0" distB="0" distL="0" distR="0" wp14:anchorId="1B3D4755" wp14:editId="428CEC61">
            <wp:extent cx="5943600" cy="524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943600" cy="5245100"/>
                    </a:xfrm>
                    <a:prstGeom prst="rect">
                      <a:avLst/>
                    </a:prstGeom>
                  </pic:spPr>
                </pic:pic>
              </a:graphicData>
            </a:graphic>
          </wp:inline>
        </w:drawing>
      </w:r>
    </w:p>
    <w:p w14:paraId="450C6878" w14:textId="09173D0D" w:rsidR="003F1172" w:rsidRDefault="003F1172" w:rsidP="003F1172">
      <w:r w:rsidRPr="006C5D79">
        <w:t xml:space="preserve">Figure </w:t>
      </w:r>
      <w:r w:rsidR="00E16157">
        <w:t>S</w:t>
      </w:r>
      <w:r w:rsidRPr="006C5D79">
        <w:t xml:space="preserve">5.  PCA ordination for </w:t>
      </w:r>
      <w:r w:rsidR="00D81654">
        <w:t xml:space="preserve">potential </w:t>
      </w:r>
      <w:r w:rsidRPr="006C5D79">
        <w:t xml:space="preserve">IRBs detected in </w:t>
      </w:r>
      <w:proofErr w:type="spellStart"/>
      <w:r w:rsidRPr="006C5D79">
        <w:t>Geochip</w:t>
      </w:r>
      <w:proofErr w:type="spellEnd"/>
      <w:r w:rsidRPr="006C5D79">
        <w:t>. The values in parenthesis next to components 1 and 2 represent the percentages of variance accounted in each component. Axis variables (gene probe OTU IDs) are projected as bi-plot vectors, and some major vectors are labeled to reveal the species name. Suffix RP and Rz in group labels represent the root-plaque and the rhizosphere samples, respectively. CFA=continuously flooded-arsenic (squares), CFC=continuously flooded-control (triangles) and</w:t>
      </w:r>
      <w:r w:rsidR="004D7470">
        <w:t xml:space="preserve"> IF</w:t>
      </w:r>
      <w:r w:rsidR="004D7470" w:rsidRPr="006C5D79">
        <w:t>C =</w:t>
      </w:r>
      <w:r w:rsidR="004D7470">
        <w:t xml:space="preserve"> intermittently flooded control (stars).</w:t>
      </w:r>
    </w:p>
    <w:p w14:paraId="52CB3FDB" w14:textId="4A88AC29" w:rsidR="00D95F97" w:rsidRPr="006C5D79" w:rsidRDefault="00D95F97" w:rsidP="003F1172">
      <w:r>
        <w:br w:type="page"/>
      </w:r>
      <w:r w:rsidR="00AC5BF9">
        <w:rPr>
          <w:noProof/>
        </w:rPr>
        <w:lastRenderedPageBreak/>
        <w:drawing>
          <wp:inline distT="0" distB="0" distL="0" distR="0" wp14:anchorId="358BC2C9" wp14:editId="6FAA5D6E">
            <wp:extent cx="5963634" cy="604837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66900" cy="6051688"/>
                    </a:xfrm>
                    <a:prstGeom prst="rect">
                      <a:avLst/>
                    </a:prstGeom>
                  </pic:spPr>
                </pic:pic>
              </a:graphicData>
            </a:graphic>
          </wp:inline>
        </w:drawing>
      </w:r>
    </w:p>
    <w:p w14:paraId="482B6D5A" w14:textId="6C4D5B19" w:rsidR="00BF679E" w:rsidRDefault="00BF679E" w:rsidP="00BF679E">
      <w:r w:rsidRPr="006C5D79">
        <w:t xml:space="preserve">Figure </w:t>
      </w:r>
      <w:r>
        <w:t>S6</w:t>
      </w:r>
      <w:r w:rsidRPr="006C5D79">
        <w:t xml:space="preserve">.  PCA ordination for </w:t>
      </w:r>
      <w:r w:rsidR="00B04007">
        <w:t>S</w:t>
      </w:r>
      <w:r w:rsidRPr="006C5D79">
        <w:t xml:space="preserve">RBs </w:t>
      </w:r>
      <w:r w:rsidR="00B04007">
        <w:t>(</w:t>
      </w:r>
      <w:proofErr w:type="spellStart"/>
      <w:r w:rsidR="00B04007" w:rsidRPr="002A31D3">
        <w:t>dsrA</w:t>
      </w:r>
      <w:proofErr w:type="spellEnd"/>
      <w:r w:rsidR="00B04007" w:rsidRPr="002A31D3">
        <w:t>/B</w:t>
      </w:r>
      <w:r w:rsidR="00B04007">
        <w:t xml:space="preserve">, </w:t>
      </w:r>
      <w:proofErr w:type="spellStart"/>
      <w:r w:rsidR="00B04007" w:rsidRPr="002A31D3">
        <w:t>APS_AprA</w:t>
      </w:r>
      <w:proofErr w:type="spellEnd"/>
      <w:r w:rsidR="00B04007" w:rsidRPr="002A31D3">
        <w:t xml:space="preserve">/B </w:t>
      </w:r>
      <w:r w:rsidR="00B04007" w:rsidRPr="006C5D79">
        <w:t>gene probes</w:t>
      </w:r>
      <w:r w:rsidR="00B04007">
        <w:t>)</w:t>
      </w:r>
      <w:r>
        <w:t xml:space="preserve"> </w:t>
      </w:r>
      <w:r w:rsidRPr="006C5D79">
        <w:t xml:space="preserve">detected in </w:t>
      </w:r>
      <w:proofErr w:type="spellStart"/>
      <w:r w:rsidRPr="006C5D79">
        <w:t>Geochip</w:t>
      </w:r>
      <w:proofErr w:type="spellEnd"/>
      <w:r w:rsidRPr="006C5D79">
        <w:t>. The values in parenthesis next to components 1 and 2 represent the percentages of variance accounted in each component. Axis variables (gene probe OTU IDs) are projected as bi-plot vectors, and some major vectors are labeled to reveal the species name. Suffix RP and Rz in group labels represent the root-plaque and the rhizosphere samples, respectively. CFA=continuously flooded-arsenic (squares), CFC=continuously flooded-control (triangles) and</w:t>
      </w:r>
      <w:r>
        <w:t xml:space="preserve"> IF</w:t>
      </w:r>
      <w:r w:rsidRPr="006C5D79">
        <w:t>C =</w:t>
      </w:r>
      <w:r>
        <w:t xml:space="preserve"> intermittently flooded control (stars).</w:t>
      </w:r>
    </w:p>
    <w:p w14:paraId="6EC46BB5" w14:textId="6DE43DE4" w:rsidR="003F1172" w:rsidRDefault="003F1172">
      <w:r>
        <w:br w:type="page"/>
      </w:r>
    </w:p>
    <w:p w14:paraId="08686BEA" w14:textId="425A8792" w:rsidR="00DE712C" w:rsidRDefault="005C5726" w:rsidP="00764E65">
      <w:pPr>
        <w:spacing w:before="120" w:after="120" w:line="360" w:lineRule="auto"/>
      </w:pPr>
      <w:r>
        <w:rPr>
          <w:noProof/>
        </w:rPr>
        <w:lastRenderedPageBreak/>
        <w:drawing>
          <wp:inline distT="0" distB="0" distL="0" distR="0" wp14:anchorId="260FD5EA" wp14:editId="54B15048">
            <wp:extent cx="5438775" cy="5210175"/>
            <wp:effectExtent l="0" t="0" r="9525" b="952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38775" cy="5210175"/>
                    </a:xfrm>
                    <a:prstGeom prst="rect">
                      <a:avLst/>
                    </a:prstGeom>
                  </pic:spPr>
                </pic:pic>
              </a:graphicData>
            </a:graphic>
          </wp:inline>
        </w:drawing>
      </w:r>
    </w:p>
    <w:p w14:paraId="1D777948" w14:textId="459F11A0" w:rsidR="005C5726" w:rsidRDefault="005C5726" w:rsidP="005C5726">
      <w:r w:rsidRPr="006C5D79">
        <w:t xml:space="preserve">Figure </w:t>
      </w:r>
      <w:r>
        <w:t>S7</w:t>
      </w:r>
      <w:r w:rsidRPr="006C5D79">
        <w:t xml:space="preserve">.  PCA ordination for </w:t>
      </w:r>
      <w:r>
        <w:t xml:space="preserve">SOBs (SOX </w:t>
      </w:r>
      <w:r w:rsidRPr="006C5D79">
        <w:t>gene probes</w:t>
      </w:r>
      <w:r>
        <w:t xml:space="preserve">) </w:t>
      </w:r>
      <w:r w:rsidRPr="006C5D79">
        <w:t xml:space="preserve">detected in </w:t>
      </w:r>
      <w:proofErr w:type="spellStart"/>
      <w:r w:rsidRPr="006C5D79">
        <w:t>Geochip</w:t>
      </w:r>
      <w:proofErr w:type="spellEnd"/>
      <w:r w:rsidRPr="006C5D79">
        <w:t>. The values in parenthesis next to components 1 and 2 represent the percentages of variance accounted in each component. Axis variables (gene probe OTU IDs) are projected as bi-plot vectors, and some major vectors are labeled to reveal the species name. Suffix RP and Rz in group labels represent the root-plaque and the rhizosphere samples, respectively. CFA=continuously flooded-arsenic (squares), CFC=continuously flooded-control (triangles) and</w:t>
      </w:r>
      <w:r>
        <w:t xml:space="preserve"> IF</w:t>
      </w:r>
      <w:r w:rsidRPr="006C5D79">
        <w:t>C =</w:t>
      </w:r>
      <w:r>
        <w:t xml:space="preserve"> intermittently flooded control (stars).</w:t>
      </w:r>
    </w:p>
    <w:p w14:paraId="14CD27AB" w14:textId="77777777" w:rsidR="005C5726" w:rsidRDefault="005C5726" w:rsidP="00764E65">
      <w:pPr>
        <w:spacing w:before="120" w:after="120" w:line="360" w:lineRule="auto"/>
        <w:rPr>
          <w:b/>
          <w:bCs/>
        </w:rPr>
      </w:pPr>
    </w:p>
    <w:p w14:paraId="36110404" w14:textId="77777777" w:rsidR="005C5726" w:rsidRDefault="005C5726">
      <w:pPr>
        <w:rPr>
          <w:b/>
          <w:bCs/>
        </w:rPr>
      </w:pPr>
      <w:r>
        <w:rPr>
          <w:b/>
          <w:bCs/>
        </w:rPr>
        <w:br w:type="page"/>
      </w:r>
    </w:p>
    <w:p w14:paraId="3E2B4807" w14:textId="0273F880" w:rsidR="00DE712C" w:rsidRPr="00235D98" w:rsidRDefault="00C673F3" w:rsidP="00764E65">
      <w:pPr>
        <w:spacing w:before="120" w:after="120" w:line="360" w:lineRule="auto"/>
        <w:rPr>
          <w:b/>
          <w:bCs/>
        </w:rPr>
      </w:pPr>
      <w:r w:rsidRPr="00235D98">
        <w:rPr>
          <w:b/>
          <w:bCs/>
        </w:rPr>
        <w:lastRenderedPageBreak/>
        <w:t>References</w:t>
      </w:r>
    </w:p>
    <w:p w14:paraId="716374B4" w14:textId="77777777" w:rsidR="007C65E7" w:rsidRPr="007C65E7" w:rsidRDefault="00DE712C" w:rsidP="007C65E7">
      <w:pPr>
        <w:pStyle w:val="EndNoteBibliography"/>
        <w:spacing w:after="0"/>
      </w:pPr>
      <w:r>
        <w:fldChar w:fldCharType="begin"/>
      </w:r>
      <w:r>
        <w:instrText xml:space="preserve"> ADDIN EN.REFLIST </w:instrText>
      </w:r>
      <w:r>
        <w:fldChar w:fldCharType="separate"/>
      </w:r>
      <w:r w:rsidR="007C65E7" w:rsidRPr="007C65E7">
        <w:t>1.</w:t>
      </w:r>
      <w:r w:rsidR="007C65E7" w:rsidRPr="007C65E7">
        <w:tab/>
        <w:t>Fiedler, S., Vepraskas, M.J., Richardson, J. (2007). Soil redox potential: importance, field measurements, and observations. Advances in agronomy. 94, 1-54.</w:t>
      </w:r>
    </w:p>
    <w:p w14:paraId="153853EA" w14:textId="77777777" w:rsidR="007C65E7" w:rsidRPr="007C65E7" w:rsidRDefault="007C65E7" w:rsidP="007C65E7">
      <w:pPr>
        <w:pStyle w:val="EndNoteBibliography"/>
        <w:spacing w:after="0"/>
      </w:pPr>
      <w:r w:rsidRPr="007C65E7">
        <w:t>2.</w:t>
      </w:r>
      <w:r w:rsidRPr="007C65E7">
        <w:tab/>
        <w:t>USEPA, E. (1996). Method 3050B-Acid digestion of sediments, sludges and soils. Test methods for evaluating solid wastes: physical/chemical methods. EPA SW‐846. 1, 3050B-1.</w:t>
      </w:r>
    </w:p>
    <w:p w14:paraId="2F7FD5B3" w14:textId="77777777" w:rsidR="007C65E7" w:rsidRPr="007C65E7" w:rsidRDefault="007C65E7" w:rsidP="007C65E7">
      <w:pPr>
        <w:pStyle w:val="EndNoteBibliography"/>
        <w:spacing w:after="0"/>
      </w:pPr>
      <w:r w:rsidRPr="007C65E7">
        <w:t>3.</w:t>
      </w:r>
      <w:r w:rsidRPr="007C65E7">
        <w:tab/>
        <w:t>Heitkemper, D.T., Vela, N.P., Stewart, K.R., Westphal, C.S. (2001). Determination of total and speciated arsenic in rice by ion chromatography and inductively coupled plasma mass spectrometry. Journal of Analytical Atomic Spectrometry. 16(4), 299-306.</w:t>
      </w:r>
    </w:p>
    <w:p w14:paraId="5C8E3B77" w14:textId="77777777" w:rsidR="007C65E7" w:rsidRPr="007C65E7" w:rsidRDefault="007C65E7" w:rsidP="007C65E7">
      <w:pPr>
        <w:pStyle w:val="EndNoteBibliography"/>
        <w:spacing w:after="0"/>
      </w:pPr>
      <w:r w:rsidRPr="007C65E7">
        <w:t>4.</w:t>
      </w:r>
      <w:r w:rsidRPr="007C65E7">
        <w:tab/>
        <w:t>Pillai, T.R., Yan, W., Agrama, H.A., James, W.D., Ibrahim, A.M.H., McClung, A.M., et al. (2010). Total Grain-Arsenic and Arsenic-Species Concentrations in Diverse Rice Cultivars under Flooded Conditions. Crop Sci. 50(5), 2065-2075.</w:t>
      </w:r>
    </w:p>
    <w:p w14:paraId="6D642874" w14:textId="77777777" w:rsidR="007C65E7" w:rsidRPr="007C65E7" w:rsidRDefault="007C65E7" w:rsidP="007C65E7">
      <w:pPr>
        <w:pStyle w:val="EndNoteBibliography"/>
      </w:pPr>
      <w:r w:rsidRPr="007C65E7">
        <w:t>5.</w:t>
      </w:r>
      <w:r w:rsidRPr="007C65E7">
        <w:tab/>
        <w:t>Tu, Q., Yu, H., He, Z., Deng, Y., Wu, L., Van Nostrand, J.D., et al. (2014). GeoChip 4: a functional gene‐array‐based high‐throughput environmental technology for microbial community analysis. Mol. Ecol. Resour. 14(5), 914-928.</w:t>
      </w:r>
    </w:p>
    <w:p w14:paraId="76079EA8" w14:textId="0BEBB391" w:rsidR="00DE712C" w:rsidRDefault="00DE712C" w:rsidP="00DE712C">
      <w:r>
        <w:fldChar w:fldCharType="end"/>
      </w:r>
    </w:p>
    <w:sectPr w:rsidR="00DE71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D6F5" w14:textId="77777777" w:rsidR="00205F6E" w:rsidRDefault="00205F6E">
      <w:pPr>
        <w:spacing w:after="0" w:line="240" w:lineRule="auto"/>
      </w:pPr>
      <w:r>
        <w:separator/>
      </w:r>
    </w:p>
  </w:endnote>
  <w:endnote w:type="continuationSeparator" w:id="0">
    <w:p w14:paraId="5173017C" w14:textId="77777777" w:rsidR="00205F6E" w:rsidRDefault="00205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500D" w14:textId="77777777" w:rsidR="00F96E89" w:rsidRDefault="00205F6E">
    <w:pPr>
      <w:pStyle w:val="BodyText"/>
      <w:spacing w:line="14" w:lineRule="auto"/>
      <w:rPr>
        <w:sz w:val="20"/>
      </w:rPr>
    </w:pPr>
    <w:r>
      <w:pict w14:anchorId="651566B5">
        <v:shapetype id="_x0000_t202" coordsize="21600,21600" o:spt="202" path="m,l,21600r21600,l21600,xe">
          <v:stroke joinstyle="miter"/>
          <v:path gradientshapeok="t" o:connecttype="rect"/>
        </v:shapetype>
        <v:shape id="_x0000_s1025" type="#_x0000_t202" style="position:absolute;margin-left:528.4pt;margin-top:730.35pt;width:14.6pt;height:13pt;z-index:-251658752;mso-position-horizontal-relative:page;mso-position-vertical-relative:page" filled="f" stroked="f">
          <v:textbox inset="0,0,0,0">
            <w:txbxContent>
              <w:p w14:paraId="01122AAA" w14:textId="77777777" w:rsidR="00F96E89" w:rsidRDefault="00D87526">
                <w:pPr>
                  <w:spacing w:line="244" w:lineRule="exact"/>
                  <w:ind w:left="20"/>
                  <w:rPr>
                    <w:rFonts w:ascii="Calibri"/>
                  </w:rPr>
                </w:pPr>
                <w:r>
                  <w:rPr>
                    <w:rFonts w:ascii="Calibri"/>
                    <w:sz w:val="22"/>
                  </w:rPr>
                  <w:t>S</w:t>
                </w:r>
                <w:r>
                  <w:fldChar w:fldCharType="begin"/>
                </w:r>
                <w:r>
                  <w:rPr>
                    <w:rFonts w:ascii="Calibri"/>
                    <w:sz w:val="22"/>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7E52D" w14:textId="77777777" w:rsidR="00205F6E" w:rsidRDefault="00205F6E">
      <w:pPr>
        <w:spacing w:after="0" w:line="240" w:lineRule="auto"/>
      </w:pPr>
      <w:r>
        <w:separator/>
      </w:r>
    </w:p>
  </w:footnote>
  <w:footnote w:type="continuationSeparator" w:id="0">
    <w:p w14:paraId="2EC9EB24" w14:textId="77777777" w:rsidR="00205F6E" w:rsidRDefault="00205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D0703"/>
    <w:multiLevelType w:val="multilevel"/>
    <w:tmpl w:val="DC42933C"/>
    <w:lvl w:ilvl="0">
      <w:numFmt w:val="decimal"/>
      <w:lvlText w:val="%1"/>
      <w:lvlJc w:val="left"/>
      <w:pPr>
        <w:ind w:left="220" w:hanging="361"/>
        <w:jc w:val="left"/>
      </w:pPr>
      <w:rPr>
        <w:rFonts w:hint="default"/>
      </w:rPr>
    </w:lvl>
    <w:lvl w:ilvl="1">
      <w:start w:val="4"/>
      <w:numFmt w:val="decimal"/>
      <w:lvlText w:val="%1.%2"/>
      <w:lvlJc w:val="left"/>
      <w:pPr>
        <w:ind w:left="220" w:hanging="361"/>
        <w:jc w:val="left"/>
      </w:pPr>
      <w:rPr>
        <w:rFonts w:ascii="Times New Roman" w:eastAsia="Times New Roman" w:hAnsi="Times New Roman" w:cs="Times New Roman" w:hint="default"/>
        <w:spacing w:val="-20"/>
        <w:w w:val="97"/>
        <w:sz w:val="24"/>
        <w:szCs w:val="24"/>
      </w:rPr>
    </w:lvl>
    <w:lvl w:ilvl="2">
      <w:start w:val="1"/>
      <w:numFmt w:val="decimal"/>
      <w:lvlText w:val="%3."/>
      <w:lvlJc w:val="left"/>
      <w:pPr>
        <w:ind w:left="1890" w:hanging="450"/>
        <w:jc w:val="left"/>
      </w:pPr>
      <w:rPr>
        <w:rFonts w:hint="default"/>
        <w:w w:val="99"/>
      </w:rPr>
    </w:lvl>
    <w:lvl w:ilvl="3">
      <w:numFmt w:val="bullet"/>
      <w:lvlText w:val="•"/>
      <w:lvlJc w:val="left"/>
      <w:pPr>
        <w:ind w:left="3628" w:hanging="450"/>
      </w:pPr>
      <w:rPr>
        <w:rFonts w:hint="default"/>
      </w:rPr>
    </w:lvl>
    <w:lvl w:ilvl="4">
      <w:numFmt w:val="bullet"/>
      <w:lvlText w:val="•"/>
      <w:lvlJc w:val="left"/>
      <w:pPr>
        <w:ind w:left="4493" w:hanging="450"/>
      </w:pPr>
      <w:rPr>
        <w:rFonts w:hint="default"/>
      </w:rPr>
    </w:lvl>
    <w:lvl w:ilvl="5">
      <w:numFmt w:val="bullet"/>
      <w:lvlText w:val="•"/>
      <w:lvlJc w:val="left"/>
      <w:pPr>
        <w:ind w:left="5357" w:hanging="450"/>
      </w:pPr>
      <w:rPr>
        <w:rFonts w:hint="default"/>
      </w:rPr>
    </w:lvl>
    <w:lvl w:ilvl="6">
      <w:numFmt w:val="bullet"/>
      <w:lvlText w:val="•"/>
      <w:lvlJc w:val="left"/>
      <w:pPr>
        <w:ind w:left="6222" w:hanging="450"/>
      </w:pPr>
      <w:rPr>
        <w:rFonts w:hint="default"/>
      </w:rPr>
    </w:lvl>
    <w:lvl w:ilvl="7">
      <w:numFmt w:val="bullet"/>
      <w:lvlText w:val="•"/>
      <w:lvlJc w:val="left"/>
      <w:pPr>
        <w:ind w:left="7086" w:hanging="450"/>
      </w:pPr>
      <w:rPr>
        <w:rFonts w:hint="default"/>
      </w:rPr>
    </w:lvl>
    <w:lvl w:ilvl="8">
      <w:numFmt w:val="bullet"/>
      <w:lvlText w:val="•"/>
      <w:lvlJc w:val="left"/>
      <w:pPr>
        <w:ind w:left="7951" w:hanging="45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5s0asfar5fave9axrpsd2cvwdw20fr2wwa&quot;&gt;EndNote_ACS_Overton Copy&lt;record-ids&gt;&lt;item&gt;1828&lt;/item&gt;&lt;item&gt;3046&lt;/item&gt;&lt;item&gt;3070&lt;/item&gt;&lt;item&gt;3071&lt;/item&gt;&lt;item&gt;3072&lt;/item&gt;&lt;/record-ids&gt;&lt;/item&gt;&lt;/Libraries&gt;"/>
  </w:docVars>
  <w:rsids>
    <w:rsidRoot w:val="0015397D"/>
    <w:rsid w:val="000179A6"/>
    <w:rsid w:val="00041E85"/>
    <w:rsid w:val="00064ECE"/>
    <w:rsid w:val="00083892"/>
    <w:rsid w:val="000A6EE7"/>
    <w:rsid w:val="000D4321"/>
    <w:rsid w:val="000E4124"/>
    <w:rsid w:val="00110A36"/>
    <w:rsid w:val="00117FF4"/>
    <w:rsid w:val="00136F56"/>
    <w:rsid w:val="0015397D"/>
    <w:rsid w:val="00170A4E"/>
    <w:rsid w:val="00181A01"/>
    <w:rsid w:val="00205F6E"/>
    <w:rsid w:val="00233A6C"/>
    <w:rsid w:val="00235D98"/>
    <w:rsid w:val="0024209F"/>
    <w:rsid w:val="002425B5"/>
    <w:rsid w:val="002C5EEA"/>
    <w:rsid w:val="002F77C4"/>
    <w:rsid w:val="00301CC5"/>
    <w:rsid w:val="0031344D"/>
    <w:rsid w:val="00340EBA"/>
    <w:rsid w:val="003A2347"/>
    <w:rsid w:val="003B17AD"/>
    <w:rsid w:val="003E6B6F"/>
    <w:rsid w:val="003F1172"/>
    <w:rsid w:val="00411F3E"/>
    <w:rsid w:val="00433572"/>
    <w:rsid w:val="00437DCB"/>
    <w:rsid w:val="0046231B"/>
    <w:rsid w:val="00475D15"/>
    <w:rsid w:val="0048161A"/>
    <w:rsid w:val="004D7470"/>
    <w:rsid w:val="00546061"/>
    <w:rsid w:val="005A4BEE"/>
    <w:rsid w:val="005B114A"/>
    <w:rsid w:val="005C5726"/>
    <w:rsid w:val="005C5C49"/>
    <w:rsid w:val="005F1F3B"/>
    <w:rsid w:val="005F77D2"/>
    <w:rsid w:val="006253B4"/>
    <w:rsid w:val="006469BF"/>
    <w:rsid w:val="006507FA"/>
    <w:rsid w:val="006D411D"/>
    <w:rsid w:val="006D59E4"/>
    <w:rsid w:val="006E0EEF"/>
    <w:rsid w:val="006E5246"/>
    <w:rsid w:val="006F3543"/>
    <w:rsid w:val="006F7E4F"/>
    <w:rsid w:val="00716CC7"/>
    <w:rsid w:val="007213E3"/>
    <w:rsid w:val="00744366"/>
    <w:rsid w:val="00761DF4"/>
    <w:rsid w:val="00764E65"/>
    <w:rsid w:val="007C65E7"/>
    <w:rsid w:val="007D1DFF"/>
    <w:rsid w:val="008140C3"/>
    <w:rsid w:val="00821DD0"/>
    <w:rsid w:val="00850E87"/>
    <w:rsid w:val="008546DB"/>
    <w:rsid w:val="00855AA4"/>
    <w:rsid w:val="0089364A"/>
    <w:rsid w:val="008970FA"/>
    <w:rsid w:val="008C07EB"/>
    <w:rsid w:val="008F0E2E"/>
    <w:rsid w:val="00922CF1"/>
    <w:rsid w:val="00924E2E"/>
    <w:rsid w:val="0095475A"/>
    <w:rsid w:val="00963D65"/>
    <w:rsid w:val="009B3464"/>
    <w:rsid w:val="009D6803"/>
    <w:rsid w:val="00A024B2"/>
    <w:rsid w:val="00A03597"/>
    <w:rsid w:val="00AB5ECB"/>
    <w:rsid w:val="00AC5BF9"/>
    <w:rsid w:val="00AC5EA6"/>
    <w:rsid w:val="00AD62EF"/>
    <w:rsid w:val="00AF0CE0"/>
    <w:rsid w:val="00B04007"/>
    <w:rsid w:val="00B11D4E"/>
    <w:rsid w:val="00B21A1C"/>
    <w:rsid w:val="00B33879"/>
    <w:rsid w:val="00B50BD6"/>
    <w:rsid w:val="00B7011E"/>
    <w:rsid w:val="00B71E1E"/>
    <w:rsid w:val="00B72A97"/>
    <w:rsid w:val="00B75BED"/>
    <w:rsid w:val="00BB1906"/>
    <w:rsid w:val="00BF679E"/>
    <w:rsid w:val="00C126DE"/>
    <w:rsid w:val="00C13E77"/>
    <w:rsid w:val="00C2555F"/>
    <w:rsid w:val="00C42962"/>
    <w:rsid w:val="00C462EA"/>
    <w:rsid w:val="00C614A3"/>
    <w:rsid w:val="00C673F3"/>
    <w:rsid w:val="00CA76BA"/>
    <w:rsid w:val="00CC3392"/>
    <w:rsid w:val="00D03B93"/>
    <w:rsid w:val="00D055C2"/>
    <w:rsid w:val="00D17256"/>
    <w:rsid w:val="00D35B46"/>
    <w:rsid w:val="00D67F12"/>
    <w:rsid w:val="00D81654"/>
    <w:rsid w:val="00D87526"/>
    <w:rsid w:val="00D95F97"/>
    <w:rsid w:val="00D96FCE"/>
    <w:rsid w:val="00DA1461"/>
    <w:rsid w:val="00DD7BF3"/>
    <w:rsid w:val="00DE1255"/>
    <w:rsid w:val="00DE712C"/>
    <w:rsid w:val="00E16157"/>
    <w:rsid w:val="00E164D2"/>
    <w:rsid w:val="00E223A6"/>
    <w:rsid w:val="00E31F2A"/>
    <w:rsid w:val="00E46AE9"/>
    <w:rsid w:val="00E93F3E"/>
    <w:rsid w:val="00EA0EF9"/>
    <w:rsid w:val="00EB66AF"/>
    <w:rsid w:val="00ED0313"/>
    <w:rsid w:val="00F55AB1"/>
    <w:rsid w:val="00F57D67"/>
    <w:rsid w:val="00F762DE"/>
    <w:rsid w:val="00F8119B"/>
    <w:rsid w:val="00FB1C93"/>
    <w:rsid w:val="00FD611E"/>
    <w:rsid w:val="00FE334F"/>
    <w:rsid w:val="00FF2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D6E1B"/>
  <w15:chartTrackingRefBased/>
  <w15:docId w15:val="{E507E89F-94BF-40F2-8B62-F97AB29C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C5EEA"/>
    <w:pPr>
      <w:widowControl w:val="0"/>
      <w:autoSpaceDE w:val="0"/>
      <w:autoSpaceDN w:val="0"/>
      <w:spacing w:after="0" w:line="240" w:lineRule="auto"/>
      <w:ind w:left="220"/>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8140C3"/>
    <w:pPr>
      <w:spacing w:line="240" w:lineRule="auto"/>
    </w:pPr>
    <w:rPr>
      <w:rFonts w:eastAsiaTheme="minorEastAsia"/>
      <w:noProof/>
      <w:szCs w:val="22"/>
    </w:rPr>
  </w:style>
  <w:style w:type="character" w:customStyle="1" w:styleId="EndNoteBibliographyChar">
    <w:name w:val="EndNote Bibliography Char"/>
    <w:basedOn w:val="DefaultParagraphFont"/>
    <w:link w:val="EndNoteBibliography"/>
    <w:rsid w:val="008140C3"/>
    <w:rPr>
      <w:rFonts w:eastAsiaTheme="minorEastAsia"/>
      <w:noProof/>
      <w:szCs w:val="22"/>
    </w:rPr>
  </w:style>
  <w:style w:type="character" w:customStyle="1" w:styleId="Heading1Char">
    <w:name w:val="Heading 1 Char"/>
    <w:basedOn w:val="DefaultParagraphFont"/>
    <w:link w:val="Heading1"/>
    <w:uiPriority w:val="9"/>
    <w:rsid w:val="002C5EEA"/>
    <w:rPr>
      <w:rFonts w:eastAsia="Times New Roman"/>
      <w:b/>
      <w:bCs/>
    </w:rPr>
  </w:style>
  <w:style w:type="paragraph" w:styleId="BodyText">
    <w:name w:val="Body Text"/>
    <w:basedOn w:val="Normal"/>
    <w:link w:val="BodyTextChar"/>
    <w:uiPriority w:val="1"/>
    <w:qFormat/>
    <w:rsid w:val="002C5EEA"/>
    <w:pPr>
      <w:widowControl w:val="0"/>
      <w:autoSpaceDE w:val="0"/>
      <w:autoSpaceDN w:val="0"/>
      <w:spacing w:after="0" w:line="240" w:lineRule="auto"/>
    </w:pPr>
    <w:rPr>
      <w:rFonts w:eastAsia="Times New Roman"/>
    </w:rPr>
  </w:style>
  <w:style w:type="character" w:customStyle="1" w:styleId="BodyTextChar">
    <w:name w:val="Body Text Char"/>
    <w:basedOn w:val="DefaultParagraphFont"/>
    <w:link w:val="BodyText"/>
    <w:uiPriority w:val="1"/>
    <w:rsid w:val="002C5EEA"/>
    <w:rPr>
      <w:rFonts w:eastAsia="Times New Roman"/>
    </w:rPr>
  </w:style>
  <w:style w:type="paragraph" w:styleId="ListParagraph">
    <w:name w:val="List Paragraph"/>
    <w:basedOn w:val="Normal"/>
    <w:uiPriority w:val="1"/>
    <w:qFormat/>
    <w:rsid w:val="002C5EEA"/>
    <w:pPr>
      <w:widowControl w:val="0"/>
      <w:autoSpaceDE w:val="0"/>
      <w:autoSpaceDN w:val="0"/>
      <w:spacing w:after="0" w:line="240" w:lineRule="auto"/>
      <w:ind w:left="1889" w:hanging="450"/>
    </w:pPr>
    <w:rPr>
      <w:rFonts w:eastAsia="Times New Roman"/>
      <w:sz w:val="22"/>
      <w:szCs w:val="22"/>
    </w:rPr>
  </w:style>
  <w:style w:type="paragraph" w:customStyle="1" w:styleId="EndNoteBibliographyTitle">
    <w:name w:val="EndNote Bibliography Title"/>
    <w:basedOn w:val="Normal"/>
    <w:link w:val="EndNoteBibliographyTitleChar"/>
    <w:rsid w:val="00DE712C"/>
    <w:pPr>
      <w:spacing w:after="0"/>
      <w:jc w:val="center"/>
    </w:pPr>
    <w:rPr>
      <w:noProof/>
    </w:rPr>
  </w:style>
  <w:style w:type="character" w:customStyle="1" w:styleId="EndNoteBibliographyTitleChar">
    <w:name w:val="EndNote Bibliography Title Char"/>
    <w:basedOn w:val="DefaultParagraphFont"/>
    <w:link w:val="EndNoteBibliographyTitle"/>
    <w:rsid w:val="00DE712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9287">
      <w:bodyDiv w:val="1"/>
      <w:marLeft w:val="0"/>
      <w:marRight w:val="0"/>
      <w:marTop w:val="0"/>
      <w:marBottom w:val="0"/>
      <w:divBdr>
        <w:top w:val="none" w:sz="0" w:space="0" w:color="auto"/>
        <w:left w:val="none" w:sz="0" w:space="0" w:color="auto"/>
        <w:bottom w:val="none" w:sz="0" w:space="0" w:color="auto"/>
        <w:right w:val="none" w:sz="0" w:space="0" w:color="auto"/>
      </w:divBdr>
    </w:div>
    <w:div w:id="398941312">
      <w:bodyDiv w:val="1"/>
      <w:marLeft w:val="0"/>
      <w:marRight w:val="0"/>
      <w:marTop w:val="0"/>
      <w:marBottom w:val="0"/>
      <w:divBdr>
        <w:top w:val="none" w:sz="0" w:space="0" w:color="auto"/>
        <w:left w:val="none" w:sz="0" w:space="0" w:color="auto"/>
        <w:bottom w:val="none" w:sz="0" w:space="0" w:color="auto"/>
        <w:right w:val="none" w:sz="0" w:space="0" w:color="auto"/>
      </w:divBdr>
    </w:div>
    <w:div w:id="1044598057">
      <w:bodyDiv w:val="1"/>
      <w:marLeft w:val="0"/>
      <w:marRight w:val="0"/>
      <w:marTop w:val="0"/>
      <w:marBottom w:val="0"/>
      <w:divBdr>
        <w:top w:val="none" w:sz="0" w:space="0" w:color="auto"/>
        <w:left w:val="none" w:sz="0" w:space="0" w:color="auto"/>
        <w:bottom w:val="none" w:sz="0" w:space="0" w:color="auto"/>
        <w:right w:val="none" w:sz="0" w:space="0" w:color="auto"/>
      </w:divBdr>
    </w:div>
    <w:div w:id="1959531770">
      <w:bodyDiv w:val="1"/>
      <w:marLeft w:val="0"/>
      <w:marRight w:val="0"/>
      <w:marTop w:val="0"/>
      <w:marBottom w:val="0"/>
      <w:divBdr>
        <w:top w:val="none" w:sz="0" w:space="0" w:color="auto"/>
        <w:left w:val="none" w:sz="0" w:space="0" w:color="auto"/>
        <w:bottom w:val="none" w:sz="0" w:space="0" w:color="auto"/>
        <w:right w:val="none" w:sz="0" w:space="0" w:color="auto"/>
      </w:divBdr>
    </w:div>
    <w:div w:id="201133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C. Somenahally</dc:creator>
  <cp:keywords/>
  <dc:description/>
  <cp:lastModifiedBy>Clare Spencer</cp:lastModifiedBy>
  <cp:revision>2</cp:revision>
  <dcterms:created xsi:type="dcterms:W3CDTF">2021-10-06T09:56:00Z</dcterms:created>
  <dcterms:modified xsi:type="dcterms:W3CDTF">2021-10-06T09:56:00Z</dcterms:modified>
</cp:coreProperties>
</file>