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FDD55" w14:textId="77777777" w:rsidR="00666C81" w:rsidRDefault="00666C81" w:rsidP="00666C81">
      <w:pPr>
        <w:pStyle w:val="SupplementaryMaterial"/>
        <w:rPr>
          <w:b w:val="0"/>
        </w:rPr>
      </w:pPr>
      <w:bookmarkStart w:id="0" w:name="_GoBack"/>
      <w:bookmarkEnd w:id="0"/>
      <w:r>
        <w:t>Supplementary Material</w:t>
      </w:r>
    </w:p>
    <w:p w14:paraId="6D35AF70" w14:textId="77777777" w:rsidR="00666C81" w:rsidRDefault="00666C81" w:rsidP="00E46A8B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14:paraId="02ECC8FA" w14:textId="3B064943" w:rsidR="00666C81" w:rsidRPr="00666C81" w:rsidRDefault="00E46A8B" w:rsidP="00666C81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242627">
        <w:rPr>
          <w:rFonts w:ascii="Times New Roman" w:hAnsi="Times New Roman"/>
          <w:b/>
          <w:sz w:val="24"/>
        </w:rPr>
        <w:t>Supplementa</w:t>
      </w:r>
      <w:r w:rsidR="00933507">
        <w:rPr>
          <w:rFonts w:ascii="Times New Roman" w:hAnsi="Times New Roman"/>
          <w:b/>
          <w:sz w:val="24"/>
        </w:rPr>
        <w:t>ry</w:t>
      </w:r>
      <w:r w:rsidRPr="00242627">
        <w:rPr>
          <w:rFonts w:ascii="Times New Roman" w:hAnsi="Times New Roman"/>
          <w:b/>
          <w:sz w:val="24"/>
        </w:rPr>
        <w:t xml:space="preserve"> Figure 1. Flow cytometry gating strategy for Treg cell subpopulations. </w:t>
      </w:r>
      <w:r w:rsidR="00666C81" w:rsidRPr="00B5749A">
        <w:rPr>
          <w:rFonts w:ascii="Times New Roman" w:hAnsi="Times New Roman"/>
          <w:sz w:val="24"/>
        </w:rPr>
        <w:t>Doublet and non-viable cells were first excluded and PBMCs were gated on CD4 and CD3 (not shown). CD4 T cells were then gated according to Foxp3 and CD25 expression and further characterized by CLA, CCR4, CD27 and CD45RA expression. Gates were determined by fluorescence-minus-one controls (FMO). TEM, terminal effector memory; N, naïve; CM, central memory; E, effector.</w:t>
      </w:r>
    </w:p>
    <w:p w14:paraId="0C903794" w14:textId="77777777" w:rsidR="00666C81" w:rsidRPr="00242627" w:rsidRDefault="00666C81" w:rsidP="00E46A8B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0338809C" w14:textId="77777777" w:rsidR="00F653D1" w:rsidRDefault="00E46A8B" w:rsidP="00E46A8B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 w:rsidRPr="00242627">
        <w:rPr>
          <w:rFonts w:ascii="Times New Roman" w:hAnsi="Times New Roman"/>
          <w:noProof/>
          <w:sz w:val="24"/>
        </w:rPr>
        <w:drawing>
          <wp:inline distT="0" distB="0" distL="0" distR="0" wp14:anchorId="352D28EE" wp14:editId="03F73892">
            <wp:extent cx="6825075" cy="1722474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age2image64306416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90"/>
                    <a:stretch/>
                  </pic:blipFill>
                  <pic:spPr bwMode="auto">
                    <a:xfrm>
                      <a:off x="0" y="0"/>
                      <a:ext cx="6840175" cy="17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C5D1" w14:textId="77777777" w:rsidR="00E46A8B" w:rsidRDefault="00E46A8B" w:rsidP="00E46A8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tbl>
      <w:tblPr>
        <w:tblStyle w:val="TableGrid"/>
        <w:tblW w:w="13718" w:type="dxa"/>
        <w:tblLook w:val="04A0" w:firstRow="1" w:lastRow="0" w:firstColumn="1" w:lastColumn="0" w:noHBand="0" w:noVBand="1"/>
      </w:tblPr>
      <w:tblGrid>
        <w:gridCol w:w="13718"/>
      </w:tblGrid>
      <w:tr w:rsidR="00E46A8B" w:rsidRPr="00C4283C" w14:paraId="0A1D2AF2" w14:textId="77777777" w:rsidTr="00535A33">
        <w:trPr>
          <w:trHeight w:val="261"/>
        </w:trPr>
        <w:tc>
          <w:tcPr>
            <w:tcW w:w="13718" w:type="dxa"/>
            <w:tcBorders>
              <w:top w:val="nil"/>
              <w:left w:val="nil"/>
              <w:bottom w:val="nil"/>
              <w:right w:val="nil"/>
            </w:tcBorders>
          </w:tcPr>
          <w:p w14:paraId="633B22E0" w14:textId="77777777" w:rsidR="00666C81" w:rsidRPr="00242627" w:rsidRDefault="00E46A8B" w:rsidP="00666C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Supplementa</w:t>
            </w:r>
            <w:r w:rsidR="00933507">
              <w:rPr>
                <w:rFonts w:ascii="Times New Roman" w:hAnsi="Times New Roman"/>
                <w:b/>
                <w:sz w:val="24"/>
              </w:rPr>
              <w:t>ry</w:t>
            </w:r>
            <w:r>
              <w:rPr>
                <w:rFonts w:ascii="Times New Roman" w:hAnsi="Times New Roman"/>
                <w:b/>
                <w:sz w:val="24"/>
              </w:rPr>
              <w:t xml:space="preserve"> Figure 2. </w:t>
            </w:r>
            <w:r w:rsidRPr="00242627">
              <w:rPr>
                <w:rFonts w:ascii="Times New Roman" w:hAnsi="Times New Roman"/>
                <w:b/>
                <w:sz w:val="24"/>
              </w:rPr>
              <w:t>Cumulative incidence for cutaneous squamous cell carcinoma (cuSCC) by baseline levels of circulating Treg cells</w:t>
            </w:r>
            <w:r>
              <w:rPr>
                <w:rFonts w:ascii="Times New Roman" w:hAnsi="Times New Roman"/>
                <w:b/>
                <w:sz w:val="24"/>
              </w:rPr>
              <w:t xml:space="preserve"> in three groups</w:t>
            </w:r>
            <w:r w:rsidRPr="00242627">
              <w:rPr>
                <w:rFonts w:ascii="Times New Roman" w:hAnsi="Times New Roman"/>
                <w:b/>
                <w:sz w:val="24"/>
              </w:rPr>
              <w:t>.</w:t>
            </w:r>
            <w:r w:rsidR="00666C81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 xml:space="preserve">The cumulative incidence for cuSCC </w:t>
            </w:r>
            <w:r w:rsidR="00666C81">
              <w:rPr>
                <w:rFonts w:ascii="Times New Roman" w:hAnsi="Times New Roman" w:cs="Times New Roman"/>
                <w:color w:val="000000"/>
                <w:sz w:val="24"/>
              </w:rPr>
              <w:t>stratified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 xml:space="preserve"> by leve</w:t>
            </w:r>
            <w:r w:rsidR="00666C81">
              <w:rPr>
                <w:rFonts w:ascii="Times New Roman" w:hAnsi="Times New Roman" w:cs="Times New Roman"/>
                <w:color w:val="000000"/>
                <w:sz w:val="24"/>
              </w:rPr>
              <w:t xml:space="preserve">ls of baseline circulating Treg, separately 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>for CCR4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 xml:space="preserve">hi 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>Treg</w:t>
            </w:r>
            <w:r w:rsidR="00666C81">
              <w:rPr>
                <w:rFonts w:ascii="Times New Roman" w:hAnsi="Times New Roman" w:cs="Times New Roman"/>
                <w:color w:val="000000"/>
                <w:sz w:val="24"/>
              </w:rPr>
              <w:t xml:space="preserve"> (A)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>, CLA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+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 xml:space="preserve"> Treg</w:t>
            </w:r>
            <w:r w:rsidR="00666C81">
              <w:rPr>
                <w:rFonts w:ascii="Times New Roman" w:hAnsi="Times New Roman" w:cs="Times New Roman"/>
                <w:color w:val="000000"/>
                <w:sz w:val="24"/>
              </w:rPr>
              <w:t xml:space="preserve"> (B)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>, and CD45RA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-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>/CD27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-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 xml:space="preserve"> Treg cells</w:t>
            </w:r>
            <w:r w:rsidR="00666C81">
              <w:rPr>
                <w:rFonts w:ascii="Times New Roman" w:hAnsi="Times New Roman" w:cs="Times New Roman"/>
                <w:color w:val="000000"/>
                <w:sz w:val="24"/>
              </w:rPr>
              <w:t xml:space="preserve"> (C), as determined by the reduced monotonic regression prior to regrouping</w:t>
            </w:r>
            <w:r w:rsidR="00666C81" w:rsidRPr="00242627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6EB5D432" w14:textId="77777777" w:rsidR="00666C81" w:rsidRPr="00242627" w:rsidRDefault="00666C81" w:rsidP="00666C8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EBFAB58" w14:textId="73B78A22" w:rsidR="00E46A8B" w:rsidRPr="00242627" w:rsidRDefault="00E46A8B" w:rsidP="00535A33">
            <w:pPr>
              <w:rPr>
                <w:rFonts w:ascii="Times New Roman" w:hAnsi="Times New Roman"/>
                <w:b/>
                <w:sz w:val="24"/>
              </w:rPr>
            </w:pPr>
          </w:p>
        </w:tc>
      </w:tr>
    </w:tbl>
    <w:p w14:paraId="1C054B30" w14:textId="77777777" w:rsidR="00E46A8B" w:rsidRDefault="00E46A8B" w:rsidP="00E46A8B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242627">
        <w:rPr>
          <w:rFonts w:ascii="Times New Roman" w:hAnsi="Times New Roman"/>
          <w:noProof/>
          <w:sz w:val="24"/>
        </w:rPr>
        <w:drawing>
          <wp:inline distT="0" distB="0" distL="0" distR="0" wp14:anchorId="1A7B639E" wp14:editId="1B18572F">
            <wp:extent cx="8103692" cy="3601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692" cy="36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344A" w14:textId="77777777" w:rsidR="00E46A8B" w:rsidRPr="00242627" w:rsidRDefault="00E46A8B" w:rsidP="00E46A8B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7F67336F" w14:textId="7C9FD6D7" w:rsidR="00A70C87" w:rsidRDefault="005E44CD">
      <w:r>
        <w:br w:type="page"/>
      </w:r>
    </w:p>
    <w:tbl>
      <w:tblPr>
        <w:tblStyle w:val="TableGrid"/>
        <w:tblpPr w:leftFromText="180" w:rightFromText="180" w:vertAnchor="page" w:horzAnchor="margin" w:tblpY="1313"/>
        <w:tblW w:w="13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40"/>
      </w:tblGrid>
      <w:tr w:rsidR="00A70C87" w:rsidRPr="00882DF9" w14:paraId="05AFFC73" w14:textId="77777777" w:rsidTr="009A6526">
        <w:trPr>
          <w:trHeight w:val="258"/>
        </w:trPr>
        <w:tc>
          <w:tcPr>
            <w:tcW w:w="13140" w:type="dxa"/>
          </w:tcPr>
          <w:p w14:paraId="362D7C9E" w14:textId="023F1634" w:rsidR="00A70C87" w:rsidRDefault="00A70C87" w:rsidP="009A6526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Supplementary </w:t>
            </w:r>
            <w:r w:rsidRPr="00882DF9">
              <w:rPr>
                <w:rFonts w:ascii="Times New Roman" w:hAnsi="Times New Roman" w:cs="Times New Roman"/>
                <w:b/>
                <w:sz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882DF9">
              <w:rPr>
                <w:rFonts w:ascii="Times New Roman" w:hAnsi="Times New Roman" w:cs="Times New Roman"/>
                <w:b/>
                <w:sz w:val="24"/>
              </w:rPr>
              <w:t>. Association between spectrophotometer-measured UV exposure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(UVR)</w:t>
            </w:r>
            <w:r w:rsidRPr="00882DF9">
              <w:rPr>
                <w:rFonts w:ascii="Times New Roman" w:hAnsi="Times New Roman" w:cs="Times New Roman"/>
                <w:b/>
                <w:sz w:val="24"/>
              </w:rPr>
              <w:t xml:space="preserve"> and incident cutaneous squamous cell carcinoma (cuSCC).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882DF9">
              <w:rPr>
                <w:rFonts w:ascii="Times New Roman" w:hAnsi="Times New Roman" w:cs="Times New Roman"/>
                <w:sz w:val="24"/>
              </w:rPr>
              <w:t xml:space="preserve">The cumulative incidence of cuSCC was plotted by levels of </w:t>
            </w:r>
            <w:r>
              <w:rPr>
                <w:rFonts w:ascii="Times New Roman" w:hAnsi="Times New Roman" w:cs="Times New Roman"/>
                <w:sz w:val="24"/>
              </w:rPr>
              <w:t>UVR</w:t>
            </w:r>
            <w:r w:rsidRPr="00882DF9">
              <w:rPr>
                <w:rFonts w:ascii="Times New Roman" w:hAnsi="Times New Roman" w:cs="Times New Roman"/>
                <w:sz w:val="24"/>
              </w:rPr>
              <w:t>.</w:t>
            </w:r>
            <w:r w:rsidRPr="00882DF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>(</w:t>
            </w:r>
            <w:r w:rsidRPr="00882DF9">
              <w:rPr>
                <w:rFonts w:ascii="Times New Roman" w:hAnsi="Times New Roman" w:cs="Times New Roman"/>
                <w:b/>
                <w:color w:val="000000"/>
                <w:sz w:val="24"/>
              </w:rPr>
              <w:t>A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UVR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 xml:space="preserve"> was categorized into tertiles and similar cuSCC incidence rates were observed between the 2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nd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 xml:space="preserve"> and 3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rd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 xml:space="preserve"> tertiles of UVR. (</w:t>
            </w:r>
            <w:r w:rsidRPr="00882DF9">
              <w:rPr>
                <w:rFonts w:ascii="Times New Roman" w:hAnsi="Times New Roman" w:cs="Times New Roman"/>
                <w:b/>
                <w:color w:val="000000"/>
                <w:sz w:val="24"/>
              </w:rPr>
              <w:t>B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>) The 2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 xml:space="preserve">nd 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>and 3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rd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 xml:space="preserve"> tertile of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UVR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 xml:space="preserve"> were combined and compared to the lowest tertile of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UVR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 xml:space="preserve"> and higher cuSCC incidence rates were observed in the higher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UVR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 xml:space="preserve"> group as compared to the lower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UVR</w:t>
            </w:r>
            <w:r w:rsidRPr="00882DF9">
              <w:rPr>
                <w:rFonts w:ascii="Times New Roman" w:hAnsi="Times New Roman" w:cs="Times New Roman"/>
                <w:color w:val="000000"/>
                <w:sz w:val="24"/>
              </w:rPr>
              <w:t xml:space="preserve"> group although this result did not reach statistical significance.</w:t>
            </w:r>
            <w:r w:rsidR="005B3CE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0A129377" w14:textId="77777777" w:rsidR="00A70C87" w:rsidRPr="00882DF9" w:rsidRDefault="00A70C87" w:rsidP="009A6526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5E988C8B" w14:textId="589D1100" w:rsidR="00A8052B" w:rsidRDefault="005B3CE6" w:rsidP="005B3CE6">
      <w:pPr>
        <w:spacing w:after="160" w:line="259" w:lineRule="auto"/>
        <w:jc w:val="center"/>
      </w:pPr>
      <w:r w:rsidRPr="00882DF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DE14E97" wp14:editId="76DBF281">
            <wp:extent cx="7351775" cy="352885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Rollison Hampras\Yayi Zhao\Analyses\RO1 Project\B. Time to event analyses\Survival\Tregs in year 1\Main results\Stratified by UVR\UVR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75" cy="35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6882" w14:textId="77777777" w:rsidR="00FE3BBD" w:rsidRDefault="00FE3BBD" w:rsidP="005B3CE6">
      <w:pPr>
        <w:spacing w:after="160" w:line="259" w:lineRule="auto"/>
        <w:jc w:val="center"/>
        <w:sectPr w:rsidR="00FE3BBD" w:rsidSect="00E46A8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FE957AA" w14:textId="7753AE48" w:rsidR="00FE3BBD" w:rsidRDefault="00FE3BBD" w:rsidP="00FE3BBD">
      <w:pPr>
        <w:rPr>
          <w:rFonts w:ascii="Times New Roman" w:hAnsi="Times New Roman" w:cs="Times New Roman"/>
          <w:sz w:val="24"/>
          <w:szCs w:val="24"/>
        </w:rPr>
      </w:pPr>
      <w:bookmarkStart w:id="1" w:name="_Hlk83643700"/>
      <w:r w:rsidRPr="00FE3B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</w:t>
      </w:r>
      <w:r w:rsidR="00DE1CF4">
        <w:rPr>
          <w:rFonts w:ascii="Times New Roman" w:hAnsi="Times New Roman" w:cs="Times New Roman"/>
          <w:b/>
          <w:sz w:val="24"/>
          <w:szCs w:val="24"/>
        </w:rPr>
        <w:t>4</w:t>
      </w:r>
      <w:r w:rsidRPr="00FE3BBD">
        <w:rPr>
          <w:rFonts w:ascii="Times New Roman" w:hAnsi="Times New Roman" w:cs="Times New Roman"/>
          <w:b/>
          <w:sz w:val="24"/>
          <w:szCs w:val="24"/>
        </w:rPr>
        <w:t xml:space="preserve">. Illustrative examples of solar elastosis grading and corresponding immunohistochemistry (IHC) staining of Foxp3 (brown) and CCR4 (red) staining in incident cutaneous squamous cell carcinoma (cuSCC) tumors, magnification </w:t>
      </w:r>
      <w:r w:rsidR="00CB25EE">
        <w:rPr>
          <w:rFonts w:ascii="Times New Roman" w:hAnsi="Times New Roman" w:cs="Times New Roman"/>
          <w:b/>
          <w:sz w:val="24"/>
          <w:szCs w:val="24"/>
        </w:rPr>
        <w:t>1</w:t>
      </w:r>
      <w:r w:rsidRPr="00FE3BBD">
        <w:rPr>
          <w:rFonts w:ascii="Times New Roman" w:hAnsi="Times New Roman" w:cs="Times New Roman"/>
          <w:b/>
          <w:sz w:val="24"/>
          <w:szCs w:val="24"/>
        </w:rPr>
        <w:t>0x.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E3BBD">
        <w:rPr>
          <w:rFonts w:ascii="Times New Roman" w:hAnsi="Times New Roman" w:cs="Times New Roman"/>
          <w:sz w:val="24"/>
          <w:szCs w:val="24"/>
        </w:rPr>
        <w:t xml:space="preserve">Panels A-C depict perilesional skin of cuSCC tumors with solar elastosis grading of 1, 2, and 3, respectively. Panels D-F depict the corresponding IHC staining for CCR4 and FOXP3, demonstrating increasing levels of CCR4 and FOXP3 in skin with higher levels of solar elastosis. </w:t>
      </w:r>
      <w:r w:rsidR="00C97581">
        <w:rPr>
          <w:rFonts w:ascii="Times New Roman" w:hAnsi="Times New Roman" w:cs="Times New Roman"/>
          <w:sz w:val="24"/>
          <w:szCs w:val="24"/>
        </w:rPr>
        <w:t xml:space="preserve">The arrows in D-F point to the areas of greatest inflammation within each tumor. </w:t>
      </w:r>
      <w:r w:rsidRPr="00FE3BBD">
        <w:rPr>
          <w:rFonts w:ascii="Times New Roman" w:hAnsi="Times New Roman" w:cs="Times New Roman"/>
          <w:sz w:val="24"/>
          <w:szCs w:val="24"/>
        </w:rPr>
        <w:t>Greater degrees of solar elastosis may increase distance from infiltrate to epidermis.</w:t>
      </w:r>
    </w:p>
    <w:bookmarkEnd w:id="1"/>
    <w:p w14:paraId="1CA21F7E" w14:textId="6758442A" w:rsidR="00FE3BBD" w:rsidRDefault="00F24340" w:rsidP="005B3CE6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403BFCB0" wp14:editId="2702E975">
            <wp:extent cx="7365242" cy="4419145"/>
            <wp:effectExtent l="0" t="0" r="7620" b="63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630" cy="441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BBD" w:rsidSect="00E46A8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C8AC9F" w14:textId="77777777" w:rsidR="00601BCA" w:rsidRDefault="00601BCA" w:rsidP="005E44CD">
      <w:pPr>
        <w:spacing w:after="0" w:line="240" w:lineRule="auto"/>
      </w:pPr>
      <w:r>
        <w:separator/>
      </w:r>
    </w:p>
  </w:endnote>
  <w:endnote w:type="continuationSeparator" w:id="0">
    <w:p w14:paraId="7A8B45D8" w14:textId="77777777" w:rsidR="00601BCA" w:rsidRDefault="00601BCA" w:rsidP="005E4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76161" w14:textId="77777777" w:rsidR="00601BCA" w:rsidRDefault="00601BCA" w:rsidP="005E44CD">
      <w:pPr>
        <w:spacing w:after="0" w:line="240" w:lineRule="auto"/>
      </w:pPr>
      <w:r>
        <w:separator/>
      </w:r>
    </w:p>
  </w:footnote>
  <w:footnote w:type="continuationSeparator" w:id="0">
    <w:p w14:paraId="4D38A655" w14:textId="77777777" w:rsidR="00601BCA" w:rsidRDefault="00601BCA" w:rsidP="005E44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52B"/>
    <w:rsid w:val="00035883"/>
    <w:rsid w:val="000A7B94"/>
    <w:rsid w:val="000C5303"/>
    <w:rsid w:val="00125DC0"/>
    <w:rsid w:val="001F06A8"/>
    <w:rsid w:val="002E3A30"/>
    <w:rsid w:val="00350F71"/>
    <w:rsid w:val="003C7B24"/>
    <w:rsid w:val="004C0E53"/>
    <w:rsid w:val="00527AA0"/>
    <w:rsid w:val="005A53CD"/>
    <w:rsid w:val="005B3CE6"/>
    <w:rsid w:val="005E44CD"/>
    <w:rsid w:val="00601BCA"/>
    <w:rsid w:val="00625411"/>
    <w:rsid w:val="00666C81"/>
    <w:rsid w:val="00686267"/>
    <w:rsid w:val="007475DB"/>
    <w:rsid w:val="00871B55"/>
    <w:rsid w:val="00933507"/>
    <w:rsid w:val="00A15075"/>
    <w:rsid w:val="00A23093"/>
    <w:rsid w:val="00A70C87"/>
    <w:rsid w:val="00A8052B"/>
    <w:rsid w:val="00B3533C"/>
    <w:rsid w:val="00B37B72"/>
    <w:rsid w:val="00B91044"/>
    <w:rsid w:val="00C1715E"/>
    <w:rsid w:val="00C97581"/>
    <w:rsid w:val="00CB25EE"/>
    <w:rsid w:val="00CF72C0"/>
    <w:rsid w:val="00D47517"/>
    <w:rsid w:val="00D85D07"/>
    <w:rsid w:val="00DE1CF4"/>
    <w:rsid w:val="00E211A1"/>
    <w:rsid w:val="00E31498"/>
    <w:rsid w:val="00E46A8B"/>
    <w:rsid w:val="00F17A01"/>
    <w:rsid w:val="00F22FA5"/>
    <w:rsid w:val="00F24340"/>
    <w:rsid w:val="00F653D1"/>
    <w:rsid w:val="00F658CC"/>
    <w:rsid w:val="00FE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48DE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A8B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A8B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6A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A8B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0E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0E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0E53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E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E5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E4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4C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E4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4CD"/>
    <w:rPr>
      <w:rFonts w:ascii="Calibri" w:eastAsia="Calibri" w:hAnsi="Calibri" w:cs="Calibri"/>
    </w:rPr>
  </w:style>
  <w:style w:type="paragraph" w:customStyle="1" w:styleId="SupplementaryMaterial">
    <w:name w:val="Supplementary Material"/>
    <w:basedOn w:val="Title"/>
    <w:next w:val="Title"/>
    <w:qFormat/>
    <w:rsid w:val="00666C81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66C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C8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A8B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A8B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6A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A8B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0E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0E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0E53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E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E5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E4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4C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E4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4CD"/>
    <w:rPr>
      <w:rFonts w:ascii="Calibri" w:eastAsia="Calibri" w:hAnsi="Calibri" w:cs="Calibri"/>
    </w:rPr>
  </w:style>
  <w:style w:type="paragraph" w:customStyle="1" w:styleId="SupplementaryMaterial">
    <w:name w:val="Supplementary Material"/>
    <w:basedOn w:val="Title"/>
    <w:next w:val="Title"/>
    <w:qFormat/>
    <w:rsid w:val="00666C81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66C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C8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EB9EC-5A21-4D24-BF56-9D2D10BDA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Moffitt Cancer Center</Company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Amorrortu, Rossybelle P</dc:creator>
  <cp:lastModifiedBy>Adithyaxml</cp:lastModifiedBy>
  <cp:revision>2</cp:revision>
  <dcterms:created xsi:type="dcterms:W3CDTF">2021-10-27T16:52:00Z</dcterms:created>
  <dcterms:modified xsi:type="dcterms:W3CDTF">2021-10-27T16:52:00Z</dcterms:modified>
</cp:coreProperties>
</file>