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30"/>
          <w:szCs w:val="30"/>
        </w:rPr>
        <w:t>Supplementary</w:t>
      </w:r>
      <w:r>
        <w:rPr>
          <w:rFonts w:hint="eastAsia"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M</w:t>
      </w:r>
      <w:r>
        <w:rPr>
          <w:rFonts w:hint="eastAsia" w:ascii="Times New Roman" w:hAnsi="Times New Roman" w:cs="Times New Roman"/>
          <w:b/>
          <w:sz w:val="30"/>
          <w:szCs w:val="30"/>
        </w:rPr>
        <w:t>aterial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CT image acquisition</w:t>
      </w:r>
    </w:p>
    <w:p>
      <w:pPr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 xml:space="preserve">Contrast-enhanced CT (CECT) images were acquired at three hospitals, using the following multi-detector row CT (MDCT). </w:t>
      </w:r>
      <w:r>
        <w:rPr>
          <w:rFonts w:hint="eastAsia" w:ascii="Times New Roman" w:hAnsi="Times New Roman" w:eastAsia="宋体" w:cs="Times New Roman"/>
          <w:sz w:val="24"/>
        </w:rPr>
        <w:t>T</w:t>
      </w:r>
      <w:r>
        <w:rPr>
          <w:rFonts w:ascii="Times New Roman" w:hAnsi="Times New Roman" w:eastAsia="Times New Roman" w:cs="Times New Roman"/>
          <w:sz w:val="24"/>
        </w:rPr>
        <w:t>he Second Affiliated Hospital</w:t>
      </w:r>
      <w:r>
        <w:rPr>
          <w:rFonts w:hint="eastAsia" w:ascii="Times New Roman" w:hAnsi="Times New Roman" w:eastAsia="宋体" w:cs="Times New Roman"/>
          <w:sz w:val="24"/>
        </w:rPr>
        <w:t xml:space="preserve"> used </w:t>
      </w:r>
      <w:r>
        <w:rPr>
          <w:rFonts w:hint="eastAsia" w:ascii="Times New Roman" w:hAnsi="Times New Roman" w:cs="Times New Roman"/>
          <w:sz w:val="24"/>
        </w:rPr>
        <w:t xml:space="preserve">SOMATOM (Siemens Medical Systems, Erlangen, Germany) scanner, Nanfang and </w:t>
      </w:r>
      <w:r>
        <w:rPr>
          <w:rFonts w:ascii="Times New Roman" w:hAnsi="Times New Roman" w:eastAsia="Times New Roman" w:cs="Times New Roman"/>
          <w:sz w:val="24"/>
        </w:rPr>
        <w:t>Sun Yat-Sen University Cancer Center</w:t>
      </w:r>
      <w:r>
        <w:rPr>
          <w:rFonts w:hint="eastAsia" w:ascii="Times New Roman" w:hAnsi="Times New Roman" w:eastAsia="宋体" w:cs="Times New Roman"/>
          <w:sz w:val="24"/>
        </w:rPr>
        <w:t xml:space="preserve"> used </w:t>
      </w:r>
      <w:r>
        <w:rPr>
          <w:rFonts w:hint="eastAsia" w:ascii="Times New Roman" w:hAnsi="Times New Roman" w:cs="Times New Roman"/>
          <w:sz w:val="24"/>
        </w:rPr>
        <w:t xml:space="preserve">Brilliance iCT 256 (Philips Healthcare, Cleveland, OH) scanner. Scanning parameters used in this study as following respectively: tube voltage, 120 kVp; detector collimation, 64×0.6 and 128×0.625 mm; field of view, 250-400 mm; pixel size, 512×512; rotation time, 0.5 s; slice interval, 0 mm; slice thickness, 5 mm; reconstructed section thicknesses, 1 mm. </w:t>
      </w:r>
    </w:p>
    <w:p>
      <w:pPr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CECT images were acquired after injection of 1.0 mL/kg contrast material (Ultravist 370, Bayer Schering Pharma, Berlin, Germany) into the antecubital vein at a rate of 2.0–3.0 mL/s using a power injector (Ulrich CT Plus 150, Ulrich Medical, Ulm, Germany); this was followed by a saline flush (20mL). Triphasic (hepatic arterial, portal venous, and delayed phase) CT images were acquired at 30, 60, and120 s after contrast material injection, respectively. The slice thickness of reconstructed arterial and portal venous phase images was 5 mm.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pPr w:leftFromText="180" w:rightFromText="180" w:vertAnchor="text" w:horzAnchor="margin" w:tblpXSpec="center" w:tblpY="50"/>
        <w:tblOverlap w:val="never"/>
        <w:tblW w:w="964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2821"/>
        <w:gridCol w:w="2822"/>
        <w:gridCol w:w="139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640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16"/>
              </w:rPr>
              <w:t>Table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16"/>
                <w:lang w:val="en-US" w:eastAsia="zh-CN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16"/>
              </w:rPr>
              <w:t xml:space="preserve">1. Patient characteristics by study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16"/>
              </w:rPr>
              <w:t>cohort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16"/>
              </w:rPr>
              <w:t>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6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Variable</w:t>
            </w:r>
          </w:p>
        </w:tc>
        <w:tc>
          <w:tcPr>
            <w:tcW w:w="28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</w:rPr>
              <w:t xml:space="preserve">Training cohort 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(n=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</w:rPr>
              <w:t>139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)</w:t>
            </w:r>
          </w:p>
        </w:tc>
        <w:tc>
          <w:tcPr>
            <w:tcW w:w="28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Validation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</w:rPr>
              <w:t xml:space="preserve"> cohort 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(n=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</w:rPr>
              <w:t>171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)</w:t>
            </w:r>
          </w:p>
        </w:tc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</w:rPr>
              <w:t>P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60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Sex</w:t>
            </w:r>
          </w:p>
        </w:tc>
        <w:tc>
          <w:tcPr>
            <w:tcW w:w="2821" w:type="dxa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2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</w:rPr>
              <w:t>0.619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bookmarkStart w:id="0" w:name="OLE_LINK44" w:colFirst="1" w:colLast="2"/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Female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18 (12.95%)</w:t>
            </w: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19 (11.11%)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Male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121 (87.05%)</w:t>
            </w: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152 (88.89%)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Age (years)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0.613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bookmarkStart w:id="1" w:name="OLE_LINK1" w:colFirst="1" w:colLast="2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≤</w:t>
            </w:r>
            <w:r>
              <w:rPr>
                <w:rFonts w:hint="eastAsia" w:ascii="Times New Roman" w:hAnsi="Times New Roman" w:cs="Times New Roman"/>
                <w:sz w:val="24"/>
                <w:shd w:val="clear" w:color="auto" w:fill="FFFFFF"/>
              </w:rPr>
              <w:t>60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98 (70.50%)</w:t>
            </w: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116 (67.83%)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&gt;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60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41 (29.50%)</w:t>
            </w: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55 (32.17%)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Child–Pugh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classification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0.943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bookmarkStart w:id="2" w:name="OLE_LINK2" w:colFirst="1" w:colLast="2"/>
            <w:r>
              <w:rPr>
                <w:rFonts w:hint="eastAsia" w:ascii="Times New Roman" w:hAnsi="Times New Roman" w:cs="Times New Roman"/>
                <w:kern w:val="0"/>
                <w:sz w:val="24"/>
              </w:rPr>
              <w:t>A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115 (82.73%)</w:t>
            </w: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142 (83.04%)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B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24 (17.27%)</w:t>
            </w: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29 (16.96%)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AFP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(ng/mL)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0.622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bookmarkStart w:id="3" w:name="OLE_LINK3" w:colFirst="1" w:colLast="2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≤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73 (52.52%)</w:t>
            </w: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85 (49.71%)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&gt;20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66 (47.48%)</w:t>
            </w: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86 (50.29%)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bookmarkEnd w:id="3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Tumor size (cm)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0.119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bookmarkStart w:id="4" w:name="OLE_LINK4" w:colFirst="1" w:colLast="2"/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≤5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23 (16.55%)</w:t>
            </w: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18 (10.53%)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&gt;5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116 (83.45%)</w:t>
            </w: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153 (89.47%)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bookmarkEnd w:id="4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Tumor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numbers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0.092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bookmarkStart w:id="5" w:name="OLE_LINK5" w:colFirst="1" w:colLast="2"/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≤</w:t>
            </w:r>
            <w:r>
              <w:rPr>
                <w:rFonts w:hint="eastAsia" w:ascii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122 (87.77%)</w:t>
            </w: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138 (80.70%)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&gt;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17 (12.23%)</w:t>
            </w: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33 (19.30%)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bookmarkEnd w:id="5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Treatment response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0.843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bookmarkStart w:id="6" w:name="OLE_LINK6" w:colFirst="1" w:colLast="2"/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CR/PR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83 (59.71%)</w:t>
            </w: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104 (60.82%)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601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SD/PD</w:t>
            </w:r>
          </w:p>
        </w:tc>
        <w:tc>
          <w:tcPr>
            <w:tcW w:w="2821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56 (40.29%)</w:t>
            </w:r>
          </w:p>
        </w:tc>
        <w:tc>
          <w:tcPr>
            <w:tcW w:w="28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67 (39.18%)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bookmarkEnd w:id="6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964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Note: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value is derived from the difference between the </w:t>
            </w:r>
            <w:r>
              <w:rPr>
                <w:rFonts w:hint="eastAsia" w:ascii="Times New Roman" w:hAnsi="Times New Roman" w:cs="Times New Roman"/>
                <w:sz w:val="24"/>
              </w:rPr>
              <w:t>training</w:t>
            </w:r>
            <w:r>
              <w:rPr>
                <w:rFonts w:ascii="Times New Roman" w:hAnsi="Times New Roman" w:cs="Times New Roman"/>
                <w:sz w:val="24"/>
              </w:rPr>
              <w:t xml:space="preserve"> and the validation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cohorts.  </w:t>
            </w:r>
            <w:r>
              <w:rPr>
                <w:rFonts w:ascii="Times New Roman" w:hAnsi="Times New Roman" w:cs="Times New Roman"/>
                <w:sz w:val="24"/>
              </w:rPr>
              <w:t xml:space="preserve">Abbreviations: </w:t>
            </w:r>
            <w:r>
              <w:rPr>
                <w:rFonts w:ascii="Times New Roman" w:hAnsi="Times New Roman" w:eastAsia="宋体" w:cs="Times New Roman"/>
                <w:sz w:val="24"/>
              </w:rPr>
              <w:t>AFP</w:t>
            </w:r>
            <w:r>
              <w:rPr>
                <w:rFonts w:ascii="Times New Roman" w:hAnsi="Times New Roman" w:eastAsia="AdvOTdaafad64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</w:rPr>
              <w:t>alpha-fetoprotein</w:t>
            </w:r>
            <w:r>
              <w:rPr>
                <w:rFonts w:ascii="Times New Roman" w:hAnsi="Times New Roman" w:eastAsia="AdvOTdaafad64" w:cs="Times New Roman"/>
                <w:sz w:val="24"/>
              </w:rPr>
              <w:t>;</w:t>
            </w:r>
            <w:r>
              <w:rPr>
                <w:rFonts w:hint="eastAsia" w:cs="Times New Roman" w:asciiTheme="minorEastAsia" w:hAnsiTheme="minorEastAsia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CR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, </w:t>
            </w:r>
            <w:r>
              <w:rPr>
                <w:rFonts w:hint="eastAsia" w:ascii="Times New Roman" w:hAnsi="Times New Roman" w:cs="Times New Roman"/>
                <w:sz w:val="24"/>
              </w:rPr>
              <w:t>complete response; PR, partial response; SD, stable disease; PD, progressive disease</w:t>
            </w:r>
            <w:r>
              <w:rPr>
                <w:rFonts w:ascii="Times New Roman" w:hAnsi="Times New Roman" w:eastAsia="AdvOTdaafad64" w:cs="Times New Roman"/>
                <w:sz w:val="24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84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</w:trPr>
        <w:tc>
          <w:tcPr>
            <w:tcW w:w="84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16" w:lineRule="auto"/>
              <w:jc w:val="left"/>
              <w:rPr>
                <w:rFonts w:ascii="Times New Roman" w:hAnsi="Times New Roman" w:cs="Times New Roman"/>
                <w:b/>
                <w:bCs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Table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 xml:space="preserve"> Selecting radiomics features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</w:trPr>
        <w:tc>
          <w:tcPr>
            <w:tcW w:w="8453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24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radiomics features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4"/>
                <w:sz w:val="24"/>
              </w:rPr>
              <w:t xml:space="preserve"> (n = 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</w:trPr>
        <w:tc>
          <w:tcPr>
            <w:tcW w:w="8453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wavelet.LLL_ngtdm_Busyness 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wavelet.LLL_ngtdm_Complexity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squareroot_ngtdm_Strength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wavelet.LLL_glszm_LargeAreaLowGrayLevelEmphasis 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wavelet.HLL_ngtdm_Strength             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wavelet.LLL_glszm_GrayLevelVariance 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original_ngtdm_Strength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wavelet.LLL_ngtdm_Contrast 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wavelet.HLL_gldm_GrayLevelNonUniformity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wavelet.HLL_ngtdm_Coarseness                       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original_ngtdm_Complexity 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logarithm_ngtdm_Busyness  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wavelet.LLL_glrlm_GrayLevelNonUniformity 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wavelet.HLL_ngtdm_Complexity          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10119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2400"/>
        <w:gridCol w:w="2282"/>
        <w:gridCol w:w="2293"/>
        <w:gridCol w:w="113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19" w:type="dxa"/>
            <w:gridSpan w:val="5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 w:eastAsia="GuardianSans-Medium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T</w:t>
            </w:r>
            <w:r>
              <w:rPr>
                <w:rFonts w:ascii="Times New Roman" w:hAnsi="Times New Roman" w:eastAsia="AdvOTda3b4f5f.B" w:cs="Times New Roman"/>
                <w:b/>
                <w:bCs/>
                <w:kern w:val="0"/>
                <w:sz w:val="24"/>
              </w:rPr>
              <w:t xml:space="preserve">able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AdvOTda3b4f5f.B" w:cs="Times New Roman"/>
                <w:b/>
                <w:bCs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. P</w:t>
            </w:r>
            <w:r>
              <w:rPr>
                <w:rFonts w:ascii="Times New Roman" w:hAnsi="Times New Roman" w:eastAsia="GuardianSans-Medium" w:cs="Times New Roman"/>
                <w:b/>
                <w:bCs/>
                <w:kern w:val="0"/>
                <w:sz w:val="24"/>
              </w:rPr>
              <w:t xml:space="preserve">erformance of </w:t>
            </w:r>
            <w:r>
              <w:rPr>
                <w:rFonts w:hint="eastAsia" w:ascii="Times New Roman" w:hAnsi="Times New Roman" w:eastAsia="GuardianSans-Medium" w:cs="Times New Roman"/>
                <w:b/>
                <w:bCs/>
                <w:kern w:val="0"/>
                <w:sz w:val="24"/>
              </w:rPr>
              <w:t>machine learning and d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eep learning</w:t>
            </w:r>
            <w:r>
              <w:rPr>
                <w:rFonts w:hint="eastAsia" w:ascii="Times New Roman" w:hAnsi="Times New Roman" w:eastAsia="GuardianSans-Medium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GuardianSans-Medium" w:cs="Times New Roman"/>
                <w:b/>
                <w:bCs/>
                <w:kern w:val="0"/>
                <w:sz w:val="24"/>
              </w:rPr>
              <w:t xml:space="preserve">in </w:t>
            </w:r>
            <w:r>
              <w:rPr>
                <w:rFonts w:hint="eastAsia" w:ascii="Times New Roman" w:hAnsi="Times New Roman" w:eastAsia="GuardianSans-Medium" w:cs="Times New Roman"/>
                <w:b/>
                <w:bCs/>
                <w:kern w:val="0"/>
                <w:sz w:val="24"/>
              </w:rPr>
              <w:t>treatment response</w:t>
            </w:r>
            <w:r>
              <w:rPr>
                <w:rFonts w:ascii="Times New Roman" w:hAnsi="Times New Roman" w:eastAsia="GuardianSans-Medium" w:cs="Times New Roman"/>
                <w:b/>
                <w:bCs/>
                <w:kern w:val="0"/>
                <w:sz w:val="24"/>
              </w:rPr>
              <w:t xml:space="preserve"> prediction</w:t>
            </w:r>
            <w:r>
              <w:rPr>
                <w:rFonts w:hint="eastAsia" w:ascii="Times New Roman" w:hAnsi="Times New Roman" w:eastAsia="GuardianSans-Medium" w:cs="Times New Roman"/>
                <w:b/>
                <w:bCs/>
                <w:kern w:val="0"/>
                <w:sz w:val="24"/>
              </w:rPr>
              <w:t>.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009" w:type="dxa"/>
            <w:tcBorders>
              <w:top w:val="single" w:color="auto" w:sz="8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Groups</w:t>
            </w:r>
          </w:p>
        </w:tc>
        <w:tc>
          <w:tcPr>
            <w:tcW w:w="2400" w:type="dxa"/>
            <w:tcBorders>
              <w:top w:val="single" w:color="auto" w:sz="8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</w:rPr>
              <w:t>AUC (95%CI)</w:t>
            </w:r>
          </w:p>
        </w:tc>
        <w:tc>
          <w:tcPr>
            <w:tcW w:w="2282" w:type="dxa"/>
            <w:tcBorders>
              <w:top w:val="single" w:color="auto" w:sz="8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</w:rPr>
              <w:t>Sensitivity (95%CI)</w:t>
            </w:r>
          </w:p>
        </w:tc>
        <w:tc>
          <w:tcPr>
            <w:tcW w:w="2293" w:type="dxa"/>
            <w:tcBorders>
              <w:top w:val="single" w:color="auto" w:sz="8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</w:rPr>
              <w:t>Specificity (95%CI)</w:t>
            </w:r>
          </w:p>
        </w:tc>
        <w:tc>
          <w:tcPr>
            <w:tcW w:w="1135" w:type="dxa"/>
            <w:tcBorders>
              <w:top w:val="single" w:color="auto" w:sz="8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value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0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Training cohort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Linear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0.784 (0.707-0.860)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74.70 (63.96-83.61)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69.64 (55.90-81.22)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Logistic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0.801 (0.727-0.874)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72.29 (61.38-81.55)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75.00 (61.63-85.61)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SVM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0.841 (0.775-0.908)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74.70 (63.96-83.61)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83.93 (71.67-92.38)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GBM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0.839 (0.774-0.905)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71.08 (60.09-80.52)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82.14 (69.60-91.09)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RF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0.967 (0.944-0.991)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89.16 (80.41-94.92)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89.29 (78.12-95.97)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after="200" w:line="276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Deep learning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0.981 (0.964-0.998)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92.77 (84.93-97.30)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94.64 (85.13-98.88)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after="200" w:line="276" w:lineRule="auto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Validation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cohort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Linear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0.763 (0.693-0.833)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65.38 (55.42-74.45)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67.16 (54.60-78.15)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Logistic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0.781 (0.713-0.848)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67.31 (57.41-76.19)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73.13 (60.90-83.24)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SVM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0.765 (0.693-0.838)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66.35 (56.42-75.32)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71.64 (59.31-81.99)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GBM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0.810 (0.748-0.873)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73.08 (63.49-81.31)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70.15 (57.73-80.72)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RF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0.964 (0.939-0.988)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93.27 (86.62-97.25)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91.04 (81.52-96.64)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09" w:type="dxa"/>
            <w:tcBorders>
              <w:bottom w:val="nil"/>
            </w:tcBorders>
            <w:vAlign w:val="center"/>
          </w:tcPr>
          <w:p>
            <w:pPr>
              <w:widowControl/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Deep learning</w:t>
            </w:r>
          </w:p>
        </w:tc>
        <w:tc>
          <w:tcPr>
            <w:tcW w:w="2400" w:type="dxa"/>
            <w:tcBorders>
              <w:bottom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0.972 (0.951-0.993)</w:t>
            </w:r>
          </w:p>
        </w:tc>
        <w:tc>
          <w:tcPr>
            <w:tcW w:w="2282" w:type="dxa"/>
            <w:tcBorders>
              <w:bottom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94.03 (85.41-98.35)</w:t>
            </w:r>
          </w:p>
        </w:tc>
        <w:tc>
          <w:tcPr>
            <w:tcW w:w="2293" w:type="dxa"/>
            <w:tcBorders>
              <w:bottom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93.27 (86.62-97.25)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119" w:type="dxa"/>
            <w:gridSpan w:val="5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AdvOTdaafad64" w:cs="Times New Roman"/>
                <w:sz w:val="24"/>
              </w:rPr>
              <w:t xml:space="preserve">Abbreviations: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AUC, area under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the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curve; CI, confidence interval;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SVM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, support vector machine;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GBM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, gradient boosting machine;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RF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, random forest. 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  <w:r>
              <w:rPr>
                <w:rFonts w:ascii="Times New Roman" w:hAnsi="Times New Roman" w:eastAsia="AdvTT1294e083.I" w:cs="Times New Roman"/>
                <w:i/>
                <w:iCs/>
                <w:sz w:val="24"/>
              </w:rPr>
              <w:t>P</w:t>
            </w:r>
            <w:r>
              <w:rPr>
                <w:rFonts w:hint="eastAsia" w:ascii="Times New Roman" w:hAnsi="Times New Roman" w:cs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eastAsia="AdvOTdaafad64" w:cs="Times New Roman"/>
                <w:sz w:val="24"/>
              </w:rPr>
              <w:t xml:space="preserve">value </w:t>
            </w:r>
            <w:r>
              <w:rPr>
                <w:rFonts w:ascii="Times New Roman" w:hAnsi="Times New Roman" w:eastAsia="宋体" w:cs="Times New Roman"/>
                <w:sz w:val="24"/>
              </w:rPr>
              <w:t>&lt; 0</w:t>
            </w:r>
            <w:r>
              <w:rPr>
                <w:rFonts w:ascii="Times New Roman" w:hAnsi="Times New Roman" w:eastAsia="AdvOTdaafad64" w:cs="Times New Roman"/>
                <w:sz w:val="24"/>
              </w:rPr>
              <w:t>.05.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10980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7"/>
        <w:gridCol w:w="2344"/>
        <w:gridCol w:w="2344"/>
        <w:gridCol w:w="2346"/>
        <w:gridCol w:w="1189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80" w:type="dxa"/>
            <w:gridSpan w:val="5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 w:eastAsia="GuardianSans-Medium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T</w:t>
            </w:r>
            <w:r>
              <w:rPr>
                <w:rFonts w:ascii="Times New Roman" w:hAnsi="Times New Roman" w:eastAsia="AdvOTda3b4f5f.B" w:cs="Times New Roman"/>
                <w:b/>
                <w:bCs/>
                <w:kern w:val="0"/>
                <w:sz w:val="24"/>
              </w:rPr>
              <w:t xml:space="preserve">able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AdvOTda3b4f5f.B" w:cs="Times New Roman"/>
                <w:b/>
                <w:bCs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. P</w:t>
            </w:r>
            <w:r>
              <w:rPr>
                <w:rFonts w:ascii="Times New Roman" w:hAnsi="Times New Roman" w:eastAsia="GuardianSans-Medium" w:cs="Times New Roman"/>
                <w:b/>
                <w:bCs/>
                <w:kern w:val="0"/>
                <w:sz w:val="24"/>
              </w:rPr>
              <w:t xml:space="preserve">erformance of </w:t>
            </w:r>
            <w:r>
              <w:rPr>
                <w:rFonts w:hint="eastAsia" w:ascii="Times New Roman" w:hAnsi="Times New Roman" w:eastAsia="GuardianSans-Medium" w:cs="Times New Roman"/>
                <w:b/>
                <w:bCs/>
                <w:kern w:val="0"/>
                <w:sz w:val="24"/>
              </w:rPr>
              <w:t>e</w:t>
            </w:r>
            <w:r>
              <w:rPr>
                <w:rFonts w:hint="eastAsia" w:ascii="Times New Roman" w:hAnsi="Times New Roman" w:eastAsia="宋体" w:cs="Times New Roman"/>
                <w:b/>
                <w:iCs/>
                <w:kern w:val="0"/>
                <w:sz w:val="24"/>
              </w:rPr>
              <w:t>semable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 xml:space="preserve"> learning</w:t>
            </w:r>
            <w:r>
              <w:rPr>
                <w:rFonts w:hint="eastAsia" w:ascii="Times New Roman" w:hAnsi="Times New Roman" w:eastAsia="GuardianSans-Medium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GuardianSans-Medium" w:cs="Times New Roman"/>
                <w:b/>
                <w:bCs/>
                <w:kern w:val="0"/>
                <w:sz w:val="24"/>
              </w:rPr>
              <w:t xml:space="preserve">in </w:t>
            </w:r>
            <w:r>
              <w:rPr>
                <w:rFonts w:hint="eastAsia" w:ascii="Times New Roman" w:hAnsi="Times New Roman" w:eastAsia="GuardianSans-Medium" w:cs="Times New Roman"/>
                <w:b/>
                <w:bCs/>
                <w:kern w:val="0"/>
                <w:sz w:val="24"/>
              </w:rPr>
              <w:t>treatment response</w:t>
            </w:r>
            <w:r>
              <w:rPr>
                <w:rFonts w:ascii="Times New Roman" w:hAnsi="Times New Roman" w:eastAsia="GuardianSans-Medium" w:cs="Times New Roman"/>
                <w:b/>
                <w:bCs/>
                <w:kern w:val="0"/>
                <w:sz w:val="24"/>
              </w:rPr>
              <w:t xml:space="preserve"> prediction</w:t>
            </w:r>
            <w:r>
              <w:rPr>
                <w:rFonts w:hint="eastAsia" w:ascii="Times New Roman" w:hAnsi="Times New Roman" w:eastAsia="GuardianSans-Medium" w:cs="Times New Roman"/>
                <w:b/>
                <w:bCs/>
                <w:kern w:val="0"/>
                <w:sz w:val="24"/>
              </w:rPr>
              <w:t>.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757" w:type="dxa"/>
            <w:tcBorders>
              <w:top w:val="single" w:color="auto" w:sz="8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Groups</w:t>
            </w:r>
          </w:p>
        </w:tc>
        <w:tc>
          <w:tcPr>
            <w:tcW w:w="2344" w:type="dxa"/>
            <w:tcBorders>
              <w:top w:val="single" w:color="auto" w:sz="8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</w:rPr>
              <w:t>AUC (95%CI)</w:t>
            </w:r>
          </w:p>
        </w:tc>
        <w:tc>
          <w:tcPr>
            <w:tcW w:w="2344" w:type="dxa"/>
            <w:tcBorders>
              <w:top w:val="single" w:color="auto" w:sz="8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</w:rPr>
              <w:t>Sensitivity (95%CI)</w:t>
            </w:r>
          </w:p>
        </w:tc>
        <w:tc>
          <w:tcPr>
            <w:tcW w:w="2346" w:type="dxa"/>
            <w:tcBorders>
              <w:top w:val="single" w:color="auto" w:sz="8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</w:rPr>
              <w:t>Specificity (95%CI)</w:t>
            </w:r>
          </w:p>
        </w:tc>
        <w:tc>
          <w:tcPr>
            <w:tcW w:w="1189" w:type="dxa"/>
            <w:tcBorders>
              <w:top w:val="single" w:color="auto" w:sz="8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value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Training cohort 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Deep learning+tumor size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0.983 (0.968-0.998)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95.18 (88.12-98.67)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92.86 (82.71-98.02)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757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Deep learning+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Linear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0.982 (0.966-0.997)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93.98 (86.50-98.02)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91.07 (80.38-97.04)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757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Deep learning+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Logistic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0.984 (0.969-0.998)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93.98 (86.50-98.02)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91.07 (80.38-97.04)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757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Deep learning+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SVM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0.983 (0.968-0.999)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92.77 (84.93-97.30)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96.43 (87.69-99.56)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757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Deep learning+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GBM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0.986 (0.973-0.999)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90.36 (81.89-95.75)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98.21 (90.45-99.95)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757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Deep learning+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RF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0.995 (0.990-1.000)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96.39 (89.80-99.25)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100.00 (93.62-100.00)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757" w:type="dxa"/>
            <w:vAlign w:val="center"/>
          </w:tcPr>
          <w:p>
            <w:pPr>
              <w:widowControl/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Validation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cohort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46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757" w:type="dxa"/>
            <w:vAlign w:val="center"/>
          </w:tcPr>
          <w:p>
            <w:pPr>
              <w:widowControl/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Deep learning+tumor size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0.976 (0.958-0.994)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90.38 (83.03-95.29)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97.01 (89.63-99.64)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757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Deep learning+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Linear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0.986 (0.975-0.998)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93.27 (86.62-97.25)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97.01 (89.63-99.64)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757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Deep learning+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Logistic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0.987 (0.975-0.999)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94.23 (87.87-97.85)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97.01 (89.63-99.64)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757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Deep learning+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SVM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0.980 (0.965-0.996)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91.35 (84.21-95.97)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97.01 (89.63-99.64)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757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Deep learning+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GBM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0.982 (0.966-0.998)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92.31 (85.40-96.62)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97.01 (89.63-99.64)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757" w:type="dxa"/>
            <w:vAlign w:val="center"/>
          </w:tcPr>
          <w:p>
            <w:pPr>
              <w:widowControl/>
              <w:spacing w:after="200" w:line="276" w:lineRule="auto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Deep learning+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RF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0.994 (0.987-1.000)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93.27 (86.62-97.25)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100.00 (94.64-100.00)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hd w:val="clear" w:color="auto" w:fill="FFFFFF"/>
              </w:rPr>
              <w:t>&lt; 0.001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0" w:type="dxa"/>
            <w:gridSpan w:val="5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ascii="Times New Roman" w:hAnsi="Times New Roman" w:eastAsia="宋体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AdvOTdaafad64" w:cs="Times New Roman"/>
                <w:sz w:val="24"/>
              </w:rPr>
              <w:t xml:space="preserve">Abbreviations: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AUC, area under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the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curve; CI, confidence interval;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SVM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, support vector machine;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GBM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, gradient boosting machine;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RF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, random forest. </w:t>
            </w:r>
            <w:r>
              <w:rPr>
                <w:rFonts w:ascii="Times New Roman" w:hAnsi="Times New Roman" w:eastAsia="AdvOTdaafad64" w:cs="Times New Roman"/>
                <w:sz w:val="24"/>
              </w:rPr>
              <w:t>*</w:t>
            </w:r>
            <w:r>
              <w:rPr>
                <w:rFonts w:ascii="Times New Roman" w:hAnsi="Times New Roman" w:eastAsia="AdvTT1294e083.I" w:cs="Times New Roman"/>
                <w:i/>
                <w:iCs/>
                <w:sz w:val="24"/>
              </w:rPr>
              <w:t>P</w:t>
            </w:r>
            <w:r>
              <w:rPr>
                <w:rFonts w:hint="eastAsia" w:ascii="Times New Roman" w:hAnsi="Times New Roman" w:cs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eastAsia="AdvOTdaafad64" w:cs="Times New Roman"/>
                <w:sz w:val="24"/>
              </w:rPr>
              <w:t xml:space="preserve">value </w:t>
            </w:r>
            <w:r>
              <w:rPr>
                <w:rFonts w:ascii="Times New Roman" w:hAnsi="Times New Roman" w:eastAsia="宋体" w:cs="Times New Roman"/>
                <w:sz w:val="24"/>
              </w:rPr>
              <w:t>&lt; 0</w:t>
            </w:r>
            <w:r>
              <w:rPr>
                <w:rFonts w:ascii="Times New Roman" w:hAnsi="Times New Roman" w:eastAsia="AdvOTdaafad64" w:cs="Times New Roman"/>
                <w:sz w:val="24"/>
              </w:rPr>
              <w:t>.05.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5269865" cy="3249930"/>
            <wp:effectExtent l="0" t="0" r="6985" b="7620"/>
            <wp:docPr id="2" name="图片 2" descr="2021-5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-5-2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 xml:space="preserve">Figure 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S</w:t>
      </w:r>
      <w:bookmarkStart w:id="7" w:name="_GoBack"/>
      <w:bookmarkEnd w:id="7"/>
      <w:r>
        <w:rPr>
          <w:rFonts w:hint="eastAsia" w:ascii="Times New Roman" w:hAnsi="Times New Roman" w:cs="Times New Roman"/>
          <w:b/>
          <w:bCs/>
          <w:sz w:val="24"/>
        </w:rPr>
        <w:t xml:space="preserve">1. </w:t>
      </w:r>
      <w:r>
        <w:rPr>
          <w:rFonts w:hint="eastAsia" w:ascii="Times New Roman" w:hAnsi="Times New Roman" w:cs="Times New Roman"/>
          <w:sz w:val="24"/>
        </w:rPr>
        <w:t>Flowchart shows the process of recruitment pathways for patients in training and validation cohorts.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vOTdaafad64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ardianSans-Medium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vOTda3b4f5f.B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TT1294e083.I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602"/>
    <w:rsid w:val="002F7E52"/>
    <w:rsid w:val="00813602"/>
    <w:rsid w:val="04E424CC"/>
    <w:rsid w:val="089B52DC"/>
    <w:rsid w:val="0D0220F9"/>
    <w:rsid w:val="0FF446BA"/>
    <w:rsid w:val="19B66E54"/>
    <w:rsid w:val="1A2E07B0"/>
    <w:rsid w:val="1FD95874"/>
    <w:rsid w:val="28AE6DEE"/>
    <w:rsid w:val="2A5430F0"/>
    <w:rsid w:val="2B423E2A"/>
    <w:rsid w:val="2F10508B"/>
    <w:rsid w:val="39A51DA6"/>
    <w:rsid w:val="3A4F3D0F"/>
    <w:rsid w:val="3C762FC0"/>
    <w:rsid w:val="3FDD3D41"/>
    <w:rsid w:val="4136047D"/>
    <w:rsid w:val="48213E34"/>
    <w:rsid w:val="488E0B41"/>
    <w:rsid w:val="52A46BB3"/>
    <w:rsid w:val="5CE47573"/>
    <w:rsid w:val="6DBE0159"/>
    <w:rsid w:val="6FF35751"/>
    <w:rsid w:val="70832035"/>
    <w:rsid w:val="7420267D"/>
    <w:rsid w:val="7DBE2708"/>
    <w:rsid w:val="7DC2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844"/>
        <w:tab w:val="right" w:pos="9689"/>
      </w:tabs>
    </w:pPr>
  </w:style>
  <w:style w:type="paragraph" w:styleId="4">
    <w:name w:val="header"/>
    <w:basedOn w:val="1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851</Words>
  <Characters>4853</Characters>
  <Lines>40</Lines>
  <Paragraphs>11</Paragraphs>
  <TotalTime>11</TotalTime>
  <ScaleCrop>false</ScaleCrop>
  <LinksUpToDate>false</LinksUpToDate>
  <CharactersWithSpaces>5693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Administrator.WAK-20150205HHN</dc:creator>
  <cp:lastModifiedBy>sank44</cp:lastModifiedBy>
  <dcterms:modified xsi:type="dcterms:W3CDTF">2021-09-13T12:56:16Z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883CF1298B07454DBB64A08638172006</vt:lpwstr>
  </property>
</Properties>
</file>