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221540EC" w:rsidR="00654E8F" w:rsidRPr="001549D3" w:rsidRDefault="00654E8F" w:rsidP="0001436A">
      <w:pPr>
        <w:pStyle w:val="SupplementaryMaterial"/>
        <w:rPr>
          <w:b w:val="0"/>
        </w:rPr>
      </w:pPr>
      <w:r w:rsidRPr="001549D3">
        <w:t>Supplementary Material</w:t>
      </w:r>
    </w:p>
    <w:p w14:paraId="63D7C2B0" w14:textId="72F04C2B" w:rsidR="00994A3D" w:rsidRDefault="00BB4739" w:rsidP="0001436A">
      <w:pPr>
        <w:pStyle w:val="Heading2"/>
      </w:pPr>
      <w:r>
        <w:rPr>
          <w:noProof/>
        </w:rPr>
        <w:drawing>
          <wp:anchor distT="0" distB="0" distL="114300" distR="114300" simplePos="0" relativeHeight="251670528" behindDoc="0" locked="0" layoutInCell="1" allowOverlap="1" wp14:anchorId="39E63956" wp14:editId="07A70D27">
            <wp:simplePos x="0" y="0"/>
            <wp:positionH relativeFrom="page">
              <wp:align>center</wp:align>
            </wp:positionH>
            <wp:positionV relativeFrom="paragraph">
              <wp:posOffset>367845</wp:posOffset>
            </wp:positionV>
            <wp:extent cx="5670550" cy="4566285"/>
            <wp:effectExtent l="0" t="0" r="0" b="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Fig1_LoadingControl.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70550" cy="4566285"/>
                    </a:xfrm>
                    <a:prstGeom prst="rect">
                      <a:avLst/>
                    </a:prstGeom>
                  </pic:spPr>
                </pic:pic>
              </a:graphicData>
            </a:graphic>
            <wp14:sizeRelH relativeFrom="page">
              <wp14:pctWidth>0</wp14:pctWidth>
            </wp14:sizeRelH>
            <wp14:sizeRelV relativeFrom="page">
              <wp14:pctHeight>0</wp14:pctHeight>
            </wp14:sizeRelV>
          </wp:anchor>
        </w:drawing>
      </w:r>
      <w:r w:rsidR="00994A3D" w:rsidRPr="0001436A">
        <w:t>Supplementary</w:t>
      </w:r>
      <w:r w:rsidR="00994A3D" w:rsidRPr="001549D3">
        <w:t xml:space="preserve"> Figures</w:t>
      </w:r>
    </w:p>
    <w:p w14:paraId="2B62B7DC" w14:textId="3E76E9B3" w:rsidR="00A037FF" w:rsidRDefault="00A037FF">
      <w:pPr>
        <w:spacing w:before="0" w:after="200" w:line="276" w:lineRule="auto"/>
      </w:pPr>
    </w:p>
    <w:p w14:paraId="3846DB61" w14:textId="59522FD5" w:rsidR="00A037FF" w:rsidRDefault="00A037FF" w:rsidP="00A037FF">
      <w:pPr>
        <w:jc w:val="both"/>
        <w:rPr>
          <w:szCs w:val="24"/>
          <w:lang w:val="en-GB"/>
        </w:rPr>
      </w:pPr>
      <w:r w:rsidRPr="00B738AA">
        <w:rPr>
          <w:b/>
          <w:bCs/>
          <w:szCs w:val="24"/>
          <w:lang w:val="en-GB"/>
        </w:rPr>
        <w:t xml:space="preserve">Supplementary figure </w:t>
      </w:r>
      <w:r>
        <w:rPr>
          <w:b/>
          <w:bCs/>
          <w:szCs w:val="24"/>
          <w:lang w:val="en-GB"/>
        </w:rPr>
        <w:t>1</w:t>
      </w:r>
      <w:r w:rsidRPr="00B738AA">
        <w:rPr>
          <w:b/>
          <w:bCs/>
          <w:szCs w:val="24"/>
          <w:lang w:val="en-GB"/>
        </w:rPr>
        <w:t>. Inhibition of intracellular citrullination by small-molecule PAD inhibitors and loading controls.</w:t>
      </w:r>
      <w:r w:rsidRPr="00B738AA">
        <w:rPr>
          <w:szCs w:val="24"/>
          <w:lang w:val="en-GB"/>
        </w:rPr>
        <w:t xml:space="preserve"> Isolated PBMCs or PMNs from </w:t>
      </w:r>
      <w:r>
        <w:rPr>
          <w:szCs w:val="24"/>
          <w:lang w:val="en-GB"/>
        </w:rPr>
        <w:t>six</w:t>
      </w:r>
      <w:r w:rsidRPr="00B738AA">
        <w:rPr>
          <w:szCs w:val="24"/>
          <w:lang w:val="en-GB"/>
        </w:rPr>
        <w:t xml:space="preserve"> healthy blood donors were pre-incubated with 20 </w:t>
      </w:r>
      <w:r w:rsidRPr="00B738AA">
        <w:rPr>
          <w:rFonts w:ascii="Symbol" w:hAnsi="Symbol"/>
          <w:szCs w:val="24"/>
          <w:lang w:val="en-GB"/>
        </w:rPr>
        <w:t></w:t>
      </w:r>
      <w:r w:rsidRPr="00B738AA">
        <w:rPr>
          <w:szCs w:val="24"/>
          <w:lang w:val="en-GB"/>
        </w:rPr>
        <w:t xml:space="preserve">M of BB-Cl-amidine, 20 </w:t>
      </w:r>
      <w:r w:rsidRPr="00B738AA">
        <w:rPr>
          <w:rFonts w:ascii="Symbol" w:hAnsi="Symbol"/>
          <w:szCs w:val="24"/>
          <w:lang w:val="en-GB"/>
        </w:rPr>
        <w:t>m</w:t>
      </w:r>
      <w:r w:rsidRPr="00B738AA">
        <w:rPr>
          <w:szCs w:val="24"/>
          <w:lang w:val="en-GB"/>
        </w:rPr>
        <w:t xml:space="preserve">M AFM-30a, 20 </w:t>
      </w:r>
      <w:r w:rsidRPr="00B738AA">
        <w:rPr>
          <w:rFonts w:ascii="Symbol" w:hAnsi="Symbol"/>
          <w:szCs w:val="24"/>
          <w:lang w:val="en-GB"/>
        </w:rPr>
        <w:t>m</w:t>
      </w:r>
      <w:r w:rsidRPr="00B738AA">
        <w:rPr>
          <w:szCs w:val="24"/>
          <w:lang w:val="en-GB"/>
        </w:rPr>
        <w:t xml:space="preserve">M GSK199 or with a combination of the two latter for 1 h before addition of the calcium ionophore A23187. Untreated cells and ionophore-only treated cells (I) were used as negative and positive control, respectively. The cells were lysed, and the lysates were examined by Western blotting using the AMC method for visualisation of total citrullination, a mAb for detection of histone H3 citrullination or the </w:t>
      </w:r>
      <w:r w:rsidRPr="00B738AA">
        <w:rPr>
          <w:rFonts w:cstheme="minorHAnsi"/>
          <w:szCs w:val="24"/>
          <w:lang w:val="en-GB"/>
        </w:rPr>
        <w:t xml:space="preserve">Pierce™ Reversible Protein Stain Kit for PDVF Membranes as a control of total protein loading. </w:t>
      </w:r>
      <w:r w:rsidRPr="00B738AA">
        <w:rPr>
          <w:rFonts w:cstheme="minorHAnsi"/>
          <w:b/>
          <w:bCs/>
          <w:szCs w:val="24"/>
          <w:lang w:val="en-GB"/>
        </w:rPr>
        <w:t>(A)</w:t>
      </w:r>
      <w:r w:rsidRPr="00B738AA">
        <w:rPr>
          <w:rFonts w:cstheme="minorHAnsi"/>
          <w:szCs w:val="24"/>
          <w:lang w:val="en-GB"/>
        </w:rPr>
        <w:t xml:space="preserve"> </w:t>
      </w:r>
      <w:r w:rsidRPr="00B738AA">
        <w:rPr>
          <w:szCs w:val="24"/>
          <w:lang w:val="en-GB"/>
        </w:rPr>
        <w:t xml:space="preserve">Representative AMC blot for PBMC lysates (left), blot for citrullinated histone H3 in PBMC lysates (middle) and total protein staining of the membrane where the PBMC lysates were transferred (right). </w:t>
      </w:r>
      <w:r w:rsidRPr="00B738AA">
        <w:rPr>
          <w:rFonts w:cstheme="minorHAnsi"/>
          <w:b/>
          <w:bCs/>
          <w:szCs w:val="24"/>
          <w:lang w:val="en-GB"/>
        </w:rPr>
        <w:t>(B)</w:t>
      </w:r>
      <w:r w:rsidRPr="00B738AA">
        <w:rPr>
          <w:rFonts w:cstheme="minorHAnsi"/>
          <w:szCs w:val="24"/>
          <w:lang w:val="en-GB"/>
        </w:rPr>
        <w:t xml:space="preserve"> </w:t>
      </w:r>
      <w:r w:rsidRPr="00B738AA">
        <w:rPr>
          <w:szCs w:val="24"/>
          <w:lang w:val="en-GB"/>
        </w:rPr>
        <w:t>Representative AMC blot for PMN lysates (left), blot for citrullinated histone H3 in PMN lysates (middle) and total protein staining of the membrane where the PMNs lysates were transferred (right).</w:t>
      </w:r>
    </w:p>
    <w:p w14:paraId="6754D378" w14:textId="542FC864" w:rsidR="00994A3D" w:rsidRPr="001549D3" w:rsidRDefault="00B738AA" w:rsidP="00994A3D">
      <w:pPr>
        <w:keepNext/>
        <w:rPr>
          <w:rFonts w:cs="Times New Roman"/>
          <w:szCs w:val="24"/>
        </w:rPr>
      </w:pPr>
      <w:r w:rsidRPr="00E025FD">
        <w:rPr>
          <w:rFonts w:ascii="Calibri" w:hAnsi="Calibri" w:cs="Calibri"/>
          <w:noProof/>
          <w:lang w:bidi="he-IL"/>
        </w:rPr>
        <w:lastRenderedPageBreak/>
        <w:drawing>
          <wp:anchor distT="0" distB="0" distL="114300" distR="114300" simplePos="0" relativeHeight="251659264" behindDoc="0" locked="0" layoutInCell="1" allowOverlap="1" wp14:anchorId="48278390" wp14:editId="23F5EB52">
            <wp:simplePos x="0" y="0"/>
            <wp:positionH relativeFrom="page">
              <wp:align>center</wp:align>
            </wp:positionH>
            <wp:positionV relativeFrom="paragraph">
              <wp:posOffset>10160</wp:posOffset>
            </wp:positionV>
            <wp:extent cx="4318635" cy="4802505"/>
            <wp:effectExtent l="0" t="0" r="0" b="0"/>
            <wp:wrapSquare wrapText="bothSides"/>
            <wp:docPr id="8" name="Billede 8" descr="Et billede, der indeholder skærmbillede, værels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alysisExp_FlowJo_PADinhib_toxicity_assay-Layout.tiff"/>
                    <pic:cNvPicPr/>
                  </pic:nvPicPr>
                  <pic:blipFill>
                    <a:blip r:embed="rId9">
                      <a:extLst>
                        <a:ext uri="{28A0092B-C50C-407E-A947-70E740481C1C}">
                          <a14:useLocalDpi xmlns:a14="http://schemas.microsoft.com/office/drawing/2010/main" val="0"/>
                        </a:ext>
                      </a:extLst>
                    </a:blip>
                    <a:stretch>
                      <a:fillRect/>
                    </a:stretch>
                  </pic:blipFill>
                  <pic:spPr>
                    <a:xfrm>
                      <a:off x="0" y="0"/>
                      <a:ext cx="4318635" cy="4802505"/>
                    </a:xfrm>
                    <a:prstGeom prst="rect">
                      <a:avLst/>
                    </a:prstGeom>
                  </pic:spPr>
                </pic:pic>
              </a:graphicData>
            </a:graphic>
            <wp14:sizeRelH relativeFrom="page">
              <wp14:pctWidth>0</wp14:pctWidth>
            </wp14:sizeRelH>
            <wp14:sizeRelV relativeFrom="page">
              <wp14:pctHeight>0</wp14:pctHeight>
            </wp14:sizeRelV>
          </wp:anchor>
        </w:drawing>
      </w:r>
    </w:p>
    <w:p w14:paraId="6098943D" w14:textId="77777777" w:rsidR="00B738AA" w:rsidRDefault="00B738AA" w:rsidP="00994A3D">
      <w:pPr>
        <w:keepNext/>
        <w:jc w:val="center"/>
        <w:rPr>
          <w:b/>
          <w:noProof/>
          <w:lang w:val="en-GB" w:eastAsia="en-GB"/>
        </w:rPr>
      </w:pPr>
    </w:p>
    <w:p w14:paraId="1E6F6FF1" w14:textId="77777777" w:rsidR="00B738AA" w:rsidRDefault="00B738AA" w:rsidP="00994A3D">
      <w:pPr>
        <w:keepNext/>
        <w:jc w:val="center"/>
        <w:rPr>
          <w:b/>
          <w:noProof/>
          <w:lang w:val="en-GB" w:eastAsia="en-GB"/>
        </w:rPr>
      </w:pPr>
    </w:p>
    <w:p w14:paraId="3C419443" w14:textId="2C722F5F" w:rsidR="00994A3D" w:rsidRDefault="00994A3D" w:rsidP="00994A3D">
      <w:pPr>
        <w:keepNext/>
        <w:jc w:val="center"/>
        <w:rPr>
          <w:rFonts w:cs="Times New Roman"/>
          <w:szCs w:val="24"/>
        </w:rPr>
      </w:pPr>
    </w:p>
    <w:p w14:paraId="33902814" w14:textId="0D6906EA" w:rsidR="00B738AA" w:rsidRDefault="00B738AA" w:rsidP="00994A3D">
      <w:pPr>
        <w:keepNext/>
        <w:jc w:val="center"/>
        <w:rPr>
          <w:rFonts w:cs="Times New Roman"/>
          <w:szCs w:val="24"/>
        </w:rPr>
      </w:pPr>
    </w:p>
    <w:p w14:paraId="113AF9E8" w14:textId="1E91E3EB" w:rsidR="00B738AA" w:rsidRDefault="00B738AA" w:rsidP="00994A3D">
      <w:pPr>
        <w:keepNext/>
        <w:jc w:val="center"/>
        <w:rPr>
          <w:rFonts w:cs="Times New Roman"/>
          <w:szCs w:val="24"/>
        </w:rPr>
      </w:pPr>
    </w:p>
    <w:p w14:paraId="5DE16F68" w14:textId="2C7BDC19" w:rsidR="00B738AA" w:rsidRDefault="00B738AA" w:rsidP="00994A3D">
      <w:pPr>
        <w:keepNext/>
        <w:jc w:val="center"/>
        <w:rPr>
          <w:rFonts w:cs="Times New Roman"/>
          <w:szCs w:val="24"/>
        </w:rPr>
      </w:pPr>
    </w:p>
    <w:p w14:paraId="26B77377" w14:textId="66D56189" w:rsidR="00B738AA" w:rsidRDefault="00B738AA" w:rsidP="00994A3D">
      <w:pPr>
        <w:keepNext/>
        <w:jc w:val="center"/>
        <w:rPr>
          <w:rFonts w:cs="Times New Roman"/>
          <w:szCs w:val="24"/>
        </w:rPr>
      </w:pPr>
    </w:p>
    <w:p w14:paraId="230BC5A6" w14:textId="15AA34F8" w:rsidR="00B738AA" w:rsidRDefault="00B738AA" w:rsidP="00994A3D">
      <w:pPr>
        <w:keepNext/>
        <w:jc w:val="center"/>
        <w:rPr>
          <w:rFonts w:cs="Times New Roman"/>
          <w:szCs w:val="24"/>
        </w:rPr>
      </w:pPr>
    </w:p>
    <w:p w14:paraId="3DBEC265" w14:textId="5A346E49" w:rsidR="00B738AA" w:rsidRDefault="00B738AA" w:rsidP="00994A3D">
      <w:pPr>
        <w:keepNext/>
        <w:jc w:val="center"/>
        <w:rPr>
          <w:rFonts w:cs="Times New Roman"/>
          <w:szCs w:val="24"/>
        </w:rPr>
      </w:pPr>
    </w:p>
    <w:p w14:paraId="2877DF4E" w14:textId="19BE85AF" w:rsidR="00B738AA" w:rsidRDefault="00B738AA" w:rsidP="00994A3D">
      <w:pPr>
        <w:keepNext/>
        <w:jc w:val="center"/>
        <w:rPr>
          <w:rFonts w:cs="Times New Roman"/>
          <w:szCs w:val="24"/>
        </w:rPr>
      </w:pPr>
    </w:p>
    <w:p w14:paraId="3D1B55F4" w14:textId="5CBD4123" w:rsidR="00B738AA" w:rsidRDefault="00B738AA" w:rsidP="00994A3D">
      <w:pPr>
        <w:keepNext/>
        <w:jc w:val="center"/>
        <w:rPr>
          <w:rFonts w:cs="Times New Roman"/>
          <w:szCs w:val="24"/>
        </w:rPr>
      </w:pPr>
    </w:p>
    <w:p w14:paraId="6378D133" w14:textId="2CFE8A8A" w:rsidR="00B738AA" w:rsidRDefault="00B738AA" w:rsidP="00994A3D">
      <w:pPr>
        <w:keepNext/>
        <w:jc w:val="center"/>
        <w:rPr>
          <w:rFonts w:cs="Times New Roman"/>
          <w:szCs w:val="24"/>
        </w:rPr>
      </w:pPr>
    </w:p>
    <w:p w14:paraId="3C159105" w14:textId="77777777" w:rsidR="00B738AA" w:rsidRPr="001549D3" w:rsidRDefault="00B738AA" w:rsidP="00994A3D">
      <w:pPr>
        <w:keepNext/>
        <w:jc w:val="center"/>
        <w:rPr>
          <w:rFonts w:cs="Times New Roman"/>
          <w:szCs w:val="24"/>
        </w:rPr>
      </w:pPr>
    </w:p>
    <w:p w14:paraId="31470670" w14:textId="77777777" w:rsidR="00B738AA" w:rsidRDefault="00B738AA" w:rsidP="002B4A57">
      <w:pPr>
        <w:keepNext/>
        <w:rPr>
          <w:rFonts w:cs="Times New Roman"/>
          <w:b/>
          <w:szCs w:val="24"/>
        </w:rPr>
      </w:pPr>
    </w:p>
    <w:p w14:paraId="4AF79917" w14:textId="379A722F" w:rsidR="00B738AA" w:rsidRPr="00B738AA" w:rsidRDefault="00B738AA" w:rsidP="00B738AA">
      <w:pPr>
        <w:spacing w:after="160"/>
        <w:jc w:val="both"/>
        <w:rPr>
          <w:szCs w:val="24"/>
          <w:lang w:val="en-GB"/>
        </w:rPr>
      </w:pPr>
      <w:bookmarkStart w:id="0" w:name="_Hlk69980909"/>
      <w:r w:rsidRPr="00B738AA">
        <w:rPr>
          <w:b/>
          <w:bCs/>
          <w:szCs w:val="24"/>
          <w:lang w:val="en-GB"/>
        </w:rPr>
        <w:t xml:space="preserve">Supplementary figure </w:t>
      </w:r>
      <w:r w:rsidR="00A037FF">
        <w:rPr>
          <w:b/>
          <w:bCs/>
          <w:szCs w:val="24"/>
          <w:lang w:val="en-GB"/>
        </w:rPr>
        <w:t>2</w:t>
      </w:r>
      <w:r w:rsidRPr="00B738AA">
        <w:rPr>
          <w:b/>
          <w:bCs/>
          <w:szCs w:val="24"/>
          <w:lang w:val="en-GB"/>
        </w:rPr>
        <w:t xml:space="preserve">. Gating strategy for PBMC populations. </w:t>
      </w:r>
      <w:r w:rsidRPr="00B738AA">
        <w:rPr>
          <w:szCs w:val="24"/>
          <w:lang w:val="en-GB"/>
        </w:rPr>
        <w:t xml:space="preserve">PBMCs from three healthy donors were cultured in presence of BB-Cl-amidine or a combination of AFM-30a and GSK199 at 1, 5, 10 and 20 </w:t>
      </w:r>
      <w:r w:rsidRPr="00B738AA">
        <w:rPr>
          <w:rFonts w:ascii="Symbol" w:hAnsi="Symbol"/>
          <w:szCs w:val="24"/>
          <w:lang w:val="en-GB"/>
        </w:rPr>
        <w:t>m</w:t>
      </w:r>
      <w:r w:rsidRPr="00B738AA">
        <w:rPr>
          <w:szCs w:val="24"/>
          <w:lang w:val="en-GB"/>
        </w:rPr>
        <w:t>M concentrations. DMSO was used as vehicle control. After 24 h, 48 h and 72 h of incubation, the percentage of live and dead cells was assessed by flow cytometry after staining with Annexin V and 7-AAD.</w:t>
      </w:r>
      <w:r w:rsidRPr="00B738AA">
        <w:rPr>
          <w:b/>
          <w:bCs/>
          <w:szCs w:val="24"/>
          <w:lang w:val="en-GB"/>
        </w:rPr>
        <w:t xml:space="preserve"> (A) </w:t>
      </w:r>
      <w:r w:rsidRPr="00B738AA">
        <w:rPr>
          <w:szCs w:val="24"/>
          <w:lang w:val="en-GB"/>
        </w:rPr>
        <w:t xml:space="preserve">Shows the whole PBMC gating, </w:t>
      </w:r>
      <w:r w:rsidRPr="00B738AA">
        <w:rPr>
          <w:b/>
          <w:bCs/>
          <w:szCs w:val="24"/>
          <w:lang w:val="en-GB"/>
        </w:rPr>
        <w:t>(B)</w:t>
      </w:r>
      <w:r w:rsidRPr="00B738AA">
        <w:rPr>
          <w:szCs w:val="24"/>
          <w:lang w:val="en-GB"/>
        </w:rPr>
        <w:t xml:space="preserve"> shows the separation of PBMCs into CD3</w:t>
      </w:r>
      <w:r w:rsidRPr="00B738AA">
        <w:rPr>
          <w:szCs w:val="24"/>
          <w:vertAlign w:val="superscript"/>
          <w:lang w:val="en-GB"/>
        </w:rPr>
        <w:t>+</w:t>
      </w:r>
      <w:r w:rsidRPr="00B738AA">
        <w:rPr>
          <w:szCs w:val="24"/>
          <w:lang w:val="en-GB"/>
        </w:rPr>
        <w:t xml:space="preserve"> and CD3</w:t>
      </w:r>
      <w:r w:rsidRPr="00B738AA">
        <w:rPr>
          <w:szCs w:val="24"/>
          <w:vertAlign w:val="superscript"/>
          <w:lang w:val="en-GB"/>
        </w:rPr>
        <w:t>-</w:t>
      </w:r>
      <w:r w:rsidRPr="00B738AA">
        <w:rPr>
          <w:szCs w:val="24"/>
          <w:lang w:val="en-GB"/>
        </w:rPr>
        <w:t xml:space="preserve"> cells respectively, </w:t>
      </w:r>
      <w:r w:rsidRPr="00B738AA">
        <w:rPr>
          <w:b/>
          <w:bCs/>
          <w:szCs w:val="24"/>
          <w:lang w:val="en-GB"/>
        </w:rPr>
        <w:t>(C)</w:t>
      </w:r>
      <w:r w:rsidRPr="00B738AA">
        <w:rPr>
          <w:szCs w:val="24"/>
          <w:lang w:val="en-GB"/>
        </w:rPr>
        <w:t xml:space="preserve"> shows the separation of CD3</w:t>
      </w:r>
      <w:r w:rsidRPr="00B738AA">
        <w:rPr>
          <w:szCs w:val="24"/>
          <w:vertAlign w:val="superscript"/>
          <w:lang w:val="en-GB"/>
        </w:rPr>
        <w:t>+</w:t>
      </w:r>
      <w:r w:rsidRPr="00B738AA">
        <w:rPr>
          <w:szCs w:val="24"/>
          <w:lang w:val="en-GB"/>
        </w:rPr>
        <w:t xml:space="preserve"> cells into CD3</w:t>
      </w:r>
      <w:r w:rsidRPr="00B738AA">
        <w:rPr>
          <w:szCs w:val="24"/>
          <w:vertAlign w:val="superscript"/>
          <w:lang w:val="en-GB"/>
        </w:rPr>
        <w:t>+</w:t>
      </w:r>
      <w:r w:rsidRPr="00B738AA">
        <w:rPr>
          <w:szCs w:val="24"/>
          <w:lang w:val="en-GB"/>
        </w:rPr>
        <w:t xml:space="preserve"> CD4</w:t>
      </w:r>
      <w:r w:rsidRPr="00B738AA">
        <w:rPr>
          <w:szCs w:val="24"/>
          <w:vertAlign w:val="superscript"/>
          <w:lang w:val="en-GB"/>
        </w:rPr>
        <w:t>+</w:t>
      </w:r>
      <w:r w:rsidRPr="00B738AA">
        <w:rPr>
          <w:szCs w:val="24"/>
          <w:lang w:val="en-GB"/>
        </w:rPr>
        <w:t xml:space="preserve"> T cells and CD3</w:t>
      </w:r>
      <w:r w:rsidRPr="00B738AA">
        <w:rPr>
          <w:szCs w:val="24"/>
          <w:vertAlign w:val="superscript"/>
          <w:lang w:val="en-GB"/>
        </w:rPr>
        <w:t>+</w:t>
      </w:r>
      <w:r w:rsidRPr="00B738AA">
        <w:rPr>
          <w:szCs w:val="24"/>
          <w:lang w:val="en-GB"/>
        </w:rPr>
        <w:t xml:space="preserve"> CD8</w:t>
      </w:r>
      <w:r w:rsidRPr="00B738AA">
        <w:rPr>
          <w:szCs w:val="24"/>
          <w:vertAlign w:val="superscript"/>
          <w:lang w:val="en-GB"/>
        </w:rPr>
        <w:t>+</w:t>
      </w:r>
      <w:r w:rsidRPr="00B738AA">
        <w:rPr>
          <w:szCs w:val="24"/>
          <w:lang w:val="en-GB"/>
        </w:rPr>
        <w:t xml:space="preserve"> T cells. Within the CD3</w:t>
      </w:r>
      <w:r w:rsidRPr="00B738AA">
        <w:rPr>
          <w:szCs w:val="24"/>
          <w:vertAlign w:val="superscript"/>
          <w:lang w:val="en-GB"/>
        </w:rPr>
        <w:t>-</w:t>
      </w:r>
      <w:r w:rsidRPr="00B738AA">
        <w:rPr>
          <w:szCs w:val="24"/>
          <w:lang w:val="en-GB"/>
        </w:rPr>
        <w:t xml:space="preserve"> PBMC gating</w:t>
      </w:r>
      <w:r w:rsidR="0078491B">
        <w:rPr>
          <w:szCs w:val="24"/>
          <w:lang w:val="en-GB"/>
        </w:rPr>
        <w:t>,</w:t>
      </w:r>
      <w:r w:rsidRPr="00B738AA">
        <w:rPr>
          <w:szCs w:val="24"/>
          <w:lang w:val="en-GB"/>
        </w:rPr>
        <w:t xml:space="preserve"> </w:t>
      </w:r>
      <w:r w:rsidRPr="00B738AA">
        <w:rPr>
          <w:b/>
          <w:bCs/>
          <w:szCs w:val="24"/>
          <w:lang w:val="en-GB"/>
        </w:rPr>
        <w:t>(D)</w:t>
      </w:r>
      <w:r w:rsidRPr="00B738AA">
        <w:rPr>
          <w:szCs w:val="24"/>
          <w:lang w:val="en-GB"/>
        </w:rPr>
        <w:t xml:space="preserve"> shows the CD14</w:t>
      </w:r>
      <w:r w:rsidRPr="00B738AA">
        <w:rPr>
          <w:szCs w:val="24"/>
          <w:vertAlign w:val="superscript"/>
          <w:lang w:val="en-GB"/>
        </w:rPr>
        <w:t>+</w:t>
      </w:r>
      <w:r w:rsidRPr="00B738AA">
        <w:rPr>
          <w:szCs w:val="24"/>
          <w:lang w:val="en-GB"/>
        </w:rPr>
        <w:t xml:space="preserve"> monocytes, </w:t>
      </w:r>
      <w:r w:rsidRPr="00B738AA">
        <w:rPr>
          <w:b/>
          <w:bCs/>
          <w:szCs w:val="24"/>
          <w:lang w:val="en-GB"/>
        </w:rPr>
        <w:t>(E)</w:t>
      </w:r>
      <w:r w:rsidRPr="00B738AA">
        <w:rPr>
          <w:szCs w:val="24"/>
          <w:lang w:val="en-GB"/>
        </w:rPr>
        <w:t xml:space="preserve"> shows the CD19</w:t>
      </w:r>
      <w:r w:rsidRPr="00B738AA">
        <w:rPr>
          <w:szCs w:val="24"/>
          <w:vertAlign w:val="superscript"/>
          <w:lang w:val="en-GB"/>
        </w:rPr>
        <w:t>+</w:t>
      </w:r>
      <w:r w:rsidRPr="00B738AA">
        <w:rPr>
          <w:szCs w:val="24"/>
          <w:lang w:val="en-GB"/>
        </w:rPr>
        <w:t xml:space="preserve"> B cells and </w:t>
      </w:r>
      <w:r w:rsidRPr="00B738AA">
        <w:rPr>
          <w:b/>
          <w:bCs/>
          <w:szCs w:val="24"/>
          <w:lang w:val="en-GB"/>
        </w:rPr>
        <w:t>(F)</w:t>
      </w:r>
      <w:r w:rsidRPr="00B738AA">
        <w:rPr>
          <w:szCs w:val="24"/>
          <w:lang w:val="en-GB"/>
        </w:rPr>
        <w:t xml:space="preserve"> shows the CD16</w:t>
      </w:r>
      <w:r w:rsidRPr="00B738AA">
        <w:rPr>
          <w:szCs w:val="24"/>
          <w:vertAlign w:val="superscript"/>
          <w:lang w:val="en-GB"/>
        </w:rPr>
        <w:t>+</w:t>
      </w:r>
      <w:r w:rsidRPr="00B738AA">
        <w:rPr>
          <w:szCs w:val="24"/>
          <w:lang w:val="en-GB"/>
        </w:rPr>
        <w:t xml:space="preserve"> CD56</w:t>
      </w:r>
      <w:r w:rsidRPr="00B738AA">
        <w:rPr>
          <w:szCs w:val="24"/>
          <w:vertAlign w:val="superscript"/>
          <w:lang w:val="en-GB"/>
        </w:rPr>
        <w:t>+</w:t>
      </w:r>
      <w:r w:rsidRPr="00B738AA">
        <w:rPr>
          <w:szCs w:val="24"/>
          <w:lang w:val="en-GB"/>
        </w:rPr>
        <w:t xml:space="preserve"> NK cells. From all previously described populations doublets were excluded </w:t>
      </w:r>
      <w:r w:rsidRPr="00B738AA">
        <w:rPr>
          <w:b/>
          <w:bCs/>
          <w:szCs w:val="24"/>
          <w:lang w:val="en-GB"/>
        </w:rPr>
        <w:t>(G)</w:t>
      </w:r>
      <w:r w:rsidRPr="00B738AA">
        <w:rPr>
          <w:szCs w:val="24"/>
          <w:lang w:val="en-GB"/>
        </w:rPr>
        <w:t xml:space="preserve"> and live and dead cells were determined by AnnexinV and 7-AAD staining as shown in </w:t>
      </w:r>
      <w:r w:rsidRPr="00B738AA">
        <w:rPr>
          <w:b/>
          <w:bCs/>
          <w:szCs w:val="24"/>
          <w:lang w:val="en-GB"/>
        </w:rPr>
        <w:t>(H)</w:t>
      </w:r>
      <w:r w:rsidRPr="00B738AA">
        <w:rPr>
          <w:szCs w:val="24"/>
          <w:lang w:val="en-GB"/>
        </w:rPr>
        <w:t xml:space="preserve">.   </w:t>
      </w:r>
    </w:p>
    <w:bookmarkEnd w:id="0"/>
    <w:p w14:paraId="7B65BC41" w14:textId="2FF12B40" w:rsidR="00B738AA" w:rsidRDefault="00B738AA">
      <w:pPr>
        <w:spacing w:before="0" w:after="200" w:line="276" w:lineRule="auto"/>
        <w:rPr>
          <w:lang w:val="en-GB"/>
        </w:rPr>
      </w:pPr>
      <w:r>
        <w:rPr>
          <w:lang w:val="en-GB"/>
        </w:rPr>
        <w:br w:type="page"/>
      </w:r>
    </w:p>
    <w:p w14:paraId="4CE06A17" w14:textId="56B1A39C" w:rsidR="00B738AA" w:rsidRDefault="00B738AA" w:rsidP="00654E8F">
      <w:pPr>
        <w:spacing w:before="240"/>
        <w:rPr>
          <w:lang w:val="en-GB"/>
        </w:rPr>
      </w:pPr>
      <w:r w:rsidRPr="00A0286F">
        <w:rPr>
          <w:noProof/>
          <w:lang w:bidi="he-IL"/>
        </w:rPr>
        <w:lastRenderedPageBreak/>
        <w:drawing>
          <wp:anchor distT="0" distB="0" distL="114300" distR="114300" simplePos="0" relativeHeight="251661312" behindDoc="0" locked="0" layoutInCell="1" allowOverlap="1" wp14:anchorId="22EDEE0B" wp14:editId="1B21F463">
            <wp:simplePos x="0" y="0"/>
            <wp:positionH relativeFrom="page">
              <wp:align>center</wp:align>
            </wp:positionH>
            <wp:positionV relativeFrom="paragraph">
              <wp:posOffset>7315</wp:posOffset>
            </wp:positionV>
            <wp:extent cx="4038600" cy="3902710"/>
            <wp:effectExtent l="0" t="0" r="0" b="0"/>
            <wp:wrapSquare wrapText="bothSides"/>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tingStrategy_neutrophils.tiff"/>
                    <pic:cNvPicPr/>
                  </pic:nvPicPr>
                  <pic:blipFill>
                    <a:blip r:embed="rId10">
                      <a:extLst>
                        <a:ext uri="{28A0092B-C50C-407E-A947-70E740481C1C}">
                          <a14:useLocalDpi xmlns:a14="http://schemas.microsoft.com/office/drawing/2010/main" val="0"/>
                        </a:ext>
                      </a:extLst>
                    </a:blip>
                    <a:stretch>
                      <a:fillRect/>
                    </a:stretch>
                  </pic:blipFill>
                  <pic:spPr>
                    <a:xfrm>
                      <a:off x="0" y="0"/>
                      <a:ext cx="4038600" cy="3902710"/>
                    </a:xfrm>
                    <a:prstGeom prst="rect">
                      <a:avLst/>
                    </a:prstGeom>
                  </pic:spPr>
                </pic:pic>
              </a:graphicData>
            </a:graphic>
            <wp14:sizeRelH relativeFrom="page">
              <wp14:pctWidth>0</wp14:pctWidth>
            </wp14:sizeRelH>
            <wp14:sizeRelV relativeFrom="page">
              <wp14:pctHeight>0</wp14:pctHeight>
            </wp14:sizeRelV>
          </wp:anchor>
        </w:drawing>
      </w:r>
    </w:p>
    <w:p w14:paraId="7D07B6F6" w14:textId="2C287B17" w:rsidR="00B738AA" w:rsidRDefault="00B738AA" w:rsidP="00654E8F">
      <w:pPr>
        <w:spacing w:before="240"/>
        <w:rPr>
          <w:lang w:val="en-GB"/>
        </w:rPr>
      </w:pPr>
    </w:p>
    <w:p w14:paraId="2806EF82" w14:textId="425542F4" w:rsidR="00B738AA" w:rsidRDefault="00B738AA" w:rsidP="00654E8F">
      <w:pPr>
        <w:spacing w:before="240"/>
        <w:rPr>
          <w:lang w:val="en-GB"/>
        </w:rPr>
      </w:pPr>
    </w:p>
    <w:p w14:paraId="5BF674F6" w14:textId="18F1F7E8" w:rsidR="00B738AA" w:rsidRDefault="00B738AA" w:rsidP="00654E8F">
      <w:pPr>
        <w:spacing w:before="240"/>
        <w:rPr>
          <w:lang w:val="en-GB"/>
        </w:rPr>
      </w:pPr>
    </w:p>
    <w:p w14:paraId="15C04066" w14:textId="0B73369D" w:rsidR="00B738AA" w:rsidRDefault="00B738AA" w:rsidP="00654E8F">
      <w:pPr>
        <w:spacing w:before="240"/>
        <w:rPr>
          <w:lang w:val="en-GB"/>
        </w:rPr>
      </w:pPr>
    </w:p>
    <w:p w14:paraId="5E02E94B" w14:textId="30BCCE4B" w:rsidR="00B738AA" w:rsidRDefault="00B738AA" w:rsidP="00654E8F">
      <w:pPr>
        <w:spacing w:before="240"/>
        <w:rPr>
          <w:lang w:val="en-GB"/>
        </w:rPr>
      </w:pPr>
    </w:p>
    <w:p w14:paraId="5642EA3D" w14:textId="6020FB94" w:rsidR="00B738AA" w:rsidRDefault="00B738AA" w:rsidP="00654E8F">
      <w:pPr>
        <w:spacing w:before="240"/>
        <w:rPr>
          <w:lang w:val="en-GB"/>
        </w:rPr>
      </w:pPr>
    </w:p>
    <w:p w14:paraId="6C60394D" w14:textId="42832553" w:rsidR="00B738AA" w:rsidRDefault="00B738AA" w:rsidP="00654E8F">
      <w:pPr>
        <w:spacing w:before="240"/>
        <w:rPr>
          <w:lang w:val="en-GB"/>
        </w:rPr>
      </w:pPr>
    </w:p>
    <w:p w14:paraId="3C3BBFCA" w14:textId="5B396BAB" w:rsidR="00B738AA" w:rsidRDefault="00B738AA" w:rsidP="00654E8F">
      <w:pPr>
        <w:spacing w:before="240"/>
        <w:rPr>
          <w:lang w:val="en-GB"/>
        </w:rPr>
      </w:pPr>
    </w:p>
    <w:p w14:paraId="44E45D4E" w14:textId="07DC5F8B" w:rsidR="00B738AA" w:rsidRDefault="00B738AA" w:rsidP="00654E8F">
      <w:pPr>
        <w:spacing w:before="240"/>
        <w:rPr>
          <w:lang w:val="en-GB"/>
        </w:rPr>
      </w:pPr>
    </w:p>
    <w:p w14:paraId="2C4A01AF" w14:textId="2E2F542B" w:rsidR="00B738AA" w:rsidRDefault="00B738AA" w:rsidP="00654E8F">
      <w:pPr>
        <w:spacing w:before="240"/>
        <w:rPr>
          <w:lang w:val="en-GB"/>
        </w:rPr>
      </w:pPr>
    </w:p>
    <w:p w14:paraId="68BCB4EF" w14:textId="2A762152" w:rsidR="00B738AA" w:rsidRDefault="00B738AA" w:rsidP="00654E8F">
      <w:pPr>
        <w:spacing w:before="240"/>
        <w:rPr>
          <w:lang w:val="en-GB"/>
        </w:rPr>
      </w:pPr>
    </w:p>
    <w:p w14:paraId="2887FC85" w14:textId="57598F84" w:rsidR="00B738AA" w:rsidRPr="00B738AA" w:rsidRDefault="00B738AA" w:rsidP="00B738AA">
      <w:pPr>
        <w:jc w:val="both"/>
        <w:rPr>
          <w:szCs w:val="24"/>
          <w:lang w:val="en-GB"/>
        </w:rPr>
      </w:pPr>
      <w:r w:rsidRPr="00B738AA">
        <w:rPr>
          <w:b/>
          <w:bCs/>
          <w:szCs w:val="24"/>
          <w:lang w:val="en-GB"/>
        </w:rPr>
        <w:t xml:space="preserve">Supplementary figure </w:t>
      </w:r>
      <w:r w:rsidR="00A037FF">
        <w:rPr>
          <w:b/>
          <w:bCs/>
          <w:szCs w:val="24"/>
          <w:lang w:val="en-GB"/>
        </w:rPr>
        <w:t>3</w:t>
      </w:r>
      <w:r w:rsidRPr="00B738AA">
        <w:rPr>
          <w:b/>
          <w:bCs/>
          <w:szCs w:val="24"/>
          <w:lang w:val="en-GB"/>
        </w:rPr>
        <w:t xml:space="preserve">. Gating strategy for PMNs. </w:t>
      </w:r>
      <w:r w:rsidRPr="00B738AA">
        <w:rPr>
          <w:szCs w:val="24"/>
          <w:lang w:val="en-GB"/>
        </w:rPr>
        <w:t xml:space="preserve">PMNs from three healthy donors were cultured in presence of BB-Cl-amidine or a combination of AFM-30a and GSK199 at 1, 5, 10 and 20 </w:t>
      </w:r>
      <w:r w:rsidRPr="00B738AA">
        <w:rPr>
          <w:rFonts w:ascii="Symbol" w:hAnsi="Symbol"/>
          <w:szCs w:val="24"/>
          <w:lang w:val="en-GB"/>
        </w:rPr>
        <w:t>m</w:t>
      </w:r>
      <w:r w:rsidRPr="00B738AA">
        <w:rPr>
          <w:szCs w:val="24"/>
          <w:lang w:val="en-GB"/>
        </w:rPr>
        <w:t>M concentrations. DMSO was used as vehicle control. After 4 h and 24 h of incubation, the percentage of live and dead cells was assessed by flow cytometry after staining with Annexin V and 7-AAD.</w:t>
      </w:r>
      <w:r w:rsidRPr="00B738AA">
        <w:rPr>
          <w:b/>
          <w:bCs/>
          <w:szCs w:val="24"/>
          <w:lang w:val="en-GB"/>
        </w:rPr>
        <w:t xml:space="preserve"> (A) </w:t>
      </w:r>
      <w:r w:rsidRPr="00B738AA">
        <w:rPr>
          <w:szCs w:val="24"/>
          <w:lang w:val="en-GB"/>
        </w:rPr>
        <w:t xml:space="preserve">Shows the whole PMN gating, </w:t>
      </w:r>
      <w:r w:rsidRPr="00B738AA">
        <w:rPr>
          <w:b/>
          <w:bCs/>
          <w:szCs w:val="24"/>
          <w:lang w:val="en-GB"/>
        </w:rPr>
        <w:t>(B)</w:t>
      </w:r>
      <w:r w:rsidRPr="00B738AA">
        <w:rPr>
          <w:szCs w:val="24"/>
          <w:lang w:val="en-GB"/>
        </w:rPr>
        <w:t xml:space="preserve"> shows the exclusion of doublets and </w:t>
      </w:r>
      <w:r w:rsidRPr="00B738AA">
        <w:rPr>
          <w:b/>
          <w:bCs/>
          <w:szCs w:val="24"/>
          <w:lang w:val="en-GB"/>
        </w:rPr>
        <w:t>(C)</w:t>
      </w:r>
      <w:r w:rsidRPr="00B738AA">
        <w:rPr>
          <w:szCs w:val="24"/>
          <w:lang w:val="en-GB"/>
        </w:rPr>
        <w:t xml:space="preserve"> shows the gating of CD45</w:t>
      </w:r>
      <w:r w:rsidRPr="00B738AA">
        <w:rPr>
          <w:szCs w:val="24"/>
          <w:vertAlign w:val="superscript"/>
          <w:lang w:val="en-GB"/>
        </w:rPr>
        <w:t>+</w:t>
      </w:r>
      <w:r w:rsidRPr="00B738AA">
        <w:rPr>
          <w:szCs w:val="24"/>
          <w:lang w:val="en-GB"/>
        </w:rPr>
        <w:t xml:space="preserve"> CD15</w:t>
      </w:r>
      <w:r w:rsidRPr="00B738AA">
        <w:rPr>
          <w:szCs w:val="24"/>
          <w:vertAlign w:val="superscript"/>
          <w:lang w:val="en-GB"/>
        </w:rPr>
        <w:t>+</w:t>
      </w:r>
      <w:r w:rsidRPr="00B738AA">
        <w:rPr>
          <w:szCs w:val="24"/>
          <w:lang w:val="en-GB"/>
        </w:rPr>
        <w:t xml:space="preserve"> PMNs. Live and dead cells were determined by AnnexinV and 7-AAD staining as shown in </w:t>
      </w:r>
      <w:r w:rsidRPr="00B738AA">
        <w:rPr>
          <w:b/>
          <w:bCs/>
          <w:szCs w:val="24"/>
          <w:lang w:val="en-GB"/>
        </w:rPr>
        <w:t>(D)</w:t>
      </w:r>
      <w:r w:rsidRPr="00B738AA">
        <w:rPr>
          <w:szCs w:val="24"/>
          <w:lang w:val="en-GB"/>
        </w:rPr>
        <w:t xml:space="preserve">.  </w:t>
      </w:r>
    </w:p>
    <w:p w14:paraId="014E094F" w14:textId="77777777" w:rsidR="000B27BB" w:rsidRDefault="000B27BB">
      <w:pPr>
        <w:spacing w:before="0" w:after="200" w:line="276" w:lineRule="auto"/>
        <w:rPr>
          <w:lang w:val="en-GB"/>
        </w:rPr>
      </w:pPr>
      <w:r>
        <w:rPr>
          <w:lang w:val="en-GB"/>
        </w:rPr>
        <w:br w:type="page"/>
      </w:r>
    </w:p>
    <w:p w14:paraId="305664DA" w14:textId="5F6F6FCC" w:rsidR="000B27BB" w:rsidRDefault="00A037FF">
      <w:pPr>
        <w:spacing w:before="0" w:after="200" w:line="276" w:lineRule="auto"/>
        <w:rPr>
          <w:lang w:val="en-GB"/>
        </w:rPr>
      </w:pPr>
      <w:r>
        <w:rPr>
          <w:noProof/>
          <w:lang w:val="en-GB"/>
        </w:rPr>
        <w:lastRenderedPageBreak/>
        <w:drawing>
          <wp:anchor distT="0" distB="0" distL="114300" distR="114300" simplePos="0" relativeHeight="251669504" behindDoc="0" locked="0" layoutInCell="1" allowOverlap="1" wp14:anchorId="38E0CF5D" wp14:editId="6B932480">
            <wp:simplePos x="0" y="0"/>
            <wp:positionH relativeFrom="page">
              <wp:posOffset>1063625</wp:posOffset>
            </wp:positionH>
            <wp:positionV relativeFrom="paragraph">
              <wp:posOffset>103065</wp:posOffset>
            </wp:positionV>
            <wp:extent cx="5645150" cy="2832102"/>
            <wp:effectExtent l="0" t="0" r="0" b="0"/>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_OD_raw_values_supplementary_D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45150" cy="2832102"/>
                    </a:xfrm>
                    <a:prstGeom prst="rect">
                      <a:avLst/>
                    </a:prstGeom>
                  </pic:spPr>
                </pic:pic>
              </a:graphicData>
            </a:graphic>
            <wp14:sizeRelH relativeFrom="page">
              <wp14:pctWidth>0</wp14:pctWidth>
            </wp14:sizeRelH>
            <wp14:sizeRelV relativeFrom="page">
              <wp14:pctHeight>0</wp14:pctHeight>
            </wp14:sizeRelV>
          </wp:anchor>
        </w:drawing>
      </w:r>
    </w:p>
    <w:p w14:paraId="767ED37F" w14:textId="22872FBD" w:rsidR="003A0C6C" w:rsidRPr="0002075D" w:rsidRDefault="003A0C6C" w:rsidP="003A0C6C">
      <w:pPr>
        <w:jc w:val="both"/>
        <w:rPr>
          <w:szCs w:val="24"/>
          <w:lang w:val="en-GB"/>
        </w:rPr>
      </w:pPr>
      <w:bookmarkStart w:id="1" w:name="_Hlk69980991"/>
      <w:r>
        <w:rPr>
          <w:b/>
          <w:bCs/>
          <w:szCs w:val="24"/>
          <w:lang w:val="en-GB"/>
        </w:rPr>
        <w:t>Supplementary figure 4</w:t>
      </w:r>
      <w:r w:rsidRPr="0002075D">
        <w:rPr>
          <w:b/>
          <w:bCs/>
          <w:szCs w:val="24"/>
          <w:lang w:val="en-GB"/>
        </w:rPr>
        <w:t>. Effect of PAD inhibitors on leukocyte-derived PADs and on PADs in RA synovial fluid.</w:t>
      </w:r>
      <w:r w:rsidRPr="0002075D">
        <w:rPr>
          <w:szCs w:val="24"/>
          <w:lang w:val="en-GB"/>
        </w:rPr>
        <w:t xml:space="preserve"> ELISA plates were coated with human fibrinogen and incubated with </w:t>
      </w:r>
      <w:r w:rsidRPr="0002075D">
        <w:rPr>
          <w:b/>
          <w:bCs/>
          <w:szCs w:val="24"/>
          <w:lang w:val="en-GB"/>
        </w:rPr>
        <w:t>(A)</w:t>
      </w:r>
      <w:r w:rsidRPr="0002075D">
        <w:rPr>
          <w:szCs w:val="24"/>
          <w:lang w:val="en-GB"/>
        </w:rPr>
        <w:t xml:space="preserve"> lysates from P</w:t>
      </w:r>
      <w:r>
        <w:rPr>
          <w:szCs w:val="24"/>
          <w:lang w:val="en-GB"/>
        </w:rPr>
        <w:t>BMC</w:t>
      </w:r>
      <w:r w:rsidRPr="0002075D">
        <w:rPr>
          <w:szCs w:val="24"/>
          <w:lang w:val="en-GB"/>
        </w:rPr>
        <w:t>s</w:t>
      </w:r>
      <w:r w:rsidRPr="0002075D">
        <w:rPr>
          <w:rFonts w:cstheme="minorHAnsi"/>
          <w:szCs w:val="24"/>
          <w:lang w:val="en-GB"/>
        </w:rPr>
        <w:t>,</w:t>
      </w:r>
      <w:r w:rsidRPr="0002075D">
        <w:rPr>
          <w:szCs w:val="24"/>
          <w:lang w:val="en-GB"/>
        </w:rPr>
        <w:t xml:space="preserve"> </w:t>
      </w:r>
      <w:r w:rsidRPr="0002075D">
        <w:rPr>
          <w:b/>
          <w:bCs/>
          <w:szCs w:val="24"/>
          <w:lang w:val="en-GB"/>
        </w:rPr>
        <w:t>(B)</w:t>
      </w:r>
      <w:r w:rsidRPr="0002075D">
        <w:rPr>
          <w:szCs w:val="24"/>
          <w:lang w:val="en-GB"/>
        </w:rPr>
        <w:t xml:space="preserve"> lysates from P</w:t>
      </w:r>
      <w:r>
        <w:rPr>
          <w:szCs w:val="24"/>
          <w:lang w:val="en-GB"/>
        </w:rPr>
        <w:t>MN</w:t>
      </w:r>
      <w:r w:rsidRPr="0002075D">
        <w:rPr>
          <w:szCs w:val="24"/>
          <w:lang w:val="en-GB"/>
        </w:rPr>
        <w:t>s,</w:t>
      </w:r>
      <w:r>
        <w:rPr>
          <w:szCs w:val="24"/>
          <w:lang w:val="en-GB"/>
        </w:rPr>
        <w:t xml:space="preserve"> and</w:t>
      </w:r>
      <w:r w:rsidRPr="0002075D">
        <w:rPr>
          <w:szCs w:val="24"/>
          <w:lang w:val="en-GB"/>
        </w:rPr>
        <w:t xml:space="preserve"> </w:t>
      </w:r>
      <w:r w:rsidRPr="0002075D">
        <w:rPr>
          <w:b/>
          <w:bCs/>
          <w:szCs w:val="24"/>
          <w:lang w:val="en-GB"/>
        </w:rPr>
        <w:t>(C)</w:t>
      </w:r>
      <w:r w:rsidRPr="0002075D">
        <w:rPr>
          <w:szCs w:val="24"/>
          <w:lang w:val="en-GB"/>
        </w:rPr>
        <w:t xml:space="preserve"> live PMNs</w:t>
      </w:r>
      <w:r>
        <w:rPr>
          <w:szCs w:val="24"/>
          <w:lang w:val="en-GB"/>
        </w:rPr>
        <w:t xml:space="preserve">. </w:t>
      </w:r>
      <w:r w:rsidRPr="0002075D">
        <w:rPr>
          <w:szCs w:val="24"/>
          <w:lang w:val="en-GB"/>
        </w:rPr>
        <w:t xml:space="preserve">Incubation took place in the presence of 25 mM EDTA, 20 </w:t>
      </w:r>
      <w:r w:rsidRPr="0002075D">
        <w:rPr>
          <w:rFonts w:cstheme="minorHAnsi"/>
          <w:szCs w:val="24"/>
          <w:lang w:val="en-GB"/>
        </w:rPr>
        <w:t>µ</w:t>
      </w:r>
      <w:r w:rsidRPr="0002075D">
        <w:rPr>
          <w:szCs w:val="24"/>
          <w:lang w:val="en-GB"/>
        </w:rPr>
        <w:t xml:space="preserve">M BB-Cl-amidine, 20 </w:t>
      </w:r>
      <w:r w:rsidRPr="0002075D">
        <w:rPr>
          <w:rFonts w:cstheme="minorHAnsi"/>
          <w:szCs w:val="24"/>
          <w:lang w:val="en-GB"/>
        </w:rPr>
        <w:t>µ</w:t>
      </w:r>
      <w:r w:rsidRPr="0002075D">
        <w:rPr>
          <w:szCs w:val="24"/>
          <w:lang w:val="en-GB"/>
        </w:rPr>
        <w:t xml:space="preserve">M AFM-30a, 20 </w:t>
      </w:r>
      <w:r w:rsidRPr="0002075D">
        <w:rPr>
          <w:rFonts w:cstheme="minorHAnsi"/>
          <w:szCs w:val="24"/>
          <w:lang w:val="en-GB"/>
        </w:rPr>
        <w:t>µ</w:t>
      </w:r>
      <w:r w:rsidRPr="0002075D">
        <w:rPr>
          <w:szCs w:val="24"/>
          <w:lang w:val="en-GB"/>
        </w:rPr>
        <w:t>M GSK199 or a combination of the latter two. Untreated lysates</w:t>
      </w:r>
      <w:r>
        <w:rPr>
          <w:szCs w:val="24"/>
          <w:lang w:val="en-GB"/>
        </w:rPr>
        <w:t xml:space="preserve"> or </w:t>
      </w:r>
      <w:r w:rsidRPr="0002075D">
        <w:rPr>
          <w:szCs w:val="24"/>
          <w:lang w:val="en-GB"/>
        </w:rPr>
        <w:t>live cells</w:t>
      </w:r>
      <w:r>
        <w:rPr>
          <w:szCs w:val="24"/>
          <w:lang w:val="en-GB"/>
        </w:rPr>
        <w:t xml:space="preserve"> </w:t>
      </w:r>
      <w:r w:rsidRPr="0002075D">
        <w:rPr>
          <w:szCs w:val="24"/>
          <w:lang w:val="en-GB"/>
        </w:rPr>
        <w:t xml:space="preserve">were used as controls. After 3 h of incubation, citrullination was detected with mAb 20B2 which recognizes a citrullinated epitope of fibrinogen. </w:t>
      </w:r>
      <w:r>
        <w:rPr>
          <w:szCs w:val="24"/>
          <w:lang w:val="en-GB"/>
        </w:rPr>
        <w:t xml:space="preserve">Raw </w:t>
      </w:r>
      <w:r w:rsidRPr="0002075D">
        <w:rPr>
          <w:szCs w:val="24"/>
          <w:lang w:val="en-GB"/>
        </w:rPr>
        <w:t>OD</w:t>
      </w:r>
      <w:r>
        <w:rPr>
          <w:szCs w:val="24"/>
          <w:lang w:val="en-GB"/>
        </w:rPr>
        <w:t xml:space="preserve"> values at 490-650 nm are </w:t>
      </w:r>
      <w:r w:rsidR="00613724">
        <w:rPr>
          <w:szCs w:val="24"/>
          <w:lang w:val="en-GB"/>
        </w:rPr>
        <w:t xml:space="preserve">shown </w:t>
      </w:r>
      <w:r>
        <w:rPr>
          <w:szCs w:val="24"/>
          <w:lang w:val="en-GB"/>
        </w:rPr>
        <w:t xml:space="preserve">for </w:t>
      </w:r>
      <w:r w:rsidR="00613724">
        <w:rPr>
          <w:szCs w:val="24"/>
          <w:lang w:val="en-GB"/>
        </w:rPr>
        <w:t xml:space="preserve">a </w:t>
      </w:r>
      <w:r>
        <w:rPr>
          <w:szCs w:val="24"/>
          <w:lang w:val="en-GB"/>
        </w:rPr>
        <w:t xml:space="preserve">representative donor. </w:t>
      </w:r>
    </w:p>
    <w:p w14:paraId="3326CDD0" w14:textId="72B263CD" w:rsidR="003A0C6C" w:rsidRDefault="003A0C6C">
      <w:pPr>
        <w:spacing w:before="0" w:after="200" w:line="276" w:lineRule="auto"/>
        <w:rPr>
          <w:szCs w:val="24"/>
          <w:lang w:val="en-GB"/>
        </w:rPr>
      </w:pPr>
      <w:r>
        <w:rPr>
          <w:szCs w:val="24"/>
          <w:lang w:val="en-GB"/>
        </w:rPr>
        <w:br w:type="page"/>
      </w:r>
    </w:p>
    <w:p w14:paraId="40AB9500" w14:textId="77777777" w:rsidR="00B738AA" w:rsidRDefault="00B738AA">
      <w:pPr>
        <w:spacing w:before="0" w:after="200" w:line="276" w:lineRule="auto"/>
        <w:rPr>
          <w:szCs w:val="24"/>
          <w:lang w:val="en-GB"/>
        </w:rPr>
      </w:pPr>
    </w:p>
    <w:p w14:paraId="5E3FD469" w14:textId="5FA98B47" w:rsidR="00B738AA" w:rsidRPr="00B738AA" w:rsidRDefault="00B738AA" w:rsidP="00B738AA">
      <w:pPr>
        <w:jc w:val="both"/>
        <w:rPr>
          <w:szCs w:val="24"/>
          <w:lang w:val="en-GB"/>
        </w:rPr>
      </w:pPr>
      <w:r>
        <w:rPr>
          <w:noProof/>
          <w:sz w:val="20"/>
          <w:szCs w:val="20"/>
          <w:lang w:val="en-GB"/>
        </w:rPr>
        <w:drawing>
          <wp:anchor distT="0" distB="0" distL="114300" distR="114300" simplePos="0" relativeHeight="251665408" behindDoc="0" locked="0" layoutInCell="1" allowOverlap="1" wp14:anchorId="0651088D" wp14:editId="558757AA">
            <wp:simplePos x="0" y="0"/>
            <wp:positionH relativeFrom="margin">
              <wp:align>right</wp:align>
            </wp:positionH>
            <wp:positionV relativeFrom="paragraph">
              <wp:posOffset>407</wp:posOffset>
            </wp:positionV>
            <wp:extent cx="6208395" cy="3757295"/>
            <wp:effectExtent l="0" t="0" r="0" b="0"/>
            <wp:wrapSquare wrapText="bothSides"/>
            <wp:docPr id="11" name="Billede 1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pFigure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8395" cy="3757295"/>
                    </a:xfrm>
                    <a:prstGeom prst="rect">
                      <a:avLst/>
                    </a:prstGeom>
                  </pic:spPr>
                </pic:pic>
              </a:graphicData>
            </a:graphic>
            <wp14:sizeRelH relativeFrom="page">
              <wp14:pctWidth>0</wp14:pctWidth>
            </wp14:sizeRelH>
            <wp14:sizeRelV relativeFrom="page">
              <wp14:pctHeight>0</wp14:pctHeight>
            </wp14:sizeRelV>
          </wp:anchor>
        </w:drawing>
      </w:r>
    </w:p>
    <w:p w14:paraId="4F5F05C9" w14:textId="29B00175" w:rsidR="00B738AA" w:rsidRPr="00B738AA" w:rsidRDefault="00B738AA" w:rsidP="00B738AA">
      <w:pPr>
        <w:jc w:val="both"/>
        <w:rPr>
          <w:szCs w:val="24"/>
          <w:lang w:val="en-GB"/>
        </w:rPr>
      </w:pPr>
      <w:bookmarkStart w:id="2" w:name="_Hlk69981013"/>
      <w:bookmarkEnd w:id="1"/>
      <w:r w:rsidRPr="00B738AA">
        <w:rPr>
          <w:b/>
          <w:bCs/>
          <w:szCs w:val="24"/>
          <w:lang w:val="en-GB"/>
        </w:rPr>
        <w:t xml:space="preserve">Supplementary figure </w:t>
      </w:r>
      <w:r w:rsidR="003A0C6C">
        <w:rPr>
          <w:b/>
          <w:bCs/>
          <w:szCs w:val="24"/>
          <w:lang w:val="en-GB"/>
        </w:rPr>
        <w:t>5</w:t>
      </w:r>
      <w:r w:rsidRPr="00B738AA">
        <w:rPr>
          <w:b/>
          <w:bCs/>
          <w:szCs w:val="24"/>
          <w:lang w:val="en-GB"/>
        </w:rPr>
        <w:t>. Effect of BB-Cl-amidine, AFM-30a and GSK199 on cell survival.</w:t>
      </w:r>
      <w:r w:rsidRPr="00B738AA">
        <w:rPr>
          <w:szCs w:val="24"/>
          <w:lang w:val="en-GB"/>
        </w:rPr>
        <w:t xml:space="preserve"> PBMCs and PMNs from three healthy donors were cultured in presence of BB-Cl-amidine or a combination of AFM-30a and GSK199 at the given concentrations. DMSO was used as vehicle control (V). After 48 h of incubation, the percentage of live and dead cells was assessed by flow cytometry after staining with Annexin V and 7-AAD. The percentages of early apoptotic and dead cells are shown for </w:t>
      </w:r>
      <w:r w:rsidRPr="00B738AA">
        <w:rPr>
          <w:b/>
          <w:bCs/>
          <w:szCs w:val="24"/>
          <w:lang w:val="en-GB"/>
        </w:rPr>
        <w:t>(A)</w:t>
      </w:r>
      <w:r w:rsidRPr="00B738AA">
        <w:rPr>
          <w:szCs w:val="24"/>
          <w:lang w:val="en-GB"/>
        </w:rPr>
        <w:t xml:space="preserve"> CD4</w:t>
      </w:r>
      <w:r w:rsidRPr="00B738AA">
        <w:rPr>
          <w:szCs w:val="24"/>
          <w:vertAlign w:val="superscript"/>
          <w:lang w:val="en-GB"/>
        </w:rPr>
        <w:t>+</w:t>
      </w:r>
      <w:r w:rsidRPr="00B738AA">
        <w:rPr>
          <w:szCs w:val="24"/>
          <w:lang w:val="en-GB"/>
        </w:rPr>
        <w:t xml:space="preserve"> T cells, </w:t>
      </w:r>
      <w:r w:rsidRPr="00B738AA">
        <w:rPr>
          <w:b/>
          <w:bCs/>
          <w:szCs w:val="24"/>
          <w:lang w:val="en-GB"/>
        </w:rPr>
        <w:t>(B)</w:t>
      </w:r>
      <w:r w:rsidRPr="00B738AA">
        <w:rPr>
          <w:szCs w:val="24"/>
          <w:lang w:val="en-GB"/>
        </w:rPr>
        <w:t xml:space="preserve"> CD8</w:t>
      </w:r>
      <w:r w:rsidRPr="00B738AA">
        <w:rPr>
          <w:szCs w:val="24"/>
          <w:vertAlign w:val="superscript"/>
          <w:lang w:val="en-GB"/>
        </w:rPr>
        <w:t>+</w:t>
      </w:r>
      <w:r w:rsidRPr="00B738AA">
        <w:rPr>
          <w:szCs w:val="24"/>
          <w:lang w:val="en-GB"/>
        </w:rPr>
        <w:t xml:space="preserve"> T cells, </w:t>
      </w:r>
      <w:r w:rsidRPr="00B738AA">
        <w:rPr>
          <w:b/>
          <w:bCs/>
          <w:szCs w:val="24"/>
          <w:lang w:val="en-GB"/>
        </w:rPr>
        <w:t>(C)</w:t>
      </w:r>
      <w:r w:rsidRPr="00B738AA">
        <w:rPr>
          <w:szCs w:val="24"/>
          <w:lang w:val="en-GB"/>
        </w:rPr>
        <w:t xml:space="preserve"> B cells, </w:t>
      </w:r>
      <w:r w:rsidRPr="00B738AA">
        <w:rPr>
          <w:b/>
          <w:bCs/>
          <w:szCs w:val="24"/>
          <w:lang w:val="en-GB"/>
        </w:rPr>
        <w:t xml:space="preserve">(D) </w:t>
      </w:r>
      <w:r w:rsidRPr="00B738AA">
        <w:rPr>
          <w:szCs w:val="24"/>
          <w:lang w:val="en-GB"/>
        </w:rPr>
        <w:t>CD14</w:t>
      </w:r>
      <w:r w:rsidRPr="00B738AA">
        <w:rPr>
          <w:szCs w:val="24"/>
          <w:vertAlign w:val="superscript"/>
          <w:lang w:val="en-GB"/>
        </w:rPr>
        <w:t>+</w:t>
      </w:r>
      <w:r w:rsidRPr="00B738AA">
        <w:rPr>
          <w:szCs w:val="24"/>
          <w:lang w:val="en-GB"/>
        </w:rPr>
        <w:t xml:space="preserve"> monocytes, and </w:t>
      </w:r>
      <w:r w:rsidRPr="00B738AA">
        <w:rPr>
          <w:b/>
          <w:bCs/>
          <w:szCs w:val="24"/>
          <w:lang w:val="en-GB"/>
        </w:rPr>
        <w:t xml:space="preserve">(E) </w:t>
      </w:r>
      <w:r w:rsidRPr="00B738AA">
        <w:rPr>
          <w:szCs w:val="24"/>
          <w:lang w:val="en-GB"/>
        </w:rPr>
        <w:t xml:space="preserve">NK cells. </w:t>
      </w:r>
      <w:r w:rsidRPr="00B738AA">
        <w:rPr>
          <w:b/>
          <w:bCs/>
          <w:szCs w:val="24"/>
          <w:lang w:val="en-GB"/>
        </w:rPr>
        <w:t>(F)</w:t>
      </w:r>
      <w:r w:rsidRPr="00B738AA">
        <w:rPr>
          <w:szCs w:val="24"/>
          <w:lang w:val="en-GB"/>
        </w:rPr>
        <w:t xml:space="preserve"> A similar staining was performed for PMNs incubated for 24 h with the inhibitors. Bars and error bars indicate mean + SD.  </w:t>
      </w:r>
    </w:p>
    <w:bookmarkEnd w:id="2"/>
    <w:p w14:paraId="52150C44" w14:textId="05C48EC0" w:rsidR="00DE23E8" w:rsidRDefault="00DE23E8" w:rsidP="00654E8F">
      <w:pPr>
        <w:spacing w:before="240"/>
        <w:rPr>
          <w:lang w:val="en-GB"/>
        </w:rPr>
      </w:pPr>
    </w:p>
    <w:p w14:paraId="60A50D47" w14:textId="0320E779" w:rsidR="00B738AA" w:rsidRDefault="00B738AA">
      <w:pPr>
        <w:spacing w:before="0" w:after="200" w:line="276" w:lineRule="auto"/>
        <w:rPr>
          <w:lang w:val="en-GB"/>
        </w:rPr>
      </w:pPr>
      <w:r>
        <w:rPr>
          <w:lang w:val="en-GB"/>
        </w:rPr>
        <w:br w:type="page"/>
      </w:r>
    </w:p>
    <w:p w14:paraId="4ED5C634" w14:textId="6008972D" w:rsidR="00B738AA" w:rsidRDefault="00B738AA" w:rsidP="00654E8F">
      <w:pPr>
        <w:spacing w:before="240"/>
        <w:rPr>
          <w:lang w:val="en-GB"/>
        </w:rPr>
      </w:pPr>
      <w:r>
        <w:rPr>
          <w:noProof/>
          <w:sz w:val="20"/>
          <w:szCs w:val="20"/>
          <w:lang w:val="en-GB"/>
        </w:rPr>
        <w:lastRenderedPageBreak/>
        <w:drawing>
          <wp:anchor distT="0" distB="0" distL="114300" distR="114300" simplePos="0" relativeHeight="251667456" behindDoc="0" locked="0" layoutInCell="1" allowOverlap="1" wp14:anchorId="77A36F67" wp14:editId="449C8193">
            <wp:simplePos x="0" y="0"/>
            <wp:positionH relativeFrom="margin">
              <wp:align>right</wp:align>
            </wp:positionH>
            <wp:positionV relativeFrom="paragraph">
              <wp:posOffset>51</wp:posOffset>
            </wp:positionV>
            <wp:extent cx="6208395" cy="3709670"/>
            <wp:effectExtent l="0" t="0" r="0" b="0"/>
            <wp:wrapSquare wrapText="bothSides"/>
            <wp:docPr id="12" name="Billede 12"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pFigure5.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08395" cy="3709670"/>
                    </a:xfrm>
                    <a:prstGeom prst="rect">
                      <a:avLst/>
                    </a:prstGeom>
                  </pic:spPr>
                </pic:pic>
              </a:graphicData>
            </a:graphic>
            <wp14:sizeRelH relativeFrom="page">
              <wp14:pctWidth>0</wp14:pctWidth>
            </wp14:sizeRelH>
            <wp14:sizeRelV relativeFrom="page">
              <wp14:pctHeight>0</wp14:pctHeight>
            </wp14:sizeRelV>
          </wp:anchor>
        </w:drawing>
      </w:r>
    </w:p>
    <w:p w14:paraId="79C9EA82" w14:textId="6039202F" w:rsidR="00B738AA" w:rsidRPr="00B738AA" w:rsidRDefault="00B738AA" w:rsidP="00B738AA">
      <w:pPr>
        <w:jc w:val="both"/>
        <w:rPr>
          <w:szCs w:val="24"/>
          <w:lang w:val="en-GB"/>
        </w:rPr>
      </w:pPr>
      <w:bookmarkStart w:id="3" w:name="_Hlk69981032"/>
      <w:r w:rsidRPr="00B738AA">
        <w:rPr>
          <w:b/>
          <w:bCs/>
          <w:szCs w:val="24"/>
          <w:lang w:val="en-GB"/>
        </w:rPr>
        <w:t xml:space="preserve">Supplementary figure </w:t>
      </w:r>
      <w:r w:rsidR="003A0C6C">
        <w:rPr>
          <w:b/>
          <w:bCs/>
          <w:szCs w:val="24"/>
          <w:lang w:val="en-GB"/>
        </w:rPr>
        <w:t>6</w:t>
      </w:r>
      <w:r w:rsidRPr="00B738AA">
        <w:rPr>
          <w:b/>
          <w:bCs/>
          <w:szCs w:val="24"/>
          <w:lang w:val="en-GB"/>
        </w:rPr>
        <w:t>. Effect of BB-Cl-amidine, AFM-30a and GSK199 on cell survival.</w:t>
      </w:r>
      <w:r w:rsidRPr="00B738AA">
        <w:rPr>
          <w:szCs w:val="24"/>
          <w:lang w:val="en-GB"/>
        </w:rPr>
        <w:t xml:space="preserve"> PBMCs from three healthy donors were cultured in presence of BB-Cl-amidine or a combination of AFM-30a and GSK199 at the given concentrations. DMSO was used as vehicle control (V). After 72 h of incubation, the percentage of live and dead cells was assessed by flow cytometry after staining with Annexin V and 7-AAD. The percentages of early apoptotic and dead cells are shown for </w:t>
      </w:r>
      <w:r w:rsidRPr="00B738AA">
        <w:rPr>
          <w:b/>
          <w:bCs/>
          <w:szCs w:val="24"/>
          <w:lang w:val="en-GB"/>
        </w:rPr>
        <w:t>(A)</w:t>
      </w:r>
      <w:r w:rsidRPr="00B738AA">
        <w:rPr>
          <w:szCs w:val="24"/>
          <w:lang w:val="en-GB"/>
        </w:rPr>
        <w:t xml:space="preserve"> CD4</w:t>
      </w:r>
      <w:r w:rsidRPr="00B738AA">
        <w:rPr>
          <w:szCs w:val="24"/>
          <w:vertAlign w:val="superscript"/>
          <w:lang w:val="en-GB"/>
        </w:rPr>
        <w:t>+</w:t>
      </w:r>
      <w:r w:rsidRPr="00B738AA">
        <w:rPr>
          <w:szCs w:val="24"/>
          <w:lang w:val="en-GB"/>
        </w:rPr>
        <w:t xml:space="preserve"> T cells, </w:t>
      </w:r>
      <w:r w:rsidRPr="00B738AA">
        <w:rPr>
          <w:b/>
          <w:bCs/>
          <w:szCs w:val="24"/>
          <w:lang w:val="en-GB"/>
        </w:rPr>
        <w:t>(B)</w:t>
      </w:r>
      <w:r w:rsidRPr="00B738AA">
        <w:rPr>
          <w:szCs w:val="24"/>
          <w:lang w:val="en-GB"/>
        </w:rPr>
        <w:t xml:space="preserve"> CD8</w:t>
      </w:r>
      <w:r w:rsidRPr="00B738AA">
        <w:rPr>
          <w:szCs w:val="24"/>
          <w:vertAlign w:val="superscript"/>
          <w:lang w:val="en-GB"/>
        </w:rPr>
        <w:t>+</w:t>
      </w:r>
      <w:r w:rsidRPr="00B738AA">
        <w:rPr>
          <w:szCs w:val="24"/>
          <w:lang w:val="en-GB"/>
        </w:rPr>
        <w:t xml:space="preserve"> T cells, </w:t>
      </w:r>
      <w:r w:rsidRPr="00B738AA">
        <w:rPr>
          <w:b/>
          <w:bCs/>
          <w:szCs w:val="24"/>
          <w:lang w:val="en-GB"/>
        </w:rPr>
        <w:t>(C)</w:t>
      </w:r>
      <w:r w:rsidRPr="00B738AA">
        <w:rPr>
          <w:szCs w:val="24"/>
          <w:lang w:val="en-GB"/>
        </w:rPr>
        <w:t xml:space="preserve"> B cells, </w:t>
      </w:r>
      <w:r w:rsidRPr="00B738AA">
        <w:rPr>
          <w:b/>
          <w:bCs/>
          <w:szCs w:val="24"/>
          <w:lang w:val="en-GB"/>
        </w:rPr>
        <w:t xml:space="preserve">(D) </w:t>
      </w:r>
      <w:r w:rsidRPr="00B738AA">
        <w:rPr>
          <w:szCs w:val="24"/>
          <w:lang w:val="en-GB"/>
        </w:rPr>
        <w:t>CD14</w:t>
      </w:r>
      <w:r w:rsidRPr="00B738AA">
        <w:rPr>
          <w:szCs w:val="24"/>
          <w:vertAlign w:val="superscript"/>
          <w:lang w:val="en-GB"/>
        </w:rPr>
        <w:t>+</w:t>
      </w:r>
      <w:r w:rsidRPr="00B738AA">
        <w:rPr>
          <w:szCs w:val="24"/>
          <w:lang w:val="en-GB"/>
        </w:rPr>
        <w:t xml:space="preserve"> monocytes, and </w:t>
      </w:r>
      <w:r w:rsidRPr="00B738AA">
        <w:rPr>
          <w:b/>
          <w:bCs/>
          <w:szCs w:val="24"/>
          <w:lang w:val="en-GB"/>
        </w:rPr>
        <w:t xml:space="preserve">(E) </w:t>
      </w:r>
      <w:r w:rsidRPr="00B738AA">
        <w:rPr>
          <w:szCs w:val="24"/>
          <w:lang w:val="en-GB"/>
        </w:rPr>
        <w:t xml:space="preserve">NK cells. Bars and error bars indicate mean + SD.  </w:t>
      </w:r>
    </w:p>
    <w:bookmarkEnd w:id="3"/>
    <w:p w14:paraId="205CC66E" w14:textId="4EF9CBB4" w:rsidR="00B738AA" w:rsidRPr="00B738AA" w:rsidRDefault="00B738AA" w:rsidP="00654E8F">
      <w:pPr>
        <w:spacing w:before="240"/>
        <w:rPr>
          <w:lang w:val="en-GB"/>
        </w:rPr>
      </w:pPr>
    </w:p>
    <w:sectPr w:rsidR="00B738AA" w:rsidRPr="00B738AA" w:rsidSect="0093429D">
      <w:headerReference w:type="even" r:id="rId14"/>
      <w:footerReference w:type="even" r:id="rId15"/>
      <w:footerReference w:type="default" r:id="rId16"/>
      <w:headerReference w:type="first" r:id="rId1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18E50" w14:textId="77777777" w:rsidR="00BA2E0E" w:rsidRDefault="00BA2E0E" w:rsidP="00117666">
      <w:pPr>
        <w:spacing w:after="0"/>
      </w:pPr>
      <w:r>
        <w:separator/>
      </w:r>
    </w:p>
  </w:endnote>
  <w:endnote w:type="continuationSeparator" w:id="0">
    <w:p w14:paraId="6285334B" w14:textId="77777777" w:rsidR="00BA2E0E" w:rsidRDefault="00BA2E0E"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24A08" w14:textId="77777777" w:rsidR="00BA2E0E" w:rsidRDefault="00BA2E0E" w:rsidP="00117666">
      <w:pPr>
        <w:spacing w:after="0"/>
      </w:pPr>
      <w:r>
        <w:separator/>
      </w:r>
    </w:p>
  </w:footnote>
  <w:footnote w:type="continuationSeparator" w:id="0">
    <w:p w14:paraId="7AA2FECC" w14:textId="77777777" w:rsidR="00BA2E0E" w:rsidRDefault="00BA2E0E"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0B27BB"/>
    <w:rsid w:val="00105FD9"/>
    <w:rsid w:val="00117666"/>
    <w:rsid w:val="001549D3"/>
    <w:rsid w:val="00160065"/>
    <w:rsid w:val="00177D84"/>
    <w:rsid w:val="00267D18"/>
    <w:rsid w:val="00274347"/>
    <w:rsid w:val="002868E2"/>
    <w:rsid w:val="002869C3"/>
    <w:rsid w:val="002936E4"/>
    <w:rsid w:val="002B4A57"/>
    <w:rsid w:val="002C74CA"/>
    <w:rsid w:val="003123F4"/>
    <w:rsid w:val="003544FB"/>
    <w:rsid w:val="003A0C6C"/>
    <w:rsid w:val="003D2F2D"/>
    <w:rsid w:val="00401590"/>
    <w:rsid w:val="00447801"/>
    <w:rsid w:val="00452E9C"/>
    <w:rsid w:val="004735C8"/>
    <w:rsid w:val="004947A6"/>
    <w:rsid w:val="004961FF"/>
    <w:rsid w:val="00517A89"/>
    <w:rsid w:val="005250F2"/>
    <w:rsid w:val="00593EEA"/>
    <w:rsid w:val="005A5EEE"/>
    <w:rsid w:val="00613724"/>
    <w:rsid w:val="006375C7"/>
    <w:rsid w:val="00654E8F"/>
    <w:rsid w:val="00660D05"/>
    <w:rsid w:val="006820B1"/>
    <w:rsid w:val="006B7D14"/>
    <w:rsid w:val="00701727"/>
    <w:rsid w:val="0070566C"/>
    <w:rsid w:val="00714C50"/>
    <w:rsid w:val="00725A7D"/>
    <w:rsid w:val="007501BE"/>
    <w:rsid w:val="0078491B"/>
    <w:rsid w:val="00790BB3"/>
    <w:rsid w:val="007C206C"/>
    <w:rsid w:val="00817DD6"/>
    <w:rsid w:val="0083759F"/>
    <w:rsid w:val="00885156"/>
    <w:rsid w:val="009151AA"/>
    <w:rsid w:val="0093429D"/>
    <w:rsid w:val="00943573"/>
    <w:rsid w:val="00964134"/>
    <w:rsid w:val="00970F7D"/>
    <w:rsid w:val="00994A3D"/>
    <w:rsid w:val="009C2B12"/>
    <w:rsid w:val="00A037FF"/>
    <w:rsid w:val="00A174D9"/>
    <w:rsid w:val="00AA4D24"/>
    <w:rsid w:val="00AB6715"/>
    <w:rsid w:val="00AE476E"/>
    <w:rsid w:val="00B1671E"/>
    <w:rsid w:val="00B25EB8"/>
    <w:rsid w:val="00B37F4D"/>
    <w:rsid w:val="00B738AA"/>
    <w:rsid w:val="00BA2E0E"/>
    <w:rsid w:val="00BB4739"/>
    <w:rsid w:val="00C52A7B"/>
    <w:rsid w:val="00C56BAF"/>
    <w:rsid w:val="00C679AA"/>
    <w:rsid w:val="00C75972"/>
    <w:rsid w:val="00CD066B"/>
    <w:rsid w:val="00CE4FEE"/>
    <w:rsid w:val="00CF6987"/>
    <w:rsid w:val="00D060CF"/>
    <w:rsid w:val="00DB59C3"/>
    <w:rsid w:val="00DC259A"/>
    <w:rsid w:val="00DE23E8"/>
    <w:rsid w:val="00E52377"/>
    <w:rsid w:val="00E537A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78452F7-C841-43CD-982E-ACFE4E81B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6</Pages>
  <Words>688</Words>
  <Characters>3927</Characters>
  <Application>Microsoft Office Word</Application>
  <DocSecurity>0</DocSecurity>
  <Lines>32</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Megan Bond</cp:lastModifiedBy>
  <cp:revision>2</cp:revision>
  <cp:lastPrinted>2013-10-03T12:51:00Z</cp:lastPrinted>
  <dcterms:created xsi:type="dcterms:W3CDTF">2021-09-20T08:58:00Z</dcterms:created>
  <dcterms:modified xsi:type="dcterms:W3CDTF">2021-09-20T08:58:00Z</dcterms:modified>
</cp:coreProperties>
</file>