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424"/>
        <w:gridCol w:w="709"/>
        <w:gridCol w:w="1018"/>
        <w:gridCol w:w="610"/>
        <w:gridCol w:w="1491"/>
        <w:gridCol w:w="449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79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Table S1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The clinical characteristics of GBM patients in TCGA cohort.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02" w:type="dxa"/>
            <w:gridSpan w:val="2"/>
            <w:vMerge w:val="restart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Characteristic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Risk score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</w:rPr>
              <w:t xml:space="preserve">P 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02" w:type="dxa"/>
            <w:gridSpan w:val="2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Low (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n</w:t>
            </w:r>
            <w:r>
              <w:rPr>
                <w:rFonts w:ascii="Calibri" w:hAnsi="Calibri" w:eastAsia="Times New Roman" w:cs="Calibri"/>
                <w:color w:val="000000"/>
              </w:rPr>
              <w:t>=77)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High (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n</w:t>
            </w:r>
            <w:r>
              <w:rPr>
                <w:rFonts w:ascii="Calibri" w:hAnsi="Calibri" w:eastAsia="Times New Roman" w:cs="Calibri"/>
                <w:color w:val="000000"/>
              </w:rPr>
              <w:t>=76)</w:t>
            </w: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Gender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0.241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 (62.34%)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 (63.16%)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Female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 (32.47%)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 (31.58%)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4 (5.19%)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4 (5.26%)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Age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0.549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&gt;60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 (44.16%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 (50.00%)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≤60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39 (50.65%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 (44.74%)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4 (5.19%)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4 (5.26%)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Expression subtypes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0.003</w:t>
            </w:r>
            <w:r>
              <w:rPr>
                <w:rFonts w:ascii="Calibri" w:hAnsi="Calibri" w:eastAsia="Times New Roman" w:cs="Calibri"/>
                <w:i/>
                <w:iCs/>
                <w:sz w:val="28"/>
                <w:szCs w:val="28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 (28.57%)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 (34.21%)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No-Mes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42 (54.55%)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40 (52.63%)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 (16.88%)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 (16.16%)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IDH1 status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0.002</w:t>
            </w:r>
            <w:r>
              <w:rPr>
                <w:rFonts w:ascii="Calibri" w:hAnsi="Calibri" w:eastAsia="Times New Roman" w:cs="Calibri"/>
                <w:i/>
                <w:iCs/>
                <w:sz w:val="28"/>
                <w:szCs w:val="28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Mutation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 (12.99%)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0 (0%)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Wild type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61 (79.22%)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70 (92.11%)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6 (7.79%)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6 (7.89%)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MGMT status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0.003</w:t>
            </w:r>
            <w:r>
              <w:rPr>
                <w:rFonts w:ascii="Calibri" w:hAnsi="Calibri" w:eastAsia="Times New Roman" w:cs="Calibri"/>
                <w:i/>
                <w:iCs/>
                <w:sz w:val="28"/>
                <w:szCs w:val="28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Methylated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 (36.36%)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 (25.00%)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Unmethylated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 (37.66%)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 (47.37%)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 (25.97%)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 (27.63%)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Radiotherapy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0.295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67 (87.01%)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61 (80.26%)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8 (10.39%)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 (14.47%)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2 (2.60%)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4 (5.26%)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Chemotherapy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</w:rPr>
              <w:t>0.4435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55 (71.43%)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49 (64.47%)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No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 (24.68%)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 (27.63%)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3 (3.90%)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  6 (7.89%)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76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Abbreviations: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IDH1, isocitrate dehydrogenase 1; MGMT, O(6)-methylguanine-DNA</w:t>
            </w:r>
            <w:r>
              <w:rPr>
                <w:rFonts w:hint="eastAsia" w:ascii="Calibri" w:hAnsi="Calibri" w:eastAsia="宋体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>methyltransferase.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 xml:space="preserve"> ** P </w:t>
            </w:r>
            <w:r>
              <w:rPr>
                <w:rFonts w:ascii="Calibri" w:hAnsi="Calibri" w:eastAsia="Times New Roman" w:cs="Calibri"/>
                <w:color w:val="000000"/>
              </w:rPr>
              <w:t>&lt;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</w:rPr>
              <w:t>0.01</w:t>
            </w:r>
            <w:r>
              <w:rPr>
                <w:rFonts w:ascii="Calibri" w:hAnsi="Calibri" w:eastAsia="Times New Roman" w:cs="Calibri"/>
                <w:i/>
                <w:iCs/>
                <w:color w:val="000000"/>
              </w:rPr>
              <w:t>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E4C04"/>
    <w:rsid w:val="008B17DE"/>
    <w:rsid w:val="0AE05CB4"/>
    <w:rsid w:val="0CC90122"/>
    <w:rsid w:val="0EB02E5A"/>
    <w:rsid w:val="4ACE4C04"/>
    <w:rsid w:val="659336A6"/>
    <w:rsid w:val="76C839D3"/>
    <w:rsid w:val="78E46C1D"/>
    <w:rsid w:val="7F6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2021-08-17T06:30:00Z</dcterms:created>
  <dc:creator>S_</dc:creator>
  <cp:lastModifiedBy>S_</cp:lastModifiedBy>
  <dcterms:modified xsi:type="dcterms:W3CDTF">2021-09-17T02:05:08Z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1CC3B1B13DC3423F952136FC066B007D</vt:lpwstr>
  </property>
</Properties>
</file>