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77FA" w14:textId="77777777" w:rsidR="00183B28" w:rsidRDefault="00DA1E3D">
      <w:pPr>
        <w:pBdr>
          <w:top w:val="nil"/>
          <w:left w:val="nil"/>
          <w:bottom w:val="nil"/>
          <w:right w:val="nil"/>
          <w:between w:val="nil"/>
        </w:pBdr>
        <w:spacing w:before="240" w:after="120"/>
        <w:jc w:val="center"/>
        <w:rPr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Supplementary Material</w:t>
      </w:r>
    </w:p>
    <w:p w14:paraId="26C2ACA1" w14:textId="77777777" w:rsidR="00183B28" w:rsidRDefault="00DA1E3D">
      <w:pPr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</w:rPr>
        <w:t>Supplementary Figures</w:t>
      </w:r>
    </w:p>
    <w:p w14:paraId="15656B3E" w14:textId="77777777" w:rsidR="00183B28" w:rsidRDefault="00DA1E3D">
      <w:pPr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Figure S1. PRISMA flow diagram of the HD systematic review. </w:t>
      </w:r>
      <w:r>
        <w:rPr>
          <w:color w:val="000000"/>
          <w:sz w:val="22"/>
          <w:szCs w:val="22"/>
        </w:rPr>
        <w:t>The number of articles or datasets that remained after each phase of the screening is indicated in the box.</w:t>
      </w:r>
    </w:p>
    <w:p w14:paraId="6ECFD953" w14:textId="77777777" w:rsidR="00183B28" w:rsidRDefault="00DA1E3D">
      <w:pPr>
        <w:spacing w:line="276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Figure S2. Hierarchical clustering dendrogram of 44 human HD datasets.</w:t>
      </w:r>
      <w:r>
        <w:rPr>
          <w:color w:val="000000"/>
          <w:sz w:val="22"/>
          <w:szCs w:val="22"/>
        </w:rPr>
        <w:t xml:space="preserve"> 44 human HD datasets were hierarchically clustered based on similarity in gen</w:t>
      </w:r>
      <w:r>
        <w:rPr>
          <w:color w:val="000000"/>
          <w:sz w:val="22"/>
          <w:szCs w:val="22"/>
        </w:rPr>
        <w:t xml:space="preserve">e expression </w:t>
      </w:r>
      <w:proofErr w:type="spellStart"/>
      <w:r>
        <w:rPr>
          <w:color w:val="000000"/>
          <w:sz w:val="22"/>
          <w:szCs w:val="22"/>
        </w:rPr>
        <w:t>LogFC</w:t>
      </w:r>
      <w:proofErr w:type="spellEnd"/>
      <w:r>
        <w:rPr>
          <w:color w:val="000000"/>
          <w:sz w:val="22"/>
          <w:szCs w:val="22"/>
        </w:rPr>
        <w:t xml:space="preserve"> between HD and control samples. Height, or the distance metric between nodes, was calculated with the </w:t>
      </w:r>
      <w:proofErr w:type="spellStart"/>
      <w:proofErr w:type="gramStart"/>
      <w:r>
        <w:rPr>
          <w:color w:val="000000"/>
          <w:sz w:val="22"/>
          <w:szCs w:val="22"/>
        </w:rPr>
        <w:t>ward.D</w:t>
      </w:r>
      <w:proofErr w:type="spellEnd"/>
      <w:proofErr w:type="gramEnd"/>
      <w:r>
        <w:rPr>
          <w:color w:val="000000"/>
          <w:sz w:val="22"/>
          <w:szCs w:val="22"/>
        </w:rPr>
        <w:t xml:space="preserve"> method. Abbreviations: </w:t>
      </w:r>
      <w:proofErr w:type="spellStart"/>
      <w:r>
        <w:rPr>
          <w:color w:val="333333"/>
          <w:sz w:val="22"/>
          <w:szCs w:val="22"/>
          <w:highlight w:val="white"/>
        </w:rPr>
        <w:t>CPu</w:t>
      </w:r>
      <w:proofErr w:type="spellEnd"/>
      <w:r>
        <w:rPr>
          <w:color w:val="333333"/>
          <w:sz w:val="22"/>
          <w:szCs w:val="22"/>
          <w:highlight w:val="white"/>
        </w:rPr>
        <w:t xml:space="preserve">, caudate putamen; </w:t>
      </w:r>
      <w:proofErr w:type="spellStart"/>
      <w:r>
        <w:rPr>
          <w:color w:val="333333"/>
          <w:sz w:val="22"/>
          <w:szCs w:val="22"/>
          <w:highlight w:val="white"/>
        </w:rPr>
        <w:t>astro</w:t>
      </w:r>
      <w:proofErr w:type="spellEnd"/>
      <w:r>
        <w:rPr>
          <w:color w:val="333333"/>
          <w:sz w:val="22"/>
          <w:szCs w:val="22"/>
          <w:highlight w:val="white"/>
        </w:rPr>
        <w:t xml:space="preserve">, astrocyte; </w:t>
      </w:r>
      <w:proofErr w:type="spellStart"/>
      <w:r>
        <w:rPr>
          <w:color w:val="333333"/>
          <w:sz w:val="22"/>
          <w:szCs w:val="22"/>
          <w:highlight w:val="white"/>
        </w:rPr>
        <w:t>epen</w:t>
      </w:r>
      <w:proofErr w:type="spellEnd"/>
      <w:r>
        <w:rPr>
          <w:color w:val="333333"/>
          <w:sz w:val="22"/>
          <w:szCs w:val="22"/>
          <w:highlight w:val="white"/>
        </w:rPr>
        <w:t xml:space="preserve">, ependymal; endo, endothelial; IN, interneuron; PT, </w:t>
      </w:r>
      <w:proofErr w:type="spellStart"/>
      <w:r>
        <w:rPr>
          <w:color w:val="333333"/>
          <w:sz w:val="22"/>
          <w:szCs w:val="22"/>
          <w:highlight w:val="white"/>
        </w:rPr>
        <w:t>Pvalb</w:t>
      </w:r>
      <w:proofErr w:type="spellEnd"/>
      <w:r>
        <w:rPr>
          <w:color w:val="333333"/>
          <w:sz w:val="22"/>
          <w:szCs w:val="22"/>
          <w:highlight w:val="white"/>
        </w:rPr>
        <w:t>/Th</w:t>
      </w:r>
      <w:r>
        <w:rPr>
          <w:color w:val="333333"/>
          <w:sz w:val="22"/>
          <w:szCs w:val="22"/>
          <w:highlight w:val="white"/>
        </w:rPr>
        <w:t xml:space="preserve">-expressing; </w:t>
      </w:r>
      <w:proofErr w:type="spellStart"/>
      <w:r>
        <w:rPr>
          <w:color w:val="333333"/>
          <w:sz w:val="22"/>
          <w:szCs w:val="22"/>
          <w:highlight w:val="white"/>
        </w:rPr>
        <w:t>iMSN</w:t>
      </w:r>
      <w:proofErr w:type="spellEnd"/>
      <w:r>
        <w:rPr>
          <w:color w:val="333333"/>
          <w:sz w:val="22"/>
          <w:szCs w:val="22"/>
          <w:highlight w:val="white"/>
        </w:rPr>
        <w:t>/</w:t>
      </w:r>
      <w:proofErr w:type="spellStart"/>
      <w:r>
        <w:rPr>
          <w:color w:val="333333"/>
          <w:sz w:val="22"/>
          <w:szCs w:val="22"/>
          <w:highlight w:val="white"/>
        </w:rPr>
        <w:t>dMSN</w:t>
      </w:r>
      <w:proofErr w:type="spellEnd"/>
      <w:r>
        <w:rPr>
          <w:color w:val="333333"/>
          <w:sz w:val="22"/>
          <w:szCs w:val="22"/>
          <w:highlight w:val="white"/>
        </w:rPr>
        <w:t xml:space="preserve">, indirect/direct pathway medium spiny neuron; MNS, MAP2+ and NES/SOX2-; OPC, oligodendrocyte progenitor cell; oligo, oligodendrocyte; micro, microglia; NSC, neural stem cell; Cg, cingulate cortex; FON, Foxp2/Olfm3-expressing neuron; </w:t>
      </w:r>
      <w:r>
        <w:rPr>
          <w:color w:val="333333"/>
          <w:sz w:val="22"/>
          <w:szCs w:val="22"/>
          <w:highlight w:val="white"/>
        </w:rPr>
        <w:t xml:space="preserve">SN, </w:t>
      </w:r>
      <w:proofErr w:type="spellStart"/>
      <w:r>
        <w:rPr>
          <w:color w:val="333333"/>
          <w:sz w:val="22"/>
          <w:szCs w:val="22"/>
          <w:highlight w:val="white"/>
        </w:rPr>
        <w:t>Sst</w:t>
      </w:r>
      <w:proofErr w:type="spellEnd"/>
      <w:r>
        <w:rPr>
          <w:color w:val="333333"/>
          <w:sz w:val="22"/>
          <w:szCs w:val="22"/>
          <w:highlight w:val="white"/>
        </w:rPr>
        <w:t>/</w:t>
      </w:r>
      <w:proofErr w:type="spellStart"/>
      <w:r>
        <w:rPr>
          <w:color w:val="333333"/>
          <w:sz w:val="22"/>
          <w:szCs w:val="22"/>
          <w:highlight w:val="white"/>
        </w:rPr>
        <w:t>Npy</w:t>
      </w:r>
      <w:proofErr w:type="spellEnd"/>
      <w:r>
        <w:rPr>
          <w:color w:val="333333"/>
          <w:sz w:val="22"/>
          <w:szCs w:val="22"/>
          <w:highlight w:val="white"/>
        </w:rPr>
        <w:t xml:space="preserve">-expressing; mono, monocyte; NPC, neural progenitor cell; </w:t>
      </w:r>
      <w:proofErr w:type="spellStart"/>
      <w:r>
        <w:rPr>
          <w:color w:val="333333"/>
          <w:sz w:val="22"/>
          <w:szCs w:val="22"/>
          <w:highlight w:val="white"/>
        </w:rPr>
        <w:t>CoNeuron</w:t>
      </w:r>
      <w:proofErr w:type="spellEnd"/>
      <w:r>
        <w:rPr>
          <w:color w:val="333333"/>
          <w:sz w:val="22"/>
          <w:szCs w:val="22"/>
          <w:highlight w:val="white"/>
        </w:rPr>
        <w:t xml:space="preserve">, cortical neuron; Cd, caudate nucleus; pre, </w:t>
      </w:r>
      <w:proofErr w:type="spellStart"/>
      <w:r>
        <w:rPr>
          <w:color w:val="333333"/>
          <w:sz w:val="22"/>
          <w:szCs w:val="22"/>
          <w:highlight w:val="white"/>
        </w:rPr>
        <w:t>presymptomatic</w:t>
      </w:r>
      <w:proofErr w:type="spellEnd"/>
      <w:r>
        <w:rPr>
          <w:color w:val="333333"/>
          <w:sz w:val="22"/>
          <w:szCs w:val="22"/>
          <w:highlight w:val="white"/>
        </w:rPr>
        <w:t>; GPC, glial progenitor cell; APC, astrocyte precursor cell; BBB, blood brain barrier.</w:t>
      </w:r>
    </w:p>
    <w:p w14:paraId="36D14102" w14:textId="77777777" w:rsidR="00183B28" w:rsidRDefault="00DA1E3D">
      <w:pPr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2"/>
          <w:szCs w:val="22"/>
        </w:rPr>
        <w:t>Figure S3. Overlap heatmap of exh</w:t>
      </w:r>
      <w:r>
        <w:rPr>
          <w:b/>
          <w:color w:val="000000"/>
          <w:sz w:val="22"/>
          <w:szCs w:val="22"/>
        </w:rPr>
        <w:t xml:space="preserve">austive pairwise comparisons between 44 human HD DEG lists. </w:t>
      </w:r>
      <w:r>
        <w:rPr>
          <w:color w:val="000000"/>
          <w:sz w:val="22"/>
          <w:szCs w:val="22"/>
        </w:rPr>
        <w:t>The number of overlapping DEGs is printed in the square, and the Fisher’s exact test p-value of the overlap is indicated by the color of the square. Note that the background gene set is not availa</w:t>
      </w:r>
      <w:r>
        <w:rPr>
          <w:color w:val="000000"/>
          <w:sz w:val="22"/>
          <w:szCs w:val="22"/>
        </w:rPr>
        <w:t xml:space="preserve">ble for datasets </w:t>
      </w:r>
      <w:proofErr w:type="spellStart"/>
      <w:r>
        <w:rPr>
          <w:color w:val="000000"/>
          <w:sz w:val="22"/>
          <w:szCs w:val="22"/>
        </w:rPr>
        <w:t>Smith_hiPSC_MSN_NSC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Smith_hiPSC_MSN_MNS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Al_Cg_astro</w:t>
      </w:r>
      <w:proofErr w:type="spellEnd"/>
      <w:r>
        <w:rPr>
          <w:color w:val="000000"/>
          <w:sz w:val="22"/>
          <w:szCs w:val="22"/>
        </w:rPr>
        <w:t xml:space="preserve"> and </w:t>
      </w:r>
      <w:proofErr w:type="spellStart"/>
      <w:r>
        <w:rPr>
          <w:color w:val="000000"/>
          <w:sz w:val="22"/>
          <w:szCs w:val="22"/>
        </w:rPr>
        <w:t>Al_Cg_neuronal</w:t>
      </w:r>
      <w:proofErr w:type="spellEnd"/>
      <w:r>
        <w:rPr>
          <w:color w:val="000000"/>
          <w:sz w:val="22"/>
          <w:szCs w:val="22"/>
        </w:rPr>
        <w:t xml:space="preserve">, and thereby no valid p values for comparisons involving these 4 datasets. Abbreviations: </w:t>
      </w:r>
      <w:proofErr w:type="spellStart"/>
      <w:r>
        <w:rPr>
          <w:color w:val="333333"/>
          <w:sz w:val="22"/>
          <w:szCs w:val="22"/>
          <w:highlight w:val="white"/>
        </w:rPr>
        <w:t>CPu</w:t>
      </w:r>
      <w:proofErr w:type="spellEnd"/>
      <w:r>
        <w:rPr>
          <w:color w:val="333333"/>
          <w:sz w:val="22"/>
          <w:szCs w:val="22"/>
          <w:highlight w:val="white"/>
        </w:rPr>
        <w:t xml:space="preserve">, caudate putamen; </w:t>
      </w:r>
      <w:proofErr w:type="spellStart"/>
      <w:r>
        <w:rPr>
          <w:color w:val="333333"/>
          <w:sz w:val="22"/>
          <w:szCs w:val="22"/>
          <w:highlight w:val="white"/>
        </w:rPr>
        <w:t>astro</w:t>
      </w:r>
      <w:proofErr w:type="spellEnd"/>
      <w:r>
        <w:rPr>
          <w:color w:val="333333"/>
          <w:sz w:val="22"/>
          <w:szCs w:val="22"/>
          <w:highlight w:val="white"/>
        </w:rPr>
        <w:t xml:space="preserve">, astrocyte; </w:t>
      </w:r>
      <w:proofErr w:type="spellStart"/>
      <w:r>
        <w:rPr>
          <w:color w:val="333333"/>
          <w:sz w:val="22"/>
          <w:szCs w:val="22"/>
          <w:highlight w:val="white"/>
        </w:rPr>
        <w:t>epen</w:t>
      </w:r>
      <w:proofErr w:type="spellEnd"/>
      <w:r>
        <w:rPr>
          <w:color w:val="333333"/>
          <w:sz w:val="22"/>
          <w:szCs w:val="22"/>
          <w:highlight w:val="white"/>
        </w:rPr>
        <w:t xml:space="preserve">, ependymal; endo, endothelial; </w:t>
      </w:r>
      <w:r>
        <w:rPr>
          <w:color w:val="333333"/>
          <w:sz w:val="22"/>
          <w:szCs w:val="22"/>
          <w:highlight w:val="white"/>
        </w:rPr>
        <w:t xml:space="preserve">IN, interneuron; PT, </w:t>
      </w:r>
      <w:proofErr w:type="spellStart"/>
      <w:r>
        <w:rPr>
          <w:color w:val="333333"/>
          <w:sz w:val="22"/>
          <w:szCs w:val="22"/>
          <w:highlight w:val="white"/>
        </w:rPr>
        <w:t>Pvalb</w:t>
      </w:r>
      <w:proofErr w:type="spellEnd"/>
      <w:r>
        <w:rPr>
          <w:color w:val="333333"/>
          <w:sz w:val="22"/>
          <w:szCs w:val="22"/>
          <w:highlight w:val="white"/>
        </w:rPr>
        <w:t xml:space="preserve">/Th-expressing; </w:t>
      </w:r>
      <w:proofErr w:type="spellStart"/>
      <w:r>
        <w:rPr>
          <w:color w:val="333333"/>
          <w:sz w:val="22"/>
          <w:szCs w:val="22"/>
          <w:highlight w:val="white"/>
        </w:rPr>
        <w:t>iMSN</w:t>
      </w:r>
      <w:proofErr w:type="spellEnd"/>
      <w:r>
        <w:rPr>
          <w:color w:val="333333"/>
          <w:sz w:val="22"/>
          <w:szCs w:val="22"/>
          <w:highlight w:val="white"/>
        </w:rPr>
        <w:t>/</w:t>
      </w:r>
      <w:proofErr w:type="spellStart"/>
      <w:r>
        <w:rPr>
          <w:color w:val="333333"/>
          <w:sz w:val="22"/>
          <w:szCs w:val="22"/>
          <w:highlight w:val="white"/>
        </w:rPr>
        <w:t>dMSN</w:t>
      </w:r>
      <w:proofErr w:type="spellEnd"/>
      <w:r>
        <w:rPr>
          <w:color w:val="333333"/>
          <w:sz w:val="22"/>
          <w:szCs w:val="22"/>
          <w:highlight w:val="white"/>
        </w:rPr>
        <w:t>, indirect/direct pathway medium spiny neuron; MNS, MAP2+ and NES/SOX2-; OPC, oligodendrocyte progenitor cell; oligo, oligodendrocyte; micro, microglia; NSC, neural stem cell; Cg, cingulate cortex; FON, Fo</w:t>
      </w:r>
      <w:r>
        <w:rPr>
          <w:color w:val="333333"/>
          <w:sz w:val="22"/>
          <w:szCs w:val="22"/>
          <w:highlight w:val="white"/>
        </w:rPr>
        <w:t xml:space="preserve">xp2/Olfm3-expressing neuron; SN, </w:t>
      </w:r>
      <w:proofErr w:type="spellStart"/>
      <w:r>
        <w:rPr>
          <w:color w:val="333333"/>
          <w:sz w:val="22"/>
          <w:szCs w:val="22"/>
          <w:highlight w:val="white"/>
        </w:rPr>
        <w:t>Sst</w:t>
      </w:r>
      <w:proofErr w:type="spellEnd"/>
      <w:r>
        <w:rPr>
          <w:color w:val="333333"/>
          <w:sz w:val="22"/>
          <w:szCs w:val="22"/>
          <w:highlight w:val="white"/>
        </w:rPr>
        <w:t>/</w:t>
      </w:r>
      <w:proofErr w:type="spellStart"/>
      <w:r>
        <w:rPr>
          <w:color w:val="333333"/>
          <w:sz w:val="22"/>
          <w:szCs w:val="22"/>
          <w:highlight w:val="white"/>
        </w:rPr>
        <w:t>Npy</w:t>
      </w:r>
      <w:proofErr w:type="spellEnd"/>
      <w:r>
        <w:rPr>
          <w:color w:val="333333"/>
          <w:sz w:val="22"/>
          <w:szCs w:val="22"/>
          <w:highlight w:val="white"/>
        </w:rPr>
        <w:t xml:space="preserve">-expressing; mono, monocyte; NPC, neural progenitor cell; </w:t>
      </w:r>
      <w:proofErr w:type="spellStart"/>
      <w:r>
        <w:rPr>
          <w:color w:val="333333"/>
          <w:sz w:val="22"/>
          <w:szCs w:val="22"/>
          <w:highlight w:val="white"/>
        </w:rPr>
        <w:t>CoNeuron</w:t>
      </w:r>
      <w:proofErr w:type="spellEnd"/>
      <w:r>
        <w:rPr>
          <w:color w:val="333333"/>
          <w:sz w:val="22"/>
          <w:szCs w:val="22"/>
          <w:highlight w:val="white"/>
        </w:rPr>
        <w:t xml:space="preserve">, cortical neuron; Cd, caudate nucleus; pre, </w:t>
      </w:r>
      <w:proofErr w:type="spellStart"/>
      <w:r>
        <w:rPr>
          <w:color w:val="333333"/>
          <w:sz w:val="22"/>
          <w:szCs w:val="22"/>
          <w:highlight w:val="white"/>
        </w:rPr>
        <w:t>presymptomatic</w:t>
      </w:r>
      <w:proofErr w:type="spellEnd"/>
      <w:r>
        <w:rPr>
          <w:color w:val="333333"/>
          <w:sz w:val="22"/>
          <w:szCs w:val="22"/>
          <w:highlight w:val="white"/>
        </w:rPr>
        <w:t>; GPC, glial progenitor cell; APC, astrocyte precursor cell; BBB, blood brain barrier.</w:t>
      </w:r>
    </w:p>
    <w:p w14:paraId="14B7CD4F" w14:textId="77777777" w:rsidR="00183B28" w:rsidRDefault="00DA1E3D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Figu</w:t>
      </w:r>
      <w:r>
        <w:rPr>
          <w:b/>
          <w:color w:val="000000"/>
          <w:sz w:val="22"/>
          <w:szCs w:val="22"/>
        </w:rPr>
        <w:t xml:space="preserve">re S4. </w:t>
      </w:r>
      <w:proofErr w:type="spellStart"/>
      <w:r>
        <w:rPr>
          <w:b/>
          <w:color w:val="000000"/>
          <w:sz w:val="22"/>
          <w:szCs w:val="22"/>
        </w:rPr>
        <w:t>LogFC</w:t>
      </w:r>
      <w:proofErr w:type="spellEnd"/>
      <w:r>
        <w:rPr>
          <w:b/>
          <w:color w:val="000000"/>
          <w:sz w:val="22"/>
          <w:szCs w:val="22"/>
        </w:rPr>
        <w:t xml:space="preserve"> heatmap of HD marker genes from </w:t>
      </w:r>
      <w:proofErr w:type="spellStart"/>
      <w:r>
        <w:rPr>
          <w:b/>
          <w:color w:val="000000"/>
          <w:sz w:val="22"/>
          <w:szCs w:val="22"/>
        </w:rPr>
        <w:t>Vashishtha</w:t>
      </w:r>
      <w:proofErr w:type="spellEnd"/>
      <w:r>
        <w:rPr>
          <w:b/>
          <w:color w:val="000000"/>
          <w:sz w:val="22"/>
          <w:szCs w:val="22"/>
        </w:rPr>
        <w:t xml:space="preserve"> et al. 2013 in 44 human HD datasets. </w:t>
      </w:r>
      <w:r>
        <w:rPr>
          <w:color w:val="000000"/>
          <w:sz w:val="22"/>
          <w:szCs w:val="22"/>
        </w:rPr>
        <w:t xml:space="preserve">Each column is a HD dataset, each row is a HD marker gene. Both the HD datasets and the HD marker genes are clustered hierarchically. Abbreviations: </w:t>
      </w:r>
      <w:proofErr w:type="spellStart"/>
      <w:r>
        <w:rPr>
          <w:color w:val="333333"/>
          <w:sz w:val="22"/>
          <w:szCs w:val="22"/>
          <w:highlight w:val="white"/>
        </w:rPr>
        <w:t>CPu</w:t>
      </w:r>
      <w:proofErr w:type="spellEnd"/>
      <w:r>
        <w:rPr>
          <w:color w:val="333333"/>
          <w:sz w:val="22"/>
          <w:szCs w:val="22"/>
          <w:highlight w:val="white"/>
        </w:rPr>
        <w:t>, caudate p</w:t>
      </w:r>
      <w:r>
        <w:rPr>
          <w:color w:val="333333"/>
          <w:sz w:val="22"/>
          <w:szCs w:val="22"/>
          <w:highlight w:val="white"/>
        </w:rPr>
        <w:t xml:space="preserve">utamen; </w:t>
      </w:r>
      <w:proofErr w:type="spellStart"/>
      <w:r>
        <w:rPr>
          <w:color w:val="333333"/>
          <w:sz w:val="22"/>
          <w:szCs w:val="22"/>
          <w:highlight w:val="white"/>
        </w:rPr>
        <w:t>astro</w:t>
      </w:r>
      <w:proofErr w:type="spellEnd"/>
      <w:r>
        <w:rPr>
          <w:color w:val="333333"/>
          <w:sz w:val="22"/>
          <w:szCs w:val="22"/>
          <w:highlight w:val="white"/>
        </w:rPr>
        <w:t xml:space="preserve">, astrocyte; </w:t>
      </w:r>
      <w:proofErr w:type="spellStart"/>
      <w:r>
        <w:rPr>
          <w:color w:val="333333"/>
          <w:sz w:val="22"/>
          <w:szCs w:val="22"/>
          <w:highlight w:val="white"/>
        </w:rPr>
        <w:t>epen</w:t>
      </w:r>
      <w:proofErr w:type="spellEnd"/>
      <w:r>
        <w:rPr>
          <w:color w:val="333333"/>
          <w:sz w:val="22"/>
          <w:szCs w:val="22"/>
          <w:highlight w:val="white"/>
        </w:rPr>
        <w:t xml:space="preserve">, ependymal; endo, endothelial; IN, interneuron; PT, </w:t>
      </w:r>
      <w:proofErr w:type="spellStart"/>
      <w:r>
        <w:rPr>
          <w:color w:val="333333"/>
          <w:sz w:val="22"/>
          <w:szCs w:val="22"/>
          <w:highlight w:val="white"/>
        </w:rPr>
        <w:t>Pvalb</w:t>
      </w:r>
      <w:proofErr w:type="spellEnd"/>
      <w:r>
        <w:rPr>
          <w:color w:val="333333"/>
          <w:sz w:val="22"/>
          <w:szCs w:val="22"/>
          <w:highlight w:val="white"/>
        </w:rPr>
        <w:t xml:space="preserve">/Th-expressing; </w:t>
      </w:r>
      <w:proofErr w:type="spellStart"/>
      <w:r>
        <w:rPr>
          <w:color w:val="333333"/>
          <w:sz w:val="22"/>
          <w:szCs w:val="22"/>
          <w:highlight w:val="white"/>
        </w:rPr>
        <w:t>iMSN</w:t>
      </w:r>
      <w:proofErr w:type="spellEnd"/>
      <w:r>
        <w:rPr>
          <w:color w:val="333333"/>
          <w:sz w:val="22"/>
          <w:szCs w:val="22"/>
          <w:highlight w:val="white"/>
        </w:rPr>
        <w:t>/</w:t>
      </w:r>
      <w:proofErr w:type="spellStart"/>
      <w:r>
        <w:rPr>
          <w:color w:val="333333"/>
          <w:sz w:val="22"/>
          <w:szCs w:val="22"/>
          <w:highlight w:val="white"/>
        </w:rPr>
        <w:t>dMSN</w:t>
      </w:r>
      <w:proofErr w:type="spellEnd"/>
      <w:r>
        <w:rPr>
          <w:color w:val="333333"/>
          <w:sz w:val="22"/>
          <w:szCs w:val="22"/>
          <w:highlight w:val="white"/>
        </w:rPr>
        <w:t>, indirect/direct pathway medium spiny neuron; MNS, MAP2+ and NES/SOX2-; OPC, oligodendrocyte progenitor cell; oligo, oligodendrocyte; micro, m</w:t>
      </w:r>
      <w:r>
        <w:rPr>
          <w:color w:val="333333"/>
          <w:sz w:val="22"/>
          <w:szCs w:val="22"/>
          <w:highlight w:val="white"/>
        </w:rPr>
        <w:t xml:space="preserve">icroglia; NSC, neural stem cell; Cg, cingulate cortex; FON, Foxp2/Olfm3-expressing neuron; SN, </w:t>
      </w:r>
      <w:proofErr w:type="spellStart"/>
      <w:r>
        <w:rPr>
          <w:color w:val="333333"/>
          <w:sz w:val="22"/>
          <w:szCs w:val="22"/>
          <w:highlight w:val="white"/>
        </w:rPr>
        <w:t>Sst</w:t>
      </w:r>
      <w:proofErr w:type="spellEnd"/>
      <w:r>
        <w:rPr>
          <w:color w:val="333333"/>
          <w:sz w:val="22"/>
          <w:szCs w:val="22"/>
          <w:highlight w:val="white"/>
        </w:rPr>
        <w:t>/</w:t>
      </w:r>
      <w:proofErr w:type="spellStart"/>
      <w:r>
        <w:rPr>
          <w:color w:val="333333"/>
          <w:sz w:val="22"/>
          <w:szCs w:val="22"/>
          <w:highlight w:val="white"/>
        </w:rPr>
        <w:t>Npy</w:t>
      </w:r>
      <w:proofErr w:type="spellEnd"/>
      <w:r>
        <w:rPr>
          <w:color w:val="333333"/>
          <w:sz w:val="22"/>
          <w:szCs w:val="22"/>
          <w:highlight w:val="white"/>
        </w:rPr>
        <w:t xml:space="preserve">-expressing; mono, monocyte; NPC, neural progenitor cell; </w:t>
      </w:r>
      <w:proofErr w:type="spellStart"/>
      <w:r>
        <w:rPr>
          <w:color w:val="333333"/>
          <w:sz w:val="22"/>
          <w:szCs w:val="22"/>
          <w:highlight w:val="white"/>
        </w:rPr>
        <w:t>CoNeuron</w:t>
      </w:r>
      <w:proofErr w:type="spellEnd"/>
      <w:r>
        <w:rPr>
          <w:color w:val="333333"/>
          <w:sz w:val="22"/>
          <w:szCs w:val="22"/>
          <w:highlight w:val="white"/>
        </w:rPr>
        <w:t xml:space="preserve">, cortical neuron; Cd, caudate nucleus; pre, </w:t>
      </w:r>
      <w:proofErr w:type="spellStart"/>
      <w:r>
        <w:rPr>
          <w:color w:val="333333"/>
          <w:sz w:val="22"/>
          <w:szCs w:val="22"/>
          <w:highlight w:val="white"/>
        </w:rPr>
        <w:t>presymptomatic</w:t>
      </w:r>
      <w:proofErr w:type="spellEnd"/>
      <w:r>
        <w:rPr>
          <w:color w:val="333333"/>
          <w:sz w:val="22"/>
          <w:szCs w:val="22"/>
          <w:highlight w:val="white"/>
        </w:rPr>
        <w:t>; GPC, glial progenitor cell;</w:t>
      </w:r>
      <w:r>
        <w:rPr>
          <w:color w:val="333333"/>
          <w:sz w:val="22"/>
          <w:szCs w:val="22"/>
          <w:highlight w:val="white"/>
        </w:rPr>
        <w:t xml:space="preserve"> APC, astrocyte precursor cell; BBB, blood brain barrier.</w:t>
      </w:r>
    </w:p>
    <w:p w14:paraId="6A4C1288" w14:textId="77777777" w:rsidR="00183B28" w:rsidRDefault="00DA1E3D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Figure S5. Enrichment heatmap of top 20 enriched gene sets of GO biological process or KEGG pathway in 44 human HD datasets by GSEA analysis.</w:t>
      </w:r>
      <w:r>
        <w:rPr>
          <w:color w:val="000000"/>
          <w:sz w:val="22"/>
          <w:szCs w:val="22"/>
        </w:rPr>
        <w:t xml:space="preserve"> Each column is a human HD dataset, each row is a gene se</w:t>
      </w:r>
      <w:r>
        <w:rPr>
          <w:color w:val="000000"/>
          <w:sz w:val="22"/>
          <w:szCs w:val="22"/>
        </w:rPr>
        <w:t xml:space="preserve">t of GO biological process or KEGG pathway. Only gene sets with member number between 20 and 200 are </w:t>
      </w:r>
      <w:proofErr w:type="gramStart"/>
      <w:r>
        <w:rPr>
          <w:color w:val="000000"/>
          <w:sz w:val="22"/>
          <w:szCs w:val="22"/>
        </w:rPr>
        <w:t>kept, and</w:t>
      </w:r>
      <w:proofErr w:type="gramEnd"/>
      <w:r>
        <w:rPr>
          <w:color w:val="000000"/>
          <w:sz w:val="22"/>
          <w:szCs w:val="22"/>
        </w:rPr>
        <w:t xml:space="preserve"> are clustered hierarchically. Abbreviations: </w:t>
      </w:r>
      <w:proofErr w:type="spellStart"/>
      <w:r>
        <w:rPr>
          <w:color w:val="333333"/>
          <w:sz w:val="22"/>
          <w:szCs w:val="22"/>
          <w:highlight w:val="white"/>
        </w:rPr>
        <w:t>CPu</w:t>
      </w:r>
      <w:proofErr w:type="spellEnd"/>
      <w:r>
        <w:rPr>
          <w:color w:val="333333"/>
          <w:sz w:val="22"/>
          <w:szCs w:val="22"/>
          <w:highlight w:val="white"/>
        </w:rPr>
        <w:t xml:space="preserve">, caudate putamen; </w:t>
      </w:r>
      <w:proofErr w:type="spellStart"/>
      <w:r>
        <w:rPr>
          <w:color w:val="333333"/>
          <w:sz w:val="22"/>
          <w:szCs w:val="22"/>
          <w:highlight w:val="white"/>
        </w:rPr>
        <w:t>astro</w:t>
      </w:r>
      <w:proofErr w:type="spellEnd"/>
      <w:r>
        <w:rPr>
          <w:color w:val="333333"/>
          <w:sz w:val="22"/>
          <w:szCs w:val="22"/>
          <w:highlight w:val="white"/>
        </w:rPr>
        <w:t xml:space="preserve">, astrocyte; </w:t>
      </w:r>
      <w:proofErr w:type="spellStart"/>
      <w:r>
        <w:rPr>
          <w:color w:val="333333"/>
          <w:sz w:val="22"/>
          <w:szCs w:val="22"/>
          <w:highlight w:val="white"/>
        </w:rPr>
        <w:t>epen</w:t>
      </w:r>
      <w:proofErr w:type="spellEnd"/>
      <w:r>
        <w:rPr>
          <w:color w:val="333333"/>
          <w:sz w:val="22"/>
          <w:szCs w:val="22"/>
          <w:highlight w:val="white"/>
        </w:rPr>
        <w:t xml:space="preserve">, ependymal; endo, endothelial; IN, interneuron; PT, </w:t>
      </w:r>
      <w:proofErr w:type="spellStart"/>
      <w:r>
        <w:rPr>
          <w:color w:val="333333"/>
          <w:sz w:val="22"/>
          <w:szCs w:val="22"/>
          <w:highlight w:val="white"/>
        </w:rPr>
        <w:t>Pva</w:t>
      </w:r>
      <w:r>
        <w:rPr>
          <w:color w:val="333333"/>
          <w:sz w:val="22"/>
          <w:szCs w:val="22"/>
          <w:highlight w:val="white"/>
        </w:rPr>
        <w:t>lb</w:t>
      </w:r>
      <w:proofErr w:type="spellEnd"/>
      <w:r>
        <w:rPr>
          <w:color w:val="333333"/>
          <w:sz w:val="22"/>
          <w:szCs w:val="22"/>
          <w:highlight w:val="white"/>
        </w:rPr>
        <w:t xml:space="preserve">/Th-expressing; </w:t>
      </w:r>
      <w:proofErr w:type="spellStart"/>
      <w:r>
        <w:rPr>
          <w:color w:val="333333"/>
          <w:sz w:val="22"/>
          <w:szCs w:val="22"/>
          <w:highlight w:val="white"/>
        </w:rPr>
        <w:t>iMSN</w:t>
      </w:r>
      <w:proofErr w:type="spellEnd"/>
      <w:r>
        <w:rPr>
          <w:color w:val="333333"/>
          <w:sz w:val="22"/>
          <w:szCs w:val="22"/>
          <w:highlight w:val="white"/>
        </w:rPr>
        <w:t>/</w:t>
      </w:r>
      <w:proofErr w:type="spellStart"/>
      <w:r>
        <w:rPr>
          <w:color w:val="333333"/>
          <w:sz w:val="22"/>
          <w:szCs w:val="22"/>
          <w:highlight w:val="white"/>
        </w:rPr>
        <w:t>dMSN</w:t>
      </w:r>
      <w:proofErr w:type="spellEnd"/>
      <w:r>
        <w:rPr>
          <w:color w:val="333333"/>
          <w:sz w:val="22"/>
          <w:szCs w:val="22"/>
          <w:highlight w:val="white"/>
        </w:rPr>
        <w:t xml:space="preserve">, indirect/direct pathway medium spiny neuron; MNS, MAP2+ and NES/SOX2-; OPC, oligodendrocyte progenitor cell; oligo, oligodendrocyte; micro, </w:t>
      </w:r>
      <w:r>
        <w:rPr>
          <w:color w:val="333333"/>
          <w:sz w:val="22"/>
          <w:szCs w:val="22"/>
          <w:highlight w:val="white"/>
        </w:rPr>
        <w:lastRenderedPageBreak/>
        <w:t>microglia; NSC, neural stem cell; Cg, cingulate cortex; FON, Foxp2/Olfm3-expressing neu</w:t>
      </w:r>
      <w:r>
        <w:rPr>
          <w:color w:val="333333"/>
          <w:sz w:val="22"/>
          <w:szCs w:val="22"/>
          <w:highlight w:val="white"/>
        </w:rPr>
        <w:t xml:space="preserve">ron; SN, </w:t>
      </w:r>
      <w:proofErr w:type="spellStart"/>
      <w:r>
        <w:rPr>
          <w:color w:val="333333"/>
          <w:sz w:val="22"/>
          <w:szCs w:val="22"/>
          <w:highlight w:val="white"/>
        </w:rPr>
        <w:t>Sst</w:t>
      </w:r>
      <w:proofErr w:type="spellEnd"/>
      <w:r>
        <w:rPr>
          <w:color w:val="333333"/>
          <w:sz w:val="22"/>
          <w:szCs w:val="22"/>
          <w:highlight w:val="white"/>
        </w:rPr>
        <w:t>/</w:t>
      </w:r>
      <w:proofErr w:type="spellStart"/>
      <w:r>
        <w:rPr>
          <w:color w:val="333333"/>
          <w:sz w:val="22"/>
          <w:szCs w:val="22"/>
          <w:highlight w:val="white"/>
        </w:rPr>
        <w:t>Npy</w:t>
      </w:r>
      <w:proofErr w:type="spellEnd"/>
      <w:r>
        <w:rPr>
          <w:color w:val="333333"/>
          <w:sz w:val="22"/>
          <w:szCs w:val="22"/>
          <w:highlight w:val="white"/>
        </w:rPr>
        <w:t xml:space="preserve">-expressing; mono, monocyte; NPC, neural progenitor cell; </w:t>
      </w:r>
      <w:proofErr w:type="spellStart"/>
      <w:r>
        <w:rPr>
          <w:color w:val="333333"/>
          <w:sz w:val="22"/>
          <w:szCs w:val="22"/>
          <w:highlight w:val="white"/>
        </w:rPr>
        <w:t>CoNeuron</w:t>
      </w:r>
      <w:proofErr w:type="spellEnd"/>
      <w:r>
        <w:rPr>
          <w:color w:val="333333"/>
          <w:sz w:val="22"/>
          <w:szCs w:val="22"/>
          <w:highlight w:val="white"/>
        </w:rPr>
        <w:t xml:space="preserve">, cortical neuron; Cd, caudate nucleus; pre, </w:t>
      </w:r>
      <w:proofErr w:type="spellStart"/>
      <w:r>
        <w:rPr>
          <w:color w:val="333333"/>
          <w:sz w:val="22"/>
          <w:szCs w:val="22"/>
          <w:highlight w:val="white"/>
        </w:rPr>
        <w:t>presymptomatic</w:t>
      </w:r>
      <w:proofErr w:type="spellEnd"/>
      <w:r>
        <w:rPr>
          <w:color w:val="333333"/>
          <w:sz w:val="22"/>
          <w:szCs w:val="22"/>
          <w:highlight w:val="white"/>
        </w:rPr>
        <w:t>; GPC, glial progenitor cell; APC, astrocyte precursor cell; BBB, blood brain barrier.</w:t>
      </w:r>
    </w:p>
    <w:p w14:paraId="036FEC83" w14:textId="77777777" w:rsidR="00183B28" w:rsidRDefault="00DA1E3D">
      <w:pPr>
        <w:spacing w:line="276" w:lineRule="auto"/>
        <w:jc w:val="both"/>
        <w:rPr>
          <w:color w:val="333333"/>
          <w:sz w:val="22"/>
          <w:szCs w:val="22"/>
          <w:highlight w:val="white"/>
        </w:rPr>
      </w:pPr>
      <w:r>
        <w:rPr>
          <w:b/>
          <w:color w:val="333333"/>
          <w:sz w:val="22"/>
          <w:szCs w:val="22"/>
          <w:highlight w:val="white"/>
        </w:rPr>
        <w:t xml:space="preserve">Figure S6. </w:t>
      </w:r>
      <w:proofErr w:type="spellStart"/>
      <w:r>
        <w:rPr>
          <w:b/>
          <w:color w:val="333333"/>
          <w:sz w:val="22"/>
          <w:szCs w:val="22"/>
          <w:highlight w:val="white"/>
        </w:rPr>
        <w:t>LogFC</w:t>
      </w:r>
      <w:proofErr w:type="spellEnd"/>
      <w:r>
        <w:rPr>
          <w:b/>
          <w:color w:val="333333"/>
          <w:sz w:val="22"/>
          <w:szCs w:val="22"/>
          <w:highlight w:val="white"/>
        </w:rPr>
        <w:t xml:space="preserve"> heatmap of </w:t>
      </w:r>
      <w:r>
        <w:rPr>
          <w:b/>
          <w:color w:val="333333"/>
          <w:sz w:val="22"/>
          <w:szCs w:val="22"/>
          <w:highlight w:val="white"/>
        </w:rPr>
        <w:t xml:space="preserve">HD marker genes from </w:t>
      </w:r>
      <w:proofErr w:type="spellStart"/>
      <w:r>
        <w:rPr>
          <w:b/>
          <w:color w:val="333333"/>
          <w:sz w:val="22"/>
          <w:szCs w:val="22"/>
          <w:highlight w:val="white"/>
        </w:rPr>
        <w:t>Vashishtha</w:t>
      </w:r>
      <w:proofErr w:type="spellEnd"/>
      <w:r>
        <w:rPr>
          <w:b/>
          <w:color w:val="333333"/>
          <w:sz w:val="22"/>
          <w:szCs w:val="22"/>
          <w:highlight w:val="white"/>
        </w:rPr>
        <w:t xml:space="preserve"> et al. 2013 in 75 mouse and 4 other non-human datasets. </w:t>
      </w:r>
      <w:r>
        <w:rPr>
          <w:color w:val="333333"/>
          <w:sz w:val="22"/>
          <w:szCs w:val="22"/>
          <w:highlight w:val="white"/>
        </w:rPr>
        <w:t xml:space="preserve">A&amp;B. Each column or row is a dataset, each row or column is a HD marker gene. Both datasets and marker genes are clustered hierarchically based on </w:t>
      </w:r>
      <w:proofErr w:type="spellStart"/>
      <w:r>
        <w:rPr>
          <w:color w:val="333333"/>
          <w:sz w:val="22"/>
          <w:szCs w:val="22"/>
          <w:highlight w:val="white"/>
        </w:rPr>
        <w:t>LogFC</w:t>
      </w:r>
      <w:proofErr w:type="spellEnd"/>
      <w:r>
        <w:rPr>
          <w:color w:val="333333"/>
          <w:sz w:val="22"/>
          <w:szCs w:val="22"/>
          <w:highlight w:val="white"/>
        </w:rPr>
        <w:t xml:space="preserve"> with HD over WT</w:t>
      </w:r>
      <w:r>
        <w:rPr>
          <w:color w:val="333333"/>
          <w:sz w:val="22"/>
          <w:szCs w:val="22"/>
          <w:highlight w:val="white"/>
        </w:rPr>
        <w:t xml:space="preserve">. </w:t>
      </w:r>
      <w:r>
        <w:rPr>
          <w:color w:val="000000"/>
          <w:sz w:val="22"/>
          <w:szCs w:val="22"/>
        </w:rPr>
        <w:t xml:space="preserve">Abbreviations: </w:t>
      </w:r>
      <w:proofErr w:type="spellStart"/>
      <w:r>
        <w:rPr>
          <w:color w:val="333333"/>
          <w:sz w:val="22"/>
          <w:szCs w:val="22"/>
          <w:highlight w:val="white"/>
        </w:rPr>
        <w:t>CPu</w:t>
      </w:r>
      <w:proofErr w:type="spellEnd"/>
      <w:r>
        <w:rPr>
          <w:color w:val="333333"/>
          <w:sz w:val="22"/>
          <w:szCs w:val="22"/>
          <w:highlight w:val="white"/>
        </w:rPr>
        <w:t xml:space="preserve">, caudate putamen; TRAP, translating ribosome affinity purification; </w:t>
      </w:r>
      <w:proofErr w:type="spellStart"/>
      <w:r>
        <w:rPr>
          <w:color w:val="333333"/>
          <w:sz w:val="22"/>
          <w:szCs w:val="22"/>
          <w:highlight w:val="white"/>
        </w:rPr>
        <w:t>iMSN</w:t>
      </w:r>
      <w:proofErr w:type="spellEnd"/>
      <w:r>
        <w:rPr>
          <w:color w:val="333333"/>
          <w:sz w:val="22"/>
          <w:szCs w:val="22"/>
          <w:highlight w:val="white"/>
        </w:rPr>
        <w:t>/</w:t>
      </w:r>
      <w:proofErr w:type="spellStart"/>
      <w:r>
        <w:rPr>
          <w:color w:val="333333"/>
          <w:sz w:val="22"/>
          <w:szCs w:val="22"/>
          <w:highlight w:val="white"/>
        </w:rPr>
        <w:t>dMSN</w:t>
      </w:r>
      <w:proofErr w:type="spellEnd"/>
      <w:r>
        <w:rPr>
          <w:color w:val="333333"/>
          <w:sz w:val="22"/>
          <w:szCs w:val="22"/>
          <w:highlight w:val="white"/>
        </w:rPr>
        <w:t xml:space="preserve">, indirect/direct pathway medium spiny neuron; </w:t>
      </w:r>
      <w:proofErr w:type="spellStart"/>
      <w:r>
        <w:rPr>
          <w:color w:val="333333"/>
          <w:sz w:val="22"/>
          <w:szCs w:val="22"/>
          <w:highlight w:val="white"/>
        </w:rPr>
        <w:t>CoNeuron</w:t>
      </w:r>
      <w:proofErr w:type="spellEnd"/>
      <w:r>
        <w:rPr>
          <w:color w:val="333333"/>
          <w:sz w:val="22"/>
          <w:szCs w:val="22"/>
          <w:highlight w:val="white"/>
        </w:rPr>
        <w:t xml:space="preserve">, cortical neuron; </w:t>
      </w:r>
      <w:proofErr w:type="spellStart"/>
      <w:r>
        <w:rPr>
          <w:color w:val="333333"/>
          <w:sz w:val="22"/>
          <w:szCs w:val="22"/>
          <w:highlight w:val="white"/>
        </w:rPr>
        <w:t>astro</w:t>
      </w:r>
      <w:proofErr w:type="spellEnd"/>
      <w:r>
        <w:rPr>
          <w:color w:val="333333"/>
          <w:sz w:val="22"/>
          <w:szCs w:val="22"/>
          <w:highlight w:val="white"/>
        </w:rPr>
        <w:t>, astrocyte; Ad-brown, brown adipose; Co, cortex; IN, interneuron; Ch, Choliner</w:t>
      </w:r>
      <w:r>
        <w:rPr>
          <w:color w:val="333333"/>
          <w:sz w:val="22"/>
          <w:szCs w:val="22"/>
          <w:highlight w:val="white"/>
        </w:rPr>
        <w:t xml:space="preserve">gic; FON, Foxp2/Olfm3-expressing neuron; </w:t>
      </w:r>
      <w:proofErr w:type="spellStart"/>
      <w:r>
        <w:rPr>
          <w:color w:val="333333"/>
          <w:sz w:val="22"/>
          <w:szCs w:val="22"/>
          <w:highlight w:val="white"/>
        </w:rPr>
        <w:t>CstrPN</w:t>
      </w:r>
      <w:proofErr w:type="spellEnd"/>
      <w:r>
        <w:rPr>
          <w:color w:val="333333"/>
          <w:sz w:val="22"/>
          <w:szCs w:val="22"/>
          <w:highlight w:val="white"/>
        </w:rPr>
        <w:t xml:space="preserve">, </w:t>
      </w:r>
      <w:proofErr w:type="spellStart"/>
      <w:r>
        <w:rPr>
          <w:color w:val="333333"/>
          <w:sz w:val="22"/>
          <w:szCs w:val="22"/>
          <w:highlight w:val="white"/>
        </w:rPr>
        <w:t>corticostriatal</w:t>
      </w:r>
      <w:proofErr w:type="spellEnd"/>
      <w:r>
        <w:rPr>
          <w:color w:val="333333"/>
          <w:sz w:val="22"/>
          <w:szCs w:val="22"/>
          <w:highlight w:val="white"/>
        </w:rPr>
        <w:t xml:space="preserve"> projection neurons; micro, microglia; OPC, oligodendrocyte progenitor cell; </w:t>
      </w:r>
      <w:proofErr w:type="spellStart"/>
      <w:r>
        <w:rPr>
          <w:color w:val="333333"/>
          <w:sz w:val="22"/>
          <w:szCs w:val="22"/>
          <w:highlight w:val="white"/>
        </w:rPr>
        <w:t>epen</w:t>
      </w:r>
      <w:proofErr w:type="spellEnd"/>
      <w:r>
        <w:rPr>
          <w:color w:val="333333"/>
          <w:sz w:val="22"/>
          <w:szCs w:val="22"/>
          <w:highlight w:val="white"/>
        </w:rPr>
        <w:t>, ependymal; oligo, oligodendrocyte; cc, corpus callosum; Ad-white-</w:t>
      </w:r>
      <w:proofErr w:type="spellStart"/>
      <w:r>
        <w:rPr>
          <w:color w:val="333333"/>
          <w:sz w:val="22"/>
          <w:szCs w:val="22"/>
          <w:highlight w:val="white"/>
        </w:rPr>
        <w:t>intest</w:t>
      </w:r>
      <w:proofErr w:type="spellEnd"/>
      <w:r>
        <w:rPr>
          <w:color w:val="333333"/>
          <w:sz w:val="22"/>
          <w:szCs w:val="22"/>
          <w:highlight w:val="white"/>
        </w:rPr>
        <w:t xml:space="preserve">, </w:t>
      </w:r>
      <w:proofErr w:type="spellStart"/>
      <w:r>
        <w:rPr>
          <w:color w:val="333333"/>
          <w:sz w:val="22"/>
          <w:szCs w:val="22"/>
          <w:highlight w:val="white"/>
        </w:rPr>
        <w:t>instestinal</w:t>
      </w:r>
      <w:proofErr w:type="spellEnd"/>
      <w:r>
        <w:rPr>
          <w:color w:val="333333"/>
          <w:sz w:val="22"/>
          <w:szCs w:val="22"/>
          <w:highlight w:val="white"/>
        </w:rPr>
        <w:t xml:space="preserve"> white adipose; endo, end</w:t>
      </w:r>
      <w:r>
        <w:rPr>
          <w:color w:val="333333"/>
          <w:sz w:val="22"/>
          <w:szCs w:val="22"/>
          <w:highlight w:val="white"/>
        </w:rPr>
        <w:t xml:space="preserve">othelial; SN, </w:t>
      </w:r>
      <w:proofErr w:type="spellStart"/>
      <w:r>
        <w:rPr>
          <w:color w:val="333333"/>
          <w:sz w:val="22"/>
          <w:szCs w:val="22"/>
          <w:highlight w:val="white"/>
        </w:rPr>
        <w:t>Sst</w:t>
      </w:r>
      <w:proofErr w:type="spellEnd"/>
      <w:r>
        <w:rPr>
          <w:color w:val="333333"/>
          <w:sz w:val="22"/>
          <w:szCs w:val="22"/>
          <w:highlight w:val="white"/>
        </w:rPr>
        <w:t>/</w:t>
      </w:r>
      <w:proofErr w:type="spellStart"/>
      <w:r>
        <w:rPr>
          <w:color w:val="333333"/>
          <w:sz w:val="22"/>
          <w:szCs w:val="22"/>
          <w:highlight w:val="white"/>
        </w:rPr>
        <w:t>Npy</w:t>
      </w:r>
      <w:proofErr w:type="spellEnd"/>
      <w:r>
        <w:rPr>
          <w:color w:val="333333"/>
          <w:sz w:val="22"/>
          <w:szCs w:val="22"/>
          <w:highlight w:val="white"/>
        </w:rPr>
        <w:t xml:space="preserve">-expressing; PT, </w:t>
      </w:r>
      <w:proofErr w:type="spellStart"/>
      <w:r>
        <w:rPr>
          <w:color w:val="333333"/>
          <w:sz w:val="22"/>
          <w:szCs w:val="22"/>
          <w:highlight w:val="white"/>
        </w:rPr>
        <w:t>Pvalb</w:t>
      </w:r>
      <w:proofErr w:type="spellEnd"/>
      <w:r>
        <w:rPr>
          <w:color w:val="333333"/>
          <w:sz w:val="22"/>
          <w:szCs w:val="22"/>
          <w:highlight w:val="white"/>
        </w:rPr>
        <w:t xml:space="preserve">/Th-expressing; HTH-TH, hypothalamus-thalamus; CA, hippocampus; </w:t>
      </w:r>
      <w:proofErr w:type="spellStart"/>
      <w:r>
        <w:rPr>
          <w:color w:val="333333"/>
          <w:sz w:val="22"/>
          <w:szCs w:val="22"/>
          <w:highlight w:val="white"/>
        </w:rPr>
        <w:t>Cb</w:t>
      </w:r>
      <w:proofErr w:type="spellEnd"/>
      <w:r>
        <w:rPr>
          <w:color w:val="333333"/>
          <w:sz w:val="22"/>
          <w:szCs w:val="22"/>
          <w:highlight w:val="white"/>
        </w:rPr>
        <w:t xml:space="preserve">, cerebellum; Ad-white-gonad, gonadal white adipose. </w:t>
      </w:r>
    </w:p>
    <w:p w14:paraId="77D10FCA" w14:textId="77777777" w:rsidR="00183B28" w:rsidRDefault="00DA1E3D">
      <w:pPr>
        <w:spacing w:before="0" w:after="200" w:line="276" w:lineRule="auto"/>
        <w:rPr>
          <w:b/>
          <w:color w:val="000000"/>
        </w:rPr>
      </w:pPr>
      <w:r>
        <w:br w:type="page"/>
      </w:r>
    </w:p>
    <w:p w14:paraId="2A57AD0C" w14:textId="77777777" w:rsidR="00183B28" w:rsidRDefault="00DA1E3D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Supplementary Datasets</w:t>
      </w:r>
    </w:p>
    <w:p w14:paraId="00967829" w14:textId="77777777" w:rsidR="00183B28" w:rsidRDefault="00DA1E3D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Dataset S1</w:t>
      </w:r>
      <w:r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Screening documentation of the HD systematic review.</w:t>
      </w:r>
      <w:r>
        <w:rPr>
          <w:sz w:val="22"/>
          <w:szCs w:val="22"/>
        </w:rPr>
        <w:t xml:space="preserve"> This file contains the screening exclusion criteria, the PubMed article screening, the four data repository screening, the consolidation of data repository results, and the consolidation of PubMed and da</w:t>
      </w:r>
      <w:r>
        <w:rPr>
          <w:sz w:val="22"/>
          <w:szCs w:val="22"/>
        </w:rPr>
        <w:t>ta repository results.</w:t>
      </w:r>
    </w:p>
    <w:p w14:paraId="278C655C" w14:textId="77777777" w:rsidR="00183B28" w:rsidRDefault="00DA1E3D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Dataset S2. DEG lists of human HD d</w:t>
      </w:r>
      <w:r>
        <w:rPr>
          <w:b/>
          <w:sz w:val="22"/>
          <w:szCs w:val="22"/>
        </w:rPr>
        <w:t>ata</w:t>
      </w:r>
      <w:r>
        <w:rPr>
          <w:b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DEGs from the 50 human HD datasets were extracted using the FDR and </w:t>
      </w:r>
      <w:proofErr w:type="spellStart"/>
      <w:r>
        <w:rPr>
          <w:color w:val="000000"/>
          <w:sz w:val="22"/>
          <w:szCs w:val="22"/>
        </w:rPr>
        <w:t>LogFC</w:t>
      </w:r>
      <w:proofErr w:type="spellEnd"/>
      <w:r>
        <w:rPr>
          <w:color w:val="000000"/>
          <w:sz w:val="22"/>
          <w:szCs w:val="22"/>
        </w:rPr>
        <w:t xml:space="preserve"> cutoffs specified by the authors. For DEG lists representative of each human HD subcategory, 1) if there was only one d</w:t>
      </w:r>
      <w:r>
        <w:rPr>
          <w:color w:val="000000"/>
          <w:sz w:val="22"/>
          <w:szCs w:val="22"/>
        </w:rPr>
        <w:t>ataset in that subcategory, that one DEG list was taken; 2) if there were two, the union of the two DEG lists were taken; 3) if there were more than two, DEGs that appeared in at least two of the datasets in that subcategory were taken. Cat</w:t>
      </w:r>
      <w:r>
        <w:rPr>
          <w:sz w:val="22"/>
          <w:szCs w:val="22"/>
        </w:rPr>
        <w:t xml:space="preserve">egory DEG lists </w:t>
      </w:r>
      <w:r>
        <w:rPr>
          <w:sz w:val="22"/>
          <w:szCs w:val="22"/>
        </w:rPr>
        <w:t>were extracted based on gene frequency. Top 10 up-regulated and down-regulated DEG lists in each human dataset were extracted based on FDR.</w:t>
      </w:r>
    </w:p>
    <w:p w14:paraId="50193132" w14:textId="77777777" w:rsidR="00183B28" w:rsidRDefault="00DA1E3D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Dataset S3. DEG frequency in human HD subcategories/categories</w:t>
      </w:r>
      <w:r>
        <w:rPr>
          <w:b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DEG membership is listed in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11 subcategories as well</w:t>
      </w:r>
      <w:r>
        <w:rPr>
          <w:color w:val="000000"/>
          <w:sz w:val="22"/>
          <w:szCs w:val="22"/>
        </w:rPr>
        <w:t xml:space="preserve"> as cell culture and brain categories. HD dataset numbering is the same as in Dataset S2. Common and u</w:t>
      </w:r>
      <w:r>
        <w:rPr>
          <w:sz w:val="22"/>
          <w:szCs w:val="22"/>
        </w:rPr>
        <w:t>nique DEGs in a subcategory/category can be retrieved by filtering.</w:t>
      </w:r>
    </w:p>
    <w:p w14:paraId="71812809" w14:textId="77777777" w:rsidR="00183B28" w:rsidRDefault="00DA1E3D">
      <w:pPr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2"/>
          <w:szCs w:val="22"/>
        </w:rPr>
        <w:t>Dataset S4. Intersection of two or more DEG lists within cell culture and brain catego</w:t>
      </w:r>
      <w:r>
        <w:rPr>
          <w:b/>
          <w:color w:val="000000"/>
          <w:sz w:val="22"/>
          <w:szCs w:val="22"/>
        </w:rPr>
        <w:t xml:space="preserve">ries. </w:t>
      </w:r>
      <w:r>
        <w:rPr>
          <w:color w:val="000000"/>
          <w:sz w:val="22"/>
          <w:szCs w:val="22"/>
        </w:rPr>
        <w:t>Exhaustive pairwise and multiple comparisons between subcategories within cell culture and brain were made, with overlapping genes listed and Fisher’s exact test p values calculated.</w:t>
      </w:r>
    </w:p>
    <w:p w14:paraId="02E9D3C4" w14:textId="77777777" w:rsidR="00183B28" w:rsidRDefault="00DA1E3D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Dataset S5. GO biological process or KEGG pathway term enrichment a</w:t>
      </w:r>
      <w:r>
        <w:rPr>
          <w:b/>
          <w:color w:val="000000"/>
          <w:sz w:val="22"/>
          <w:szCs w:val="22"/>
        </w:rPr>
        <w:t>nalysis of common</w:t>
      </w:r>
      <w:r>
        <w:rPr>
          <w:b/>
          <w:sz w:val="22"/>
          <w:szCs w:val="22"/>
        </w:rPr>
        <w:t>/</w:t>
      </w:r>
      <w:r>
        <w:rPr>
          <w:b/>
          <w:color w:val="000000"/>
          <w:sz w:val="22"/>
          <w:szCs w:val="22"/>
        </w:rPr>
        <w:t xml:space="preserve">unique DEG sets and regulator </w:t>
      </w:r>
      <w:r>
        <w:rPr>
          <w:b/>
          <w:sz w:val="22"/>
          <w:szCs w:val="22"/>
        </w:rPr>
        <w:t>groups</w:t>
      </w:r>
      <w:r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For multiple comparisons, the category background was used as the background; for pairwise comparisons, the overlap of backgrounds was used as the background; for unique DEGs, the background of the da</w:t>
      </w:r>
      <w:r>
        <w:rPr>
          <w:color w:val="000000"/>
          <w:sz w:val="22"/>
          <w:szCs w:val="22"/>
        </w:rPr>
        <w:t>taset where the unique DEGs were present was used as the background. </w:t>
      </w:r>
    </w:p>
    <w:p w14:paraId="5F6DA84B" w14:textId="77777777" w:rsidR="00183B28" w:rsidRDefault="00DA1E3D">
      <w:pPr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Dataset S6. DEG list comparison between </w:t>
      </w:r>
      <w:proofErr w:type="spellStart"/>
      <w:r>
        <w:rPr>
          <w:b/>
          <w:color w:val="000000"/>
          <w:sz w:val="22"/>
          <w:szCs w:val="22"/>
        </w:rPr>
        <w:t>Lee_Cd_iMSN</w:t>
      </w:r>
      <w:proofErr w:type="spellEnd"/>
      <w:r>
        <w:rPr>
          <w:b/>
          <w:color w:val="000000"/>
          <w:sz w:val="22"/>
          <w:szCs w:val="22"/>
        </w:rPr>
        <w:t>/</w:t>
      </w:r>
      <w:proofErr w:type="spellStart"/>
      <w:r>
        <w:rPr>
          <w:b/>
          <w:color w:val="000000"/>
          <w:sz w:val="22"/>
          <w:szCs w:val="22"/>
        </w:rPr>
        <w:t>Miller_blood_monocyte</w:t>
      </w:r>
      <w:proofErr w:type="spellEnd"/>
      <w:r>
        <w:rPr>
          <w:b/>
          <w:color w:val="000000"/>
          <w:sz w:val="22"/>
          <w:szCs w:val="22"/>
        </w:rPr>
        <w:t xml:space="preserve"> and all other primary tissues, SAT1 </w:t>
      </w:r>
      <w:proofErr w:type="spellStart"/>
      <w:r>
        <w:rPr>
          <w:b/>
          <w:color w:val="000000"/>
          <w:sz w:val="22"/>
          <w:szCs w:val="22"/>
        </w:rPr>
        <w:t>logFC</w:t>
      </w:r>
      <w:proofErr w:type="spellEnd"/>
      <w:r>
        <w:rPr>
          <w:b/>
          <w:color w:val="000000"/>
          <w:sz w:val="22"/>
          <w:szCs w:val="22"/>
        </w:rPr>
        <w:t xml:space="preserve"> in selected datasets, and </w:t>
      </w:r>
      <w:r>
        <w:rPr>
          <w:b/>
          <w:sz w:val="22"/>
          <w:szCs w:val="22"/>
        </w:rPr>
        <w:t>concordance between RNA-seq and microarray d</w:t>
      </w:r>
      <w:r>
        <w:rPr>
          <w:b/>
          <w:sz w:val="22"/>
          <w:szCs w:val="22"/>
        </w:rPr>
        <w:t>ata</w:t>
      </w:r>
      <w:r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Overlapping and unique DEGs between </w:t>
      </w:r>
      <w:proofErr w:type="spellStart"/>
      <w:r>
        <w:rPr>
          <w:color w:val="000000"/>
          <w:sz w:val="22"/>
          <w:szCs w:val="22"/>
        </w:rPr>
        <w:t>iMSN</w:t>
      </w:r>
      <w:proofErr w:type="spellEnd"/>
      <w:r>
        <w:rPr>
          <w:color w:val="000000"/>
          <w:sz w:val="22"/>
          <w:szCs w:val="22"/>
        </w:rPr>
        <w:t>/monocyte and other primary tissues were listed</w:t>
      </w:r>
      <w:r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SAT1 </w:t>
      </w:r>
      <w:proofErr w:type="spellStart"/>
      <w:r>
        <w:rPr>
          <w:color w:val="000000"/>
          <w:sz w:val="22"/>
          <w:szCs w:val="22"/>
        </w:rPr>
        <w:t>logFC</w:t>
      </w:r>
      <w:proofErr w:type="spellEnd"/>
      <w:r>
        <w:rPr>
          <w:color w:val="000000"/>
          <w:sz w:val="22"/>
          <w:szCs w:val="22"/>
        </w:rPr>
        <w:t xml:space="preserve"> values in selected datasets</w:t>
      </w:r>
      <w:r>
        <w:rPr>
          <w:sz w:val="22"/>
          <w:szCs w:val="22"/>
        </w:rPr>
        <w:t xml:space="preserve"> were listed. HD DEGs revealed by microarray and RNA-seq were compared.</w:t>
      </w:r>
    </w:p>
    <w:p w14:paraId="0CDE37E4" w14:textId="77777777" w:rsidR="00183B28" w:rsidRDefault="00DA1E3D">
      <w:pPr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2"/>
          <w:szCs w:val="22"/>
        </w:rPr>
        <w:t>Dataset S7. Gene set enrichment analysis of 44 human</w:t>
      </w:r>
      <w:r>
        <w:rPr>
          <w:b/>
          <w:color w:val="000000"/>
          <w:sz w:val="22"/>
          <w:szCs w:val="22"/>
        </w:rPr>
        <w:t xml:space="preserve"> HD DEG datasets.</w:t>
      </w:r>
      <w:r>
        <w:rPr>
          <w:color w:val="000000"/>
          <w:sz w:val="22"/>
          <w:szCs w:val="22"/>
        </w:rPr>
        <w:t xml:space="preserve"> Enrichment scores and false discovery rates were calculated for positively and negatively enriched gene sets of GO biological processes and KEGG pathways.</w:t>
      </w:r>
    </w:p>
    <w:p w14:paraId="4412ECDC" w14:textId="77777777" w:rsidR="00183B28" w:rsidRDefault="00DA1E3D">
      <w:pPr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Dataset S8. TF matrix of 44 human HD DEG datasets and concordance between TF score </w:t>
      </w:r>
      <w:r>
        <w:rPr>
          <w:b/>
          <w:color w:val="000000"/>
          <w:sz w:val="22"/>
          <w:szCs w:val="22"/>
        </w:rPr>
        <w:t xml:space="preserve">and H3K27ac </w:t>
      </w:r>
      <w:proofErr w:type="spellStart"/>
      <w:r>
        <w:rPr>
          <w:b/>
          <w:color w:val="000000"/>
          <w:sz w:val="22"/>
          <w:szCs w:val="22"/>
        </w:rPr>
        <w:t>ChIP</w:t>
      </w:r>
      <w:proofErr w:type="spellEnd"/>
      <w:r>
        <w:rPr>
          <w:b/>
          <w:color w:val="000000"/>
          <w:sz w:val="22"/>
          <w:szCs w:val="22"/>
        </w:rPr>
        <w:t>-seq data.</w:t>
      </w:r>
      <w:r>
        <w:rPr>
          <w:color w:val="000000"/>
          <w:sz w:val="22"/>
          <w:szCs w:val="22"/>
        </w:rPr>
        <w:t xml:space="preserve"> TF score was calculated as the number of DEGs being a TF target divided by the total number of DEGs in that dataset. TFs were obtained from </w:t>
      </w:r>
      <w:proofErr w:type="spellStart"/>
      <w:r>
        <w:rPr>
          <w:color w:val="000000"/>
          <w:sz w:val="22"/>
          <w:szCs w:val="22"/>
        </w:rPr>
        <w:t>hTFtarget</w:t>
      </w:r>
      <w:proofErr w:type="spellEnd"/>
      <w:r>
        <w:rPr>
          <w:color w:val="000000"/>
          <w:sz w:val="22"/>
          <w:szCs w:val="22"/>
        </w:rPr>
        <w:t xml:space="preserve"> database and filtered by expression status from the closest cell/tissue type in</w:t>
      </w:r>
      <w:r>
        <w:rPr>
          <w:color w:val="000000"/>
          <w:sz w:val="22"/>
          <w:szCs w:val="22"/>
        </w:rPr>
        <w:t xml:space="preserve"> the Human Protein Atlas.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Transcription factor scoring analysis was performed on the HD iPSC Consortium 2017 study using the </w:t>
      </w:r>
      <w:proofErr w:type="spellStart"/>
      <w:r>
        <w:rPr>
          <w:color w:val="000000"/>
          <w:sz w:val="22"/>
          <w:szCs w:val="22"/>
        </w:rPr>
        <w:t>hTFtarget</w:t>
      </w:r>
      <w:proofErr w:type="spellEnd"/>
      <w:r>
        <w:rPr>
          <w:color w:val="000000"/>
          <w:sz w:val="22"/>
          <w:szCs w:val="22"/>
        </w:rPr>
        <w:t xml:space="preserve"> database. Concordance was checked between the TF lists and the H3K27ac </w:t>
      </w:r>
      <w:proofErr w:type="spellStart"/>
      <w:r>
        <w:rPr>
          <w:color w:val="000000"/>
          <w:sz w:val="22"/>
          <w:szCs w:val="22"/>
        </w:rPr>
        <w:t>ChIP</w:t>
      </w:r>
      <w:proofErr w:type="spellEnd"/>
      <w:r>
        <w:rPr>
          <w:color w:val="000000"/>
          <w:sz w:val="22"/>
          <w:szCs w:val="22"/>
        </w:rPr>
        <w:t xml:space="preserve">-seq motif data from the same study. TFs were </w:t>
      </w:r>
      <w:r>
        <w:rPr>
          <w:color w:val="000000"/>
          <w:sz w:val="22"/>
          <w:szCs w:val="22"/>
        </w:rPr>
        <w:t>filtered by expression status in the Human Protein Atlas and colored by score levels.</w:t>
      </w:r>
    </w:p>
    <w:p w14:paraId="25159541" w14:textId="77777777" w:rsidR="00183B28" w:rsidRDefault="00DA1E3D">
      <w:pPr>
        <w:spacing w:line="276" w:lineRule="auto"/>
        <w:jc w:val="both"/>
        <w:rPr>
          <w:sz w:val="28"/>
          <w:szCs w:val="28"/>
        </w:rPr>
      </w:pPr>
      <w:r>
        <w:rPr>
          <w:b/>
          <w:color w:val="000000"/>
          <w:sz w:val="22"/>
          <w:szCs w:val="22"/>
        </w:rPr>
        <w:t>Dataset S9. Differentially expressed TFs and epigenetic modifiers in 44 human HD DEG datasets</w:t>
      </w:r>
      <w:r>
        <w:rPr>
          <w:b/>
          <w:sz w:val="22"/>
          <w:szCs w:val="22"/>
        </w:rPr>
        <w:t>,</w:t>
      </w:r>
      <w:r>
        <w:rPr>
          <w:b/>
          <w:color w:val="000000"/>
          <w:sz w:val="22"/>
          <w:szCs w:val="22"/>
        </w:rPr>
        <w:t xml:space="preserve"> expression status of predicted regulators and top 20 up-regulated and down-</w:t>
      </w:r>
      <w:r>
        <w:rPr>
          <w:b/>
          <w:color w:val="000000"/>
          <w:sz w:val="22"/>
          <w:szCs w:val="22"/>
        </w:rPr>
        <w:t xml:space="preserve">regulated regulators. </w:t>
      </w:r>
      <w:r>
        <w:rPr>
          <w:color w:val="000000"/>
          <w:sz w:val="22"/>
          <w:szCs w:val="22"/>
        </w:rPr>
        <w:t xml:space="preserve">1639 TFs from the Human TFs database and 167 epigenetic modifiers from the </w:t>
      </w:r>
      <w:proofErr w:type="spellStart"/>
      <w:r>
        <w:rPr>
          <w:color w:val="000000"/>
          <w:sz w:val="22"/>
          <w:szCs w:val="22"/>
        </w:rPr>
        <w:t>dbEM</w:t>
      </w:r>
      <w:proofErr w:type="spellEnd"/>
      <w:r>
        <w:rPr>
          <w:color w:val="000000"/>
          <w:sz w:val="22"/>
          <w:szCs w:val="22"/>
        </w:rPr>
        <w:t xml:space="preserve"> database were queried in the 44 human HD DEG datasets and their </w:t>
      </w:r>
      <w:proofErr w:type="spellStart"/>
      <w:r>
        <w:rPr>
          <w:color w:val="000000"/>
          <w:sz w:val="22"/>
          <w:szCs w:val="22"/>
        </w:rPr>
        <w:t>logFC</w:t>
      </w:r>
      <w:proofErr w:type="spellEnd"/>
      <w:r>
        <w:rPr>
          <w:color w:val="000000"/>
          <w:sz w:val="22"/>
          <w:szCs w:val="22"/>
        </w:rPr>
        <w:t xml:space="preserve"> values were retrieved if present. Regulators with differentially </w:t>
      </w:r>
      <w:r>
        <w:rPr>
          <w:color w:val="000000"/>
          <w:sz w:val="22"/>
          <w:szCs w:val="22"/>
        </w:rPr>
        <w:lastRenderedPageBreak/>
        <w:t>expressed targets w</w:t>
      </w:r>
      <w:r>
        <w:rPr>
          <w:color w:val="000000"/>
          <w:sz w:val="22"/>
          <w:szCs w:val="22"/>
        </w:rPr>
        <w:t xml:space="preserve">ere queried for their expression status in HD, and if differentially expressed the datasets where these regulators were up-regulated or down-regulated were counted. </w:t>
      </w:r>
      <w:r>
        <w:rPr>
          <w:sz w:val="22"/>
          <w:szCs w:val="22"/>
        </w:rPr>
        <w:t>Among the differentially expressed predicted regulators, top 20 up-regulators and down-regu</w:t>
      </w:r>
      <w:r>
        <w:rPr>
          <w:sz w:val="22"/>
          <w:szCs w:val="22"/>
        </w:rPr>
        <w:t>lated were ranked based on 1) the number of datasets where the regulator is up-regulated minor down-regulated and 2) the sum of TF scores of the regulator in all datasets.</w:t>
      </w:r>
    </w:p>
    <w:p w14:paraId="480BB694" w14:textId="77777777" w:rsidR="00183B28" w:rsidRDefault="00DA1E3D">
      <w:pPr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b/>
          <w:sz w:val="22"/>
          <w:szCs w:val="22"/>
        </w:rPr>
        <w:t>Dataset S10.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DEG analysis of mouse data, and comparison between mouse and human data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DEG frequency/membership in early, </w:t>
      </w:r>
      <w:proofErr w:type="gramStart"/>
      <w:r>
        <w:rPr>
          <w:sz w:val="22"/>
          <w:szCs w:val="22"/>
        </w:rPr>
        <w:t>intermediate</w:t>
      </w:r>
      <w:proofErr w:type="gramEnd"/>
      <w:r>
        <w:rPr>
          <w:sz w:val="22"/>
          <w:szCs w:val="22"/>
        </w:rPr>
        <w:t xml:space="preserve"> and late HD stages is summarized in mouse datasets. DEG list comparison was made between early, </w:t>
      </w:r>
      <w:proofErr w:type="gramStart"/>
      <w:r>
        <w:rPr>
          <w:sz w:val="22"/>
          <w:szCs w:val="22"/>
        </w:rPr>
        <w:t>intermediate</w:t>
      </w:r>
      <w:proofErr w:type="gramEnd"/>
      <w:r>
        <w:rPr>
          <w:sz w:val="22"/>
          <w:szCs w:val="22"/>
        </w:rPr>
        <w:t xml:space="preserve"> and late HD stages. For the intermediate to late HD stages in mouse, striatal DEGs discovered by </w:t>
      </w:r>
      <w:r>
        <w:rPr>
          <w:sz w:val="22"/>
          <w:szCs w:val="22"/>
        </w:rPr>
        <w:t>bulk RNA-seq were compared with MSN DEGs and interneuron DEGs discovered by snRNA-seq. Corresponding timepoints and cell types were compared between human and mouse: 1) early/</w:t>
      </w:r>
      <w:proofErr w:type="spellStart"/>
      <w:r>
        <w:rPr>
          <w:sz w:val="22"/>
          <w:szCs w:val="22"/>
        </w:rPr>
        <w:t>presymptomatic</w:t>
      </w:r>
      <w:proofErr w:type="spellEnd"/>
      <w:r>
        <w:rPr>
          <w:sz w:val="22"/>
          <w:szCs w:val="22"/>
        </w:rPr>
        <w:t xml:space="preserve"> striatal, 2) early/</w:t>
      </w:r>
      <w:proofErr w:type="spellStart"/>
      <w:r>
        <w:rPr>
          <w:sz w:val="22"/>
          <w:szCs w:val="22"/>
        </w:rPr>
        <w:t>presymptomatic</w:t>
      </w:r>
      <w:proofErr w:type="spellEnd"/>
      <w:r>
        <w:rPr>
          <w:sz w:val="22"/>
          <w:szCs w:val="22"/>
        </w:rPr>
        <w:t xml:space="preserve"> cortical, 3) intermediate-late/s</w:t>
      </w:r>
      <w:r>
        <w:rPr>
          <w:sz w:val="22"/>
          <w:szCs w:val="22"/>
        </w:rPr>
        <w:t>ymptomatic MSN, 4) intermediate-late/symptomatic interneurons, and 5) intermediate-late/symptomatic cortical.  Top 10 up-regulated and down-regulated DEG lists in each mouse dataset were extracted based on FDR.</w:t>
      </w:r>
    </w:p>
    <w:sectPr w:rsidR="00183B28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5FBB" w14:textId="77777777" w:rsidR="00000000" w:rsidRDefault="00DA1E3D">
      <w:pPr>
        <w:spacing w:before="0" w:after="0"/>
      </w:pPr>
      <w:r>
        <w:separator/>
      </w:r>
    </w:p>
  </w:endnote>
  <w:endnote w:type="continuationSeparator" w:id="0">
    <w:p w14:paraId="5A4A37D8" w14:textId="77777777" w:rsidR="00000000" w:rsidRDefault="00DA1E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B720" w14:textId="77777777" w:rsidR="00183B28" w:rsidRDefault="00DA1E3D">
    <w:pPr>
      <w:rPr>
        <w:color w:val="C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C3EF1D6" wp14:editId="45D098F3">
              <wp:simplePos x="0" y="0"/>
              <wp:positionH relativeFrom="column">
                <wp:posOffset>4686300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5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171E3C" w14:textId="77777777" w:rsidR="00183B28" w:rsidRDefault="00DA1E3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PAGE  \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>* Arabic  \* MERGEFORMAT 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0</wp:posOffset>
              </wp:positionV>
              <wp:extent cx="1518285" cy="405130"/>
              <wp:effectExtent b="0" l="0" r="0" t="0"/>
              <wp:wrapNone/>
              <wp:docPr id="5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828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4820" w14:textId="77777777" w:rsidR="00183B28" w:rsidRDefault="00DA1E3D">
    <w:pPr>
      <w:rPr>
        <w:b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E888601" wp14:editId="0689CB81">
              <wp:simplePos x="0" y="0"/>
              <wp:positionH relativeFrom="column">
                <wp:posOffset>4686300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5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D95D3" w14:textId="77777777" w:rsidR="00183B28" w:rsidRDefault="00DA1E3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000000"/>
                            </w:rPr>
                            <w:t>PAGE  \</w:t>
                          </w:r>
                          <w:proofErr w:type="gramEnd"/>
                          <w:r>
                            <w:rPr>
                              <w:color w:val="000000"/>
                            </w:rPr>
                            <w:t>* Arabic  \* MERGEFORMAT 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4686300</wp:posOffset>
              </wp:positionH>
              <wp:positionV relativeFrom="paragraph">
                <wp:posOffset>0</wp:posOffset>
              </wp:positionV>
              <wp:extent cx="1518285" cy="405130"/>
              <wp:effectExtent b="0" l="0" r="0" t="0"/>
              <wp:wrapNone/>
              <wp:docPr id="5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8285" cy="4051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2F0D" w14:textId="77777777" w:rsidR="00000000" w:rsidRDefault="00DA1E3D">
      <w:pPr>
        <w:spacing w:before="0" w:after="0"/>
      </w:pPr>
      <w:r>
        <w:separator/>
      </w:r>
    </w:p>
  </w:footnote>
  <w:footnote w:type="continuationSeparator" w:id="0">
    <w:p w14:paraId="0BAAA0CD" w14:textId="77777777" w:rsidR="00000000" w:rsidRDefault="00DA1E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2D4D" w14:textId="77777777" w:rsidR="00183B28" w:rsidRDefault="00DA1E3D">
    <w: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825D" w14:textId="77777777" w:rsidR="00183B28" w:rsidRDefault="00DA1E3D">
    <w:r>
      <w:rPr>
        <w:b/>
        <w:noProof/>
        <w:color w:val="A6A6A6"/>
      </w:rPr>
      <w:drawing>
        <wp:inline distT="0" distB="0" distL="0" distR="0" wp14:anchorId="6F50C025" wp14:editId="07E832B2">
          <wp:extent cx="1534909" cy="551877"/>
          <wp:effectExtent l="0" t="0" r="0" b="0"/>
          <wp:docPr id="59" name="image1.jpg" descr="C:\Users\Elaine.Scott\Documents\LaTex\____TEST____Frontiers_LaTeX_Templates_V2.5\Frontiers LaTeX (Science, Health and Engineering) V2.5 - with Supplementary material (V1.2)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Elaine.Scott\Documents\LaTex\____TEST____Frontiers_LaTeX_Templates_V2.5\Frontiers LaTeX (Science, Health and Engineering) V2.5 - with Supplementary material (V1.2)\logo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D05A4"/>
    <w:multiLevelType w:val="multilevel"/>
    <w:tmpl w:val="2DA476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28"/>
    <w:rsid w:val="00183B28"/>
    <w:rsid w:val="00D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8C98"/>
  <w15:docId w15:val="{21F81E4A-4AD1-4506-B109-83618735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157"/>
  </w:style>
  <w:style w:type="paragraph" w:styleId="Heading1">
    <w:name w:val="heading 1"/>
    <w:basedOn w:val="ListParagraph"/>
    <w:next w:val="Normal"/>
    <w:link w:val="Heading1Char"/>
    <w:uiPriority w:val="9"/>
    <w:qFormat/>
    <w:rsid w:val="00AB6715"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715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AB6715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6715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4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b/>
      <w:bCs/>
    </w:rPr>
  </w:style>
  <w:style w:type="paragraph" w:styleId="NoSpacing">
    <w:name w:val="No Spacing"/>
    <w:uiPriority w:val="99"/>
    <w:unhideWhenUsed/>
    <w:qFormat/>
    <w:rsid w:val="00AB6715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tabs>
        <w:tab w:val="num" w:pos="720"/>
      </w:tabs>
      <w:ind w:left="720" w:hanging="720"/>
      <w:contextualSpacing/>
    </w:pPr>
    <w:rPr>
      <w:rFonts w:eastAsia="Cambria"/>
    </w:rPr>
  </w:style>
  <w:style w:type="numbering" w:customStyle="1" w:styleId="Headings">
    <w:name w:val="Headings"/>
    <w:uiPriority w:val="99"/>
    <w:rsid w:val="00AB6715"/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55H/KELGM2TV3YFLEgqRauYcXw==">AMUW2mW0ININOAtRDdg6PVmbruyS0CpLPPpX/EopAEBYfcCM/isZBDJ5sTnEDcPPr5qdmiq6uhK/qk4amuLm0ck17ySUQvsCMhalTPTkmLe8VeE1m1OK9h8=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8280</Characters>
  <Application>Microsoft Office Word</Application>
  <DocSecurity>0</DocSecurity>
  <Lines>69</Lines>
  <Paragraphs>19</Paragraphs>
  <ScaleCrop>false</ScaleCrop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Jophcy Kumar</cp:lastModifiedBy>
  <cp:revision>2</cp:revision>
  <dcterms:created xsi:type="dcterms:W3CDTF">2021-09-15T08:49:00Z</dcterms:created>
  <dcterms:modified xsi:type="dcterms:W3CDTF">2021-09-15T08:49:00Z</dcterms:modified>
</cp:coreProperties>
</file>