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</w:pPr>
      <w:r>
        <w:t>Supplementary Material</w:t>
      </w:r>
    </w:p>
    <w:p>
      <w:pPr>
        <w:pStyle w:val="18"/>
      </w:pPr>
      <w:bookmarkStart w:id="0" w:name="_GoBack"/>
      <w:bookmarkEnd w:id="0"/>
    </w:p>
    <w:p>
      <w:pPr>
        <w:rPr>
          <w:szCs w:val="24"/>
        </w:rPr>
      </w:pPr>
      <w:r>
        <w:rPr>
          <w:b/>
          <w:bCs/>
          <w:color w:val="231F20"/>
          <w:szCs w:val="24"/>
        </w:rPr>
        <w:t>Supplementary Tables</w:t>
      </w:r>
    </w:p>
    <w:p>
      <w:pPr>
        <w:rPr>
          <w:szCs w:val="24"/>
        </w:rPr>
      </w:pPr>
      <w:r>
        <w:rPr>
          <w:b/>
          <w:szCs w:val="24"/>
        </w:rPr>
        <w:t>Table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 xml:space="preserve">S1. </w:t>
      </w:r>
      <w:r>
        <w:rPr>
          <w:szCs w:val="24"/>
        </w:rPr>
        <w:t>Demographic and clinicopathological characteristics of patients with clear-cell renal carcinoma (n = 537).</w:t>
      </w:r>
    </w:p>
    <w:p>
      <w:pPr>
        <w:rPr>
          <w:rFonts w:eastAsia="宋体"/>
          <w:szCs w:val="24"/>
          <w:lang w:eastAsia="zh-CN"/>
        </w:rPr>
      </w:pPr>
      <w:r>
        <w:rPr>
          <w:b/>
          <w:bCs/>
          <w:szCs w:val="24"/>
        </w:rPr>
        <w:t>Table S2.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The 239 m6A-related lncRNAs and their associated m6A gene</w:t>
      </w:r>
      <w:r>
        <w:rPr>
          <w:rFonts w:hint="eastAsia" w:eastAsia="宋体"/>
          <w:szCs w:val="24"/>
          <w:lang w:eastAsia="zh-CN"/>
        </w:rPr>
        <w:t>s.</w:t>
      </w:r>
    </w:p>
    <w:p>
      <w:pPr>
        <w:rPr>
          <w:szCs w:val="24"/>
        </w:rPr>
      </w:pPr>
      <w:r>
        <w:rPr>
          <w:b/>
          <w:szCs w:val="24"/>
        </w:rPr>
        <w:t>Table S</w:t>
      </w:r>
      <w:r>
        <w:rPr>
          <w:rFonts w:hint="eastAsia" w:eastAsia="宋体"/>
          <w:b/>
          <w:szCs w:val="24"/>
          <w:lang w:eastAsia="zh-CN"/>
        </w:rPr>
        <w:t>3</w:t>
      </w:r>
      <w:r>
        <w:rPr>
          <w:b/>
          <w:szCs w:val="24"/>
        </w:rPr>
        <w:t xml:space="preserve">. </w:t>
      </w:r>
      <w:r>
        <w:rPr>
          <w:szCs w:val="24"/>
        </w:rPr>
        <w:t>The 44 m6A-related prognostic lncRNAs.</w:t>
      </w:r>
    </w:p>
    <w:p>
      <w:pPr>
        <w:rPr>
          <w:szCs w:val="24"/>
        </w:rPr>
      </w:pPr>
      <w:r>
        <w:rPr>
          <w:b/>
          <w:szCs w:val="24"/>
        </w:rPr>
        <w:t>Table S</w:t>
      </w:r>
      <w:r>
        <w:rPr>
          <w:rFonts w:hint="eastAsia" w:eastAsia="宋体"/>
          <w:b/>
          <w:szCs w:val="24"/>
          <w:lang w:eastAsia="zh-CN"/>
        </w:rPr>
        <w:t>4</w:t>
      </w:r>
      <w:r>
        <w:rPr>
          <w:b/>
          <w:szCs w:val="24"/>
        </w:rPr>
        <w:t>.</w:t>
      </w:r>
      <w:r>
        <w:rPr>
          <w:rFonts w:hint="eastAsia" w:eastAsia="宋体"/>
          <w:b/>
          <w:szCs w:val="24"/>
          <w:lang w:eastAsia="zh-CN"/>
        </w:rPr>
        <w:t xml:space="preserve"> </w:t>
      </w:r>
      <w:r>
        <w:rPr>
          <w:rFonts w:hint="eastAsia"/>
          <w:szCs w:val="24"/>
        </w:rPr>
        <w:t>Interaction</w:t>
      </w:r>
      <w:r>
        <w:rPr>
          <w:rFonts w:hint="eastAsia" w:eastAsia="宋体"/>
          <w:szCs w:val="24"/>
          <w:lang w:eastAsia="zh-CN"/>
        </w:rPr>
        <w:t xml:space="preserve"> tests</w:t>
      </w:r>
      <w:r>
        <w:rPr>
          <w:rFonts w:hint="eastAsia"/>
          <w:szCs w:val="24"/>
        </w:rPr>
        <w:t xml:space="preserve"> between </w:t>
      </w:r>
      <w:r>
        <w:rPr>
          <w:rFonts w:hint="eastAsia" w:eastAsia="宋体"/>
          <w:szCs w:val="24"/>
          <w:lang w:val="en-US" w:eastAsia="zh-CN"/>
        </w:rPr>
        <w:t>the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risk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score and clinicopathological characteristics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rFonts w:hint="eastAsia"/>
          <w:szCs w:val="24"/>
        </w:rPr>
        <w:t>on</w:t>
      </w:r>
      <w:r>
        <w:rPr>
          <w:rFonts w:hint="eastAsia" w:eastAsia="宋体"/>
          <w:szCs w:val="24"/>
          <w:lang w:val="en-US" w:eastAsia="zh-CN"/>
        </w:rPr>
        <w:t xml:space="preserve"> the overall survival</w:t>
      </w:r>
      <w:r>
        <w:rPr>
          <w:szCs w:val="24"/>
        </w:rPr>
        <w:t xml:space="preserve"> </w:t>
      </w:r>
      <w:r>
        <w:rPr>
          <w:rFonts w:hint="eastAsia" w:eastAsia="宋体"/>
          <w:szCs w:val="24"/>
          <w:lang w:val="en-US" w:eastAsia="zh-CN"/>
        </w:rPr>
        <w:t>(</w:t>
      </w:r>
      <w:r>
        <w:rPr>
          <w:rFonts w:hint="eastAsia"/>
          <w:szCs w:val="24"/>
        </w:rPr>
        <w:t>OS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rFonts w:hint="eastAsia"/>
          <w:szCs w:val="24"/>
        </w:rPr>
        <w:t xml:space="preserve"> and </w:t>
      </w:r>
      <w:r>
        <w:rPr>
          <w:rFonts w:hint="eastAsia" w:eastAsia="宋体"/>
          <w:szCs w:val="24"/>
          <w:lang w:val="en-US" w:eastAsia="zh-CN"/>
        </w:rPr>
        <w:t>disease-specific survival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val="en-US" w:eastAsia="zh-CN"/>
        </w:rPr>
        <w:t>(</w:t>
      </w:r>
      <w:r>
        <w:rPr>
          <w:rFonts w:hint="eastAsia"/>
          <w:szCs w:val="24"/>
        </w:rPr>
        <w:t>DSS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rFonts w:hint="eastAsia" w:eastAsia="宋体"/>
          <w:szCs w:val="24"/>
          <w:lang w:eastAsia="zh-CN"/>
        </w:rPr>
        <w:t>.</w:t>
      </w:r>
      <w:r>
        <w:rPr>
          <w:rFonts w:hint="eastAsia"/>
          <w:szCs w:val="24"/>
        </w:rPr>
        <w:t xml:space="preserve"> 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b/>
          <w:bCs/>
          <w:color w:val="231F20"/>
          <w:szCs w:val="24"/>
        </w:rPr>
        <w:t>Supplementary Figures</w:t>
      </w:r>
    </w:p>
    <w:p>
      <w:pPr>
        <w:rPr>
          <w:bCs/>
          <w:szCs w:val="24"/>
        </w:rPr>
      </w:pPr>
      <w:r>
        <w:rPr>
          <w:b/>
          <w:bCs/>
          <w:szCs w:val="24"/>
        </w:rPr>
        <w:t>Figure</w:t>
      </w:r>
      <w:r>
        <w:rPr>
          <w:b/>
          <w:bCs/>
          <w:szCs w:val="24"/>
          <w:lang w:eastAsia="zh-CN"/>
        </w:rPr>
        <w:t xml:space="preserve"> </w:t>
      </w:r>
      <w:r>
        <w:rPr>
          <w:b/>
          <w:bCs/>
          <w:szCs w:val="24"/>
        </w:rPr>
        <w:t>S1</w:t>
      </w:r>
      <w:r>
        <w:rPr>
          <w:b/>
          <w:bCs/>
          <w:szCs w:val="24"/>
          <w:lang w:eastAsia="zh-CN"/>
        </w:rPr>
        <w:t xml:space="preserve">. </w:t>
      </w:r>
      <w:r>
        <w:rPr>
          <w:bCs/>
          <w:szCs w:val="24"/>
        </w:rPr>
        <w:t>Correlations between the selected immune checkpoints and the 44 m6A-related lncRNAs. *</w:t>
      </w:r>
      <w:r>
        <w:rPr>
          <w:bCs/>
          <w:i/>
          <w:szCs w:val="24"/>
        </w:rPr>
        <w:t xml:space="preserve">p </w:t>
      </w:r>
      <w:r>
        <w:rPr>
          <w:bCs/>
          <w:szCs w:val="24"/>
        </w:rPr>
        <w:t>&lt; 0.05.</w:t>
      </w:r>
    </w:p>
    <w:p>
      <w:pPr>
        <w:rPr>
          <w:szCs w:val="24"/>
          <w:lang w:eastAsia="zh-CN"/>
        </w:rPr>
      </w:pPr>
      <w:r>
        <w:rPr>
          <w:b/>
          <w:szCs w:val="24"/>
        </w:rPr>
        <w:t>Figure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>S2.</w:t>
      </w:r>
      <w:r>
        <w:rPr>
          <w:rFonts w:hint="eastAsia" w:eastAsia="宋体"/>
          <w:b/>
          <w:szCs w:val="24"/>
          <w:lang w:eastAsia="zh-CN"/>
        </w:rPr>
        <w:t xml:space="preserve"> </w:t>
      </w:r>
      <w:r>
        <w:rPr>
          <w:szCs w:val="24"/>
        </w:rPr>
        <w:t>Differential expression</w:t>
      </w:r>
      <w:r>
        <w:rPr>
          <w:rFonts w:hint="eastAsia" w:eastAsia="宋体"/>
          <w:szCs w:val="24"/>
          <w:lang w:eastAsia="zh-CN"/>
        </w:rPr>
        <w:t xml:space="preserve"> and </w:t>
      </w:r>
      <w:r>
        <w:rPr>
          <w:rFonts w:hint="eastAsia" w:eastAsia="宋体"/>
          <w:szCs w:val="24"/>
          <w:lang w:val="en-US" w:eastAsia="zh-CN"/>
        </w:rPr>
        <w:t>ovreall survival(</w:t>
      </w:r>
      <w:r>
        <w:rPr>
          <w:rFonts w:hint="eastAsia" w:eastAsia="宋体"/>
          <w:szCs w:val="24"/>
          <w:lang w:eastAsia="zh-CN"/>
        </w:rPr>
        <w:t>OS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szCs w:val="24"/>
        </w:rPr>
        <w:t xml:space="preserve">of the </w:t>
      </w:r>
      <w:r>
        <w:rPr>
          <w:rFonts w:hint="eastAsia" w:eastAsia="宋体"/>
          <w:szCs w:val="24"/>
          <w:lang w:eastAsia="zh-CN"/>
        </w:rPr>
        <w:t xml:space="preserve">5 </w:t>
      </w:r>
      <w:r>
        <w:rPr>
          <w:szCs w:val="24"/>
        </w:rPr>
        <w:t xml:space="preserve">m6A-RLs </w:t>
      </w:r>
      <w:r>
        <w:rPr>
          <w:rFonts w:hint="eastAsia" w:eastAsia="宋体"/>
          <w:szCs w:val="24"/>
          <w:lang w:eastAsia="zh-CN"/>
        </w:rPr>
        <w:t xml:space="preserve">in the  Lnc2Cancer 3.0 web tool. </w:t>
      </w:r>
    </w:p>
    <w:p>
      <w:pPr>
        <w:rPr>
          <w:b/>
          <w:szCs w:val="24"/>
        </w:rPr>
      </w:pPr>
      <w:r>
        <w:rPr>
          <w:b/>
          <w:szCs w:val="24"/>
        </w:rPr>
        <w:t>Figure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>S</w:t>
      </w:r>
      <w:r>
        <w:rPr>
          <w:rFonts w:hint="eastAsia" w:eastAsia="宋体"/>
          <w:b/>
          <w:szCs w:val="24"/>
          <w:lang w:eastAsia="zh-CN"/>
        </w:rPr>
        <w:t>3</w:t>
      </w:r>
      <w:r>
        <w:rPr>
          <w:b/>
          <w:szCs w:val="24"/>
        </w:rPr>
        <w:t>.</w:t>
      </w:r>
      <w:r>
        <w:rPr>
          <w:b/>
          <w:szCs w:val="24"/>
          <w:lang w:eastAsia="zh-CN"/>
        </w:rPr>
        <w:t xml:space="preserve"> </w:t>
      </w:r>
      <w:r>
        <w:rPr>
          <w:szCs w:val="24"/>
        </w:rPr>
        <w:t>Differential expression and OS of two co-expression m6A genes.</w:t>
      </w:r>
    </w:p>
    <w:p>
      <w:pPr>
        <w:rPr>
          <w:szCs w:val="24"/>
        </w:rPr>
      </w:pPr>
      <w:r>
        <w:rPr>
          <w:b/>
          <w:szCs w:val="24"/>
        </w:rPr>
        <w:t>Figure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>S</w:t>
      </w:r>
      <w:r>
        <w:rPr>
          <w:rFonts w:hint="eastAsia" w:eastAsia="宋体"/>
          <w:b/>
          <w:szCs w:val="24"/>
          <w:lang w:eastAsia="zh-CN"/>
        </w:rPr>
        <w:t>4</w:t>
      </w:r>
      <w:r>
        <w:rPr>
          <w:b/>
          <w:szCs w:val="24"/>
        </w:rPr>
        <w:t>.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 xml:space="preserve"> </w:t>
      </w:r>
      <w:r>
        <w:rPr>
          <w:rFonts w:hint="eastAsia" w:eastAsia="宋体"/>
          <w:b w:val="0"/>
          <w:bCs/>
          <w:szCs w:val="24"/>
          <w:lang w:val="en-US" w:eastAsia="zh-CN"/>
        </w:rPr>
        <w:t xml:space="preserve">(A) </w:t>
      </w:r>
      <w:r>
        <w:rPr>
          <w:szCs w:val="24"/>
        </w:rPr>
        <w:t>Kaplan–Meier curves</w:t>
      </w:r>
      <w:r>
        <w:rPr>
          <w:rFonts w:hint="eastAsia" w:eastAsia="宋体"/>
          <w:szCs w:val="24"/>
          <w:lang w:eastAsia="zh-CN"/>
        </w:rPr>
        <w:t xml:space="preserve"> of </w:t>
      </w:r>
      <w:r>
        <w:rPr>
          <w:rFonts w:hint="eastAsia" w:eastAsia="宋体"/>
          <w:szCs w:val="24"/>
          <w:lang w:val="en-US" w:eastAsia="zh-CN"/>
        </w:rPr>
        <w:t>the overall survival</w:t>
      </w:r>
      <w:r>
        <w:rPr>
          <w:rFonts w:eastAsia="宋体"/>
          <w:szCs w:val="24"/>
          <w:lang w:eastAsia="zh-CN"/>
        </w:rPr>
        <w:t xml:space="preserve"> </w:t>
      </w:r>
      <w:r>
        <w:rPr>
          <w:rFonts w:hint="eastAsia" w:eastAsia="宋体"/>
          <w:szCs w:val="24"/>
          <w:lang w:val="en-US" w:eastAsia="zh-CN"/>
        </w:rPr>
        <w:t>(</w:t>
      </w:r>
      <w:r>
        <w:rPr>
          <w:rFonts w:hint="eastAsia" w:eastAsia="宋体"/>
          <w:szCs w:val="24"/>
          <w:lang w:eastAsia="zh-CN"/>
        </w:rPr>
        <w:t>OS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szCs w:val="24"/>
        </w:rPr>
        <w:t>for the m6A-RLPS</w:t>
      </w:r>
      <w:r>
        <w:rPr>
          <w:rFonts w:hint="eastAsia" w:eastAsia="宋体"/>
          <w:szCs w:val="24"/>
          <w:lang w:val="en-US" w:eastAsia="zh-CN"/>
        </w:rPr>
        <w:t xml:space="preserve">; (B) </w:t>
      </w:r>
      <w:r>
        <w:rPr>
          <w:szCs w:val="24"/>
        </w:rPr>
        <w:t>Distributions of risk scores, survival status, and relative lncRNA expressions</w:t>
      </w:r>
      <w:r>
        <w:rPr>
          <w:rFonts w:hint="eastAsia" w:eastAsia="宋体"/>
          <w:szCs w:val="24"/>
          <w:lang w:val="en-US" w:eastAsia="zh-CN"/>
        </w:rPr>
        <w:t xml:space="preserve">; and (C) </w:t>
      </w:r>
      <w:r>
        <w:rPr>
          <w:szCs w:val="24"/>
        </w:rPr>
        <w:t xml:space="preserve">ROC curves for predicting 1-, 3-, and 5-year OS rates in the </w:t>
      </w:r>
      <w:r>
        <w:rPr>
          <w:rFonts w:hint="eastAsia"/>
          <w:szCs w:val="24"/>
        </w:rPr>
        <w:t>2</w:t>
      </w:r>
      <w:r>
        <w:rPr>
          <w:rFonts w:hint="eastAsia"/>
          <w:szCs w:val="24"/>
          <w:vertAlign w:val="superscript"/>
        </w:rPr>
        <w:t>nd</w:t>
      </w:r>
      <w:r>
        <w:rPr>
          <w:rFonts w:hint="eastAsia" w:eastAsia="宋体"/>
          <w:szCs w:val="24"/>
          <w:vertAlign w:val="superscript"/>
          <w:lang w:val="en-US" w:eastAsia="zh-CN"/>
        </w:rPr>
        <w:t xml:space="preserve"> </w:t>
      </w:r>
      <w:r>
        <w:rPr>
          <w:rFonts w:hint="eastAsia"/>
          <w:szCs w:val="24"/>
        </w:rPr>
        <w:t xml:space="preserve">validation </w:t>
      </w:r>
      <w:r>
        <w:rPr>
          <w:szCs w:val="24"/>
        </w:rPr>
        <w:t>cohort</w:t>
      </w:r>
      <w:r>
        <w:rPr>
          <w:rFonts w:hint="eastAsia" w:eastAsia="宋体"/>
          <w:szCs w:val="24"/>
          <w:lang w:val="en-US" w:eastAsia="zh-CN"/>
        </w:rPr>
        <w:t xml:space="preserve">. (D) Kaplan-Meier curves of OS for the m6A-RLPS; (E) Distributions of risk scores, survival status, and relative lncRNA expression; and (F) ROC curves for predicting 1-, 3-, and 5-year OS rates in the </w:t>
      </w:r>
      <w:r>
        <w:rPr>
          <w:rFonts w:hint="eastAsia"/>
          <w:szCs w:val="24"/>
        </w:rPr>
        <w:t>3</w:t>
      </w:r>
      <w:r>
        <w:rPr>
          <w:rFonts w:hint="eastAsia"/>
          <w:szCs w:val="24"/>
          <w:vertAlign w:val="superscript"/>
        </w:rPr>
        <w:t>rd</w:t>
      </w:r>
      <w:r>
        <w:rPr>
          <w:rFonts w:hint="eastAsia" w:eastAsia="宋体"/>
          <w:szCs w:val="24"/>
          <w:vertAlign w:val="superscript"/>
          <w:lang w:val="en-US" w:eastAsia="zh-CN"/>
        </w:rPr>
        <w:t xml:space="preserve"> </w:t>
      </w:r>
      <w:r>
        <w:rPr>
          <w:rFonts w:hint="eastAsia"/>
          <w:szCs w:val="24"/>
        </w:rPr>
        <w:t>validation</w:t>
      </w:r>
      <w:r>
        <w:rPr>
          <w:szCs w:val="24"/>
        </w:rPr>
        <w:t xml:space="preserve"> cohort.</w:t>
      </w:r>
    </w:p>
    <w:p>
      <w:pPr>
        <w:rPr>
          <w:szCs w:val="24"/>
        </w:rPr>
      </w:pPr>
      <w:r>
        <w:rPr>
          <w:b/>
          <w:szCs w:val="24"/>
        </w:rPr>
        <w:t xml:space="preserve">Figure </w:t>
      </w:r>
      <w:r>
        <w:rPr>
          <w:rFonts w:hint="eastAsia" w:eastAsia="宋体"/>
          <w:b/>
          <w:szCs w:val="24"/>
          <w:lang w:eastAsia="zh-CN"/>
        </w:rPr>
        <w:t>S5</w:t>
      </w:r>
      <w:r>
        <w:rPr>
          <w:b/>
          <w:szCs w:val="24"/>
        </w:rPr>
        <w:t xml:space="preserve">. </w:t>
      </w:r>
      <w:r>
        <w:rPr>
          <w:szCs w:val="24"/>
        </w:rPr>
        <w:t>Analysis of the m6A-RLPS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efficacy</w:t>
      </w:r>
      <w:r>
        <w:rPr>
          <w:rFonts w:hint="eastAsia" w:eastAsia="宋体"/>
          <w:szCs w:val="24"/>
          <w:lang w:eastAsia="zh-CN"/>
        </w:rPr>
        <w:t xml:space="preserve"> for </w:t>
      </w:r>
      <w:r>
        <w:rPr>
          <w:rFonts w:hint="eastAsia" w:eastAsia="宋体"/>
          <w:szCs w:val="24"/>
          <w:lang w:val="en-US" w:eastAsia="zh-CN"/>
        </w:rPr>
        <w:t>disease-specific survival (</w:t>
      </w:r>
      <w:r>
        <w:rPr>
          <w:rFonts w:hint="eastAsia" w:eastAsia="宋体"/>
          <w:szCs w:val="24"/>
          <w:lang w:eastAsia="zh-CN"/>
        </w:rPr>
        <w:t>DSS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szCs w:val="24"/>
        </w:rPr>
        <w:t>.</w:t>
      </w:r>
      <w:r>
        <w:rPr>
          <w:rFonts w:hint="eastAsia" w:eastAsia="宋体"/>
          <w:szCs w:val="24"/>
          <w:lang w:val="en-US" w:eastAsia="zh-CN"/>
        </w:rPr>
        <w:t xml:space="preserve"> (A,B) </w:t>
      </w:r>
      <w:r>
        <w:rPr>
          <w:szCs w:val="24"/>
        </w:rPr>
        <w:t>Kaplan–Meier curves</w:t>
      </w:r>
      <w:r>
        <w:rPr>
          <w:rFonts w:hint="eastAsia" w:eastAsia="宋体"/>
          <w:szCs w:val="24"/>
          <w:lang w:val="en-US"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and </w:t>
      </w:r>
      <w:r>
        <w:rPr>
          <w:rFonts w:hint="eastAsia" w:eastAsia="宋体"/>
          <w:szCs w:val="24"/>
          <w:lang w:val="en-US" w:eastAsia="zh-CN"/>
        </w:rPr>
        <w:t xml:space="preserve">(C,D) </w:t>
      </w:r>
      <w:r>
        <w:rPr>
          <w:szCs w:val="24"/>
        </w:rPr>
        <w:t>ROC curves in the</w:t>
      </w:r>
      <w:r>
        <w:rPr>
          <w:rFonts w:hint="eastAsia" w:eastAsia="宋体"/>
          <w:szCs w:val="24"/>
          <w:lang w:eastAsia="zh-CN"/>
        </w:rPr>
        <w:t xml:space="preserve"> training</w:t>
      </w:r>
      <w:r>
        <w:rPr>
          <w:rFonts w:hint="eastAsia" w:eastAsia="宋体"/>
          <w:szCs w:val="24"/>
          <w:lang w:val="en-US" w:eastAsia="zh-CN"/>
        </w:rPr>
        <w:t xml:space="preserve"> and </w:t>
      </w:r>
      <w:r>
        <w:rPr>
          <w:rFonts w:hint="eastAsia"/>
          <w:szCs w:val="24"/>
        </w:rPr>
        <w:t>1</w:t>
      </w:r>
      <w:r>
        <w:rPr>
          <w:rFonts w:hint="eastAsia"/>
          <w:szCs w:val="24"/>
          <w:vertAlign w:val="superscript"/>
        </w:rPr>
        <w:t>st</w:t>
      </w:r>
      <w:r>
        <w:rPr>
          <w:szCs w:val="24"/>
        </w:rPr>
        <w:t xml:space="preserve"> </w:t>
      </w:r>
      <w:r>
        <w:rPr>
          <w:rFonts w:hint="eastAsia" w:eastAsia="宋体"/>
          <w:szCs w:val="24"/>
          <w:lang w:val="en-US" w:eastAsia="zh-CN"/>
        </w:rPr>
        <w:t xml:space="preserve"> </w:t>
      </w:r>
      <w:r>
        <w:rPr>
          <w:rFonts w:hint="eastAsia"/>
          <w:szCs w:val="24"/>
        </w:rPr>
        <w:t>validation</w:t>
      </w:r>
      <w:r>
        <w:rPr>
          <w:szCs w:val="24"/>
        </w:rPr>
        <w:t xml:space="preserve"> cohort</w:t>
      </w:r>
      <w:r>
        <w:rPr>
          <w:rFonts w:hint="eastAsia" w:eastAsia="宋体"/>
          <w:szCs w:val="24"/>
          <w:lang w:eastAsia="zh-CN"/>
        </w:rPr>
        <w:t>s</w:t>
      </w:r>
      <w:r>
        <w:rPr>
          <w:szCs w:val="24"/>
        </w:rPr>
        <w:t>.</w:t>
      </w:r>
      <w:r>
        <w:rPr>
          <w:rFonts w:hint="eastAsia" w:eastAsia="宋体"/>
          <w:szCs w:val="24"/>
          <w:lang w:val="en-US" w:eastAsia="zh-CN"/>
        </w:rPr>
        <w:t xml:space="preserve"> (E,F) </w:t>
      </w:r>
      <w:r>
        <w:rPr>
          <w:szCs w:val="24"/>
        </w:rPr>
        <w:t>Kaplan–Meier curves</w:t>
      </w:r>
      <w:r>
        <w:rPr>
          <w:rFonts w:hint="eastAsia" w:eastAsia="宋体"/>
          <w:szCs w:val="24"/>
          <w:lang w:eastAsia="zh-CN"/>
        </w:rPr>
        <w:t xml:space="preserve"> and </w:t>
      </w:r>
      <w:r>
        <w:rPr>
          <w:rFonts w:hint="eastAsia" w:eastAsia="宋体"/>
          <w:szCs w:val="24"/>
          <w:lang w:val="en-US" w:eastAsia="zh-CN"/>
        </w:rPr>
        <w:t xml:space="preserve">(G,H) </w:t>
      </w:r>
      <w:r>
        <w:rPr>
          <w:szCs w:val="24"/>
        </w:rPr>
        <w:t>ROC curves in the</w:t>
      </w:r>
      <w:r>
        <w:rPr>
          <w:rFonts w:hint="eastAsia"/>
          <w:szCs w:val="24"/>
        </w:rPr>
        <w:t>2</w:t>
      </w:r>
      <w:r>
        <w:rPr>
          <w:rFonts w:hint="eastAsia"/>
          <w:szCs w:val="24"/>
          <w:vertAlign w:val="superscript"/>
        </w:rPr>
        <w:t>nd</w:t>
      </w:r>
      <w:r>
        <w:rPr>
          <w:rFonts w:hint="eastAsia" w:eastAsia="宋体"/>
          <w:szCs w:val="24"/>
          <w:vertAlign w:val="superscript"/>
          <w:lang w:val="en-US" w:eastAsia="zh-CN"/>
        </w:rPr>
        <w:t xml:space="preserve">  </w:t>
      </w:r>
      <w:r>
        <w:rPr>
          <w:rFonts w:hint="eastAsia" w:eastAsia="宋体"/>
          <w:szCs w:val="24"/>
          <w:lang w:val="en-US" w:eastAsia="zh-CN"/>
        </w:rPr>
        <w:t xml:space="preserve">and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3</w:t>
      </w:r>
      <w:r>
        <w:rPr>
          <w:rFonts w:hint="eastAsia"/>
          <w:szCs w:val="24"/>
          <w:vertAlign w:val="superscript"/>
        </w:rPr>
        <w:t>rd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rFonts w:hint="eastAsia"/>
          <w:szCs w:val="24"/>
        </w:rPr>
        <w:t>validation</w:t>
      </w:r>
      <w:r>
        <w:rPr>
          <w:szCs w:val="24"/>
        </w:rPr>
        <w:t xml:space="preserve"> cohort</w:t>
      </w:r>
      <w:r>
        <w:rPr>
          <w:rFonts w:hint="eastAsia" w:eastAsia="宋体"/>
          <w:szCs w:val="24"/>
          <w:lang w:eastAsia="zh-CN"/>
        </w:rPr>
        <w:t>s</w:t>
      </w:r>
      <w:r>
        <w:rPr>
          <w:szCs w:val="24"/>
        </w:rPr>
        <w:t>.</w:t>
      </w:r>
    </w:p>
    <w:p>
      <w:pPr>
        <w:rPr>
          <w:szCs w:val="24"/>
        </w:rPr>
      </w:pPr>
      <w:r>
        <w:rPr>
          <w:b/>
          <w:szCs w:val="24"/>
        </w:rPr>
        <w:t xml:space="preserve">Figure </w:t>
      </w:r>
      <w:r>
        <w:rPr>
          <w:rFonts w:hint="eastAsia" w:eastAsia="宋体"/>
          <w:b/>
          <w:szCs w:val="24"/>
          <w:lang w:eastAsia="zh-CN"/>
        </w:rPr>
        <w:t>S6</w:t>
      </w:r>
      <w:r>
        <w:rPr>
          <w:b/>
          <w:szCs w:val="24"/>
        </w:rPr>
        <w:t xml:space="preserve">. </w:t>
      </w:r>
      <w:r>
        <w:rPr>
          <w:szCs w:val="24"/>
        </w:rPr>
        <w:t>The m6A-RLPS is an independent prognostic indicator</w:t>
      </w:r>
      <w:r>
        <w:rPr>
          <w:rFonts w:hint="eastAsia" w:eastAsia="宋体"/>
          <w:szCs w:val="24"/>
          <w:lang w:eastAsia="zh-CN"/>
        </w:rPr>
        <w:t xml:space="preserve"> for</w:t>
      </w:r>
      <w:r>
        <w:rPr>
          <w:rFonts w:hint="eastAsia" w:eastAsia="宋体"/>
          <w:szCs w:val="24"/>
          <w:lang w:val="en-US" w:eastAsia="zh-CN"/>
        </w:rPr>
        <w:t xml:space="preserve"> disease-specific survival (</w:t>
      </w:r>
      <w:r>
        <w:rPr>
          <w:rFonts w:hint="eastAsia" w:eastAsia="宋体"/>
          <w:szCs w:val="24"/>
          <w:lang w:eastAsia="zh-CN"/>
        </w:rPr>
        <w:t>DSS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szCs w:val="24"/>
        </w:rPr>
        <w:t>. Univaria</w:t>
      </w:r>
      <w:r>
        <w:rPr>
          <w:rFonts w:hint="eastAsia" w:eastAsia="宋体"/>
          <w:szCs w:val="24"/>
          <w:lang w:eastAsia="zh-CN"/>
        </w:rPr>
        <w:t>ble</w:t>
      </w:r>
      <w:r>
        <w:rPr>
          <w:szCs w:val="24"/>
        </w:rPr>
        <w:t xml:space="preserve"> and multivariate Cox regression analyses in the training (A)</w:t>
      </w:r>
      <w:r>
        <w:rPr>
          <w:rFonts w:hint="eastAsia" w:eastAsia="宋体"/>
          <w:szCs w:val="24"/>
          <w:lang w:eastAsia="zh-CN"/>
        </w:rPr>
        <w:t xml:space="preserve">, </w:t>
      </w:r>
      <w:r>
        <w:rPr>
          <w:rFonts w:hint="eastAsia"/>
          <w:szCs w:val="24"/>
        </w:rPr>
        <w:t>1</w:t>
      </w:r>
      <w:r>
        <w:rPr>
          <w:rFonts w:hint="eastAsia"/>
          <w:szCs w:val="24"/>
          <w:vertAlign w:val="superscript"/>
        </w:rPr>
        <w:t>st</w:t>
      </w:r>
      <w:r>
        <w:rPr>
          <w:rFonts w:hint="eastAsia" w:eastAsia="宋体"/>
          <w:szCs w:val="24"/>
          <w:lang w:eastAsia="zh-CN"/>
        </w:rPr>
        <w:t xml:space="preserve"> (B), </w:t>
      </w:r>
      <w:r>
        <w:rPr>
          <w:rFonts w:hint="eastAsia"/>
          <w:szCs w:val="24"/>
        </w:rPr>
        <w:t>2</w:t>
      </w:r>
      <w:r>
        <w:rPr>
          <w:rFonts w:hint="eastAsia"/>
          <w:szCs w:val="24"/>
          <w:vertAlign w:val="superscript"/>
        </w:rPr>
        <w:t>nd</w:t>
      </w:r>
      <w:r>
        <w:rPr>
          <w:rFonts w:hint="eastAsia" w:eastAsia="宋体"/>
          <w:szCs w:val="24"/>
          <w:lang w:eastAsia="zh-CN"/>
        </w:rPr>
        <w:t xml:space="preserve"> (C), </w:t>
      </w:r>
      <w:r>
        <w:rPr>
          <w:szCs w:val="24"/>
        </w:rPr>
        <w:t>and</w:t>
      </w:r>
      <w:r>
        <w:rPr>
          <w:rFonts w:hint="eastAsia"/>
          <w:szCs w:val="24"/>
        </w:rPr>
        <w:t xml:space="preserve"> 3</w:t>
      </w:r>
      <w:r>
        <w:rPr>
          <w:rFonts w:hint="eastAsia"/>
          <w:szCs w:val="24"/>
          <w:vertAlign w:val="superscript"/>
        </w:rPr>
        <w:t>rd</w:t>
      </w:r>
      <w:r>
        <w:rPr>
          <w:rFonts w:hint="eastAsia" w:eastAsia="宋体"/>
          <w:szCs w:val="24"/>
          <w:vertAlign w:val="superscript"/>
          <w:lang w:eastAsia="zh-CN"/>
        </w:rPr>
        <w:t xml:space="preserve"> </w:t>
      </w:r>
      <w:r>
        <w:rPr>
          <w:rFonts w:hint="eastAsia" w:eastAsia="宋体"/>
          <w:szCs w:val="24"/>
          <w:lang w:eastAsia="zh-CN"/>
        </w:rPr>
        <w:t xml:space="preserve">(D) </w:t>
      </w:r>
      <w:r>
        <w:rPr>
          <w:szCs w:val="24"/>
        </w:rPr>
        <w:t>validation cohort</w:t>
      </w:r>
      <w:r>
        <w:rPr>
          <w:rFonts w:hint="eastAsia" w:eastAsia="宋体"/>
          <w:szCs w:val="24"/>
          <w:lang w:val="en-US" w:eastAsia="zh-CN"/>
        </w:rPr>
        <w:t>s</w:t>
      </w:r>
      <w:r>
        <w:rPr>
          <w:szCs w:val="24"/>
        </w:rPr>
        <w:t>. Survival analysi</w:t>
      </w:r>
      <w:r>
        <w:rPr>
          <w:rFonts w:hint="eastAsia" w:eastAsia="宋体"/>
          <w:szCs w:val="24"/>
          <w:lang w:eastAsia="zh-CN"/>
        </w:rPr>
        <w:t xml:space="preserve">s of DSS </w:t>
      </w:r>
      <w:r>
        <w:rPr>
          <w:szCs w:val="24"/>
        </w:rPr>
        <w:t>stratified by age (</w:t>
      </w:r>
      <w:r>
        <w:rPr>
          <w:rFonts w:hint="eastAsia" w:eastAsia="宋体"/>
          <w:szCs w:val="24"/>
          <w:lang w:eastAsia="zh-CN"/>
        </w:rPr>
        <w:t>E</w:t>
      </w:r>
      <w:r>
        <w:rPr>
          <w:szCs w:val="24"/>
        </w:rPr>
        <w:t xml:space="preserve">, </w:t>
      </w:r>
      <w:r>
        <w:rPr>
          <w:rFonts w:hint="eastAsia" w:eastAsia="宋体"/>
          <w:szCs w:val="24"/>
          <w:lang w:eastAsia="zh-CN"/>
        </w:rPr>
        <w:t>F</w:t>
      </w:r>
      <w:r>
        <w:rPr>
          <w:szCs w:val="24"/>
        </w:rPr>
        <w:t>), sex (</w:t>
      </w:r>
      <w:r>
        <w:rPr>
          <w:rFonts w:hint="eastAsia" w:eastAsia="宋体"/>
          <w:szCs w:val="24"/>
          <w:lang w:eastAsia="zh-CN"/>
        </w:rPr>
        <w:t>G</w:t>
      </w:r>
      <w:r>
        <w:rPr>
          <w:szCs w:val="24"/>
        </w:rPr>
        <w:t xml:space="preserve">, </w:t>
      </w:r>
      <w:r>
        <w:rPr>
          <w:rFonts w:hint="eastAsia" w:eastAsia="宋体"/>
          <w:szCs w:val="24"/>
          <w:lang w:eastAsia="zh-CN"/>
        </w:rPr>
        <w:t>H</w:t>
      </w:r>
      <w:r>
        <w:rPr>
          <w:szCs w:val="24"/>
        </w:rPr>
        <w:t>), tumor grade (</w:t>
      </w:r>
      <w:r>
        <w:rPr>
          <w:rFonts w:hint="eastAsia" w:eastAsia="宋体"/>
          <w:szCs w:val="24"/>
          <w:lang w:eastAsia="zh-CN"/>
        </w:rPr>
        <w:t>I</w:t>
      </w:r>
      <w:r>
        <w:rPr>
          <w:szCs w:val="24"/>
        </w:rPr>
        <w:t xml:space="preserve">, </w:t>
      </w:r>
      <w:r>
        <w:rPr>
          <w:rFonts w:hint="eastAsia" w:eastAsia="宋体"/>
          <w:szCs w:val="24"/>
          <w:lang w:eastAsia="zh-CN"/>
        </w:rPr>
        <w:t>J</w:t>
      </w:r>
      <w:r>
        <w:rPr>
          <w:szCs w:val="24"/>
        </w:rPr>
        <w:t>), clinical stage, (</w:t>
      </w:r>
      <w:r>
        <w:rPr>
          <w:rFonts w:hint="eastAsia" w:eastAsia="宋体"/>
          <w:szCs w:val="24"/>
          <w:lang w:eastAsia="zh-CN"/>
        </w:rPr>
        <w:t>K</w:t>
      </w:r>
      <w:r>
        <w:rPr>
          <w:szCs w:val="24"/>
        </w:rPr>
        <w:t xml:space="preserve">, </w:t>
      </w:r>
      <w:r>
        <w:rPr>
          <w:rFonts w:hint="eastAsia" w:eastAsia="宋体"/>
          <w:szCs w:val="24"/>
          <w:lang w:eastAsia="zh-CN"/>
        </w:rPr>
        <w:t>L</w:t>
      </w:r>
      <w:r>
        <w:rPr>
          <w:szCs w:val="24"/>
        </w:rPr>
        <w:t>), and T stage (</w:t>
      </w:r>
      <w:r>
        <w:rPr>
          <w:rFonts w:hint="eastAsia" w:eastAsia="宋体"/>
          <w:szCs w:val="24"/>
          <w:lang w:eastAsia="zh-CN"/>
        </w:rPr>
        <w:t>M</w:t>
      </w:r>
      <w:r>
        <w:rPr>
          <w:szCs w:val="24"/>
        </w:rPr>
        <w:t xml:space="preserve">, </w:t>
      </w:r>
      <w:r>
        <w:rPr>
          <w:rFonts w:hint="eastAsia" w:eastAsia="宋体"/>
          <w:szCs w:val="24"/>
          <w:lang w:eastAsia="zh-CN"/>
        </w:rPr>
        <w:t>N</w:t>
      </w:r>
      <w:r>
        <w:rPr>
          <w:szCs w:val="24"/>
        </w:rPr>
        <w:t xml:space="preserve">). </w:t>
      </w:r>
    </w:p>
    <w:p>
      <w:pPr>
        <w:rPr>
          <w:rFonts w:eastAsia="宋体"/>
          <w:szCs w:val="24"/>
          <w:lang w:eastAsia="zh-CN"/>
        </w:rPr>
      </w:pPr>
      <w:r>
        <w:rPr>
          <w:b/>
          <w:szCs w:val="24"/>
        </w:rPr>
        <w:t>Figure</w:t>
      </w:r>
      <w:r>
        <w:rPr>
          <w:b/>
          <w:szCs w:val="24"/>
          <w:lang w:eastAsia="zh-CN"/>
        </w:rPr>
        <w:t xml:space="preserve"> </w:t>
      </w:r>
      <w:r>
        <w:rPr>
          <w:b/>
          <w:szCs w:val="24"/>
        </w:rPr>
        <w:t>S</w:t>
      </w:r>
      <w:r>
        <w:rPr>
          <w:rFonts w:hint="eastAsia" w:eastAsia="宋体"/>
          <w:b/>
          <w:szCs w:val="24"/>
          <w:lang w:eastAsia="zh-CN"/>
        </w:rPr>
        <w:t>7</w:t>
      </w:r>
      <w:r>
        <w:rPr>
          <w:b/>
          <w:szCs w:val="24"/>
        </w:rPr>
        <w:t xml:space="preserve">. </w:t>
      </w:r>
      <w:r>
        <w:rPr>
          <w:rFonts w:hint="eastAsia" w:eastAsia="宋体"/>
          <w:b/>
          <w:szCs w:val="24"/>
          <w:lang w:eastAsia="zh-CN"/>
        </w:rPr>
        <w:t xml:space="preserve"> </w:t>
      </w:r>
      <w:r>
        <w:rPr>
          <w:szCs w:val="24"/>
        </w:rPr>
        <w:t>(</w:t>
      </w:r>
      <w:r>
        <w:rPr>
          <w:rFonts w:hint="eastAsia" w:eastAsia="宋体"/>
          <w:szCs w:val="24"/>
          <w:lang w:eastAsia="zh-CN"/>
        </w:rPr>
        <w:t>A</w:t>
      </w:r>
      <w:r>
        <w:rPr>
          <w:szCs w:val="24"/>
        </w:rPr>
        <w:t>) Nomogram based on age, tumor grade, clinical stage, and risk score</w:t>
      </w:r>
      <w:r>
        <w:rPr>
          <w:rFonts w:hint="eastAsia" w:eastAsia="宋体"/>
          <w:szCs w:val="24"/>
          <w:lang w:eastAsia="zh-CN"/>
        </w:rPr>
        <w:t xml:space="preserve">. </w:t>
      </w:r>
      <w:r>
        <w:rPr>
          <w:szCs w:val="24"/>
        </w:rPr>
        <w:t xml:space="preserve">Calibration curves of the nomogram </w:t>
      </w:r>
      <w:r>
        <w:rPr>
          <w:rFonts w:hint="eastAsia" w:eastAsia="宋体"/>
          <w:szCs w:val="24"/>
          <w:lang w:eastAsia="zh-CN"/>
        </w:rPr>
        <w:t xml:space="preserve">for predicting the probability of </w:t>
      </w:r>
      <w:r>
        <w:rPr>
          <w:rFonts w:hint="eastAsia" w:eastAsia="宋体"/>
          <w:szCs w:val="24"/>
          <w:lang w:val="en-US" w:eastAsia="zh-CN"/>
        </w:rPr>
        <w:t>overall survival (</w:t>
      </w:r>
      <w:r>
        <w:rPr>
          <w:rFonts w:hint="eastAsia" w:eastAsia="宋体"/>
          <w:szCs w:val="24"/>
          <w:lang w:eastAsia="zh-CN"/>
        </w:rPr>
        <w:t>OS</w:t>
      </w:r>
      <w:r>
        <w:rPr>
          <w:rFonts w:hint="eastAsia" w:eastAsia="宋体"/>
          <w:szCs w:val="24"/>
          <w:lang w:val="en-US" w:eastAsia="zh-CN"/>
        </w:rPr>
        <w:t>)</w:t>
      </w:r>
      <w:r>
        <w:rPr>
          <w:rFonts w:hint="eastAsia" w:eastAsia="宋体"/>
          <w:szCs w:val="24"/>
          <w:lang w:eastAsia="zh-CN"/>
        </w:rPr>
        <w:t xml:space="preserve"> at 3- and 5- years </w:t>
      </w:r>
      <w:r>
        <w:rPr>
          <w:szCs w:val="24"/>
        </w:rPr>
        <w:t>in the training (</w:t>
      </w:r>
      <w:r>
        <w:rPr>
          <w:rFonts w:hint="eastAsia" w:eastAsia="宋体"/>
          <w:szCs w:val="24"/>
          <w:lang w:eastAsia="zh-CN"/>
        </w:rPr>
        <w:t>B,C</w:t>
      </w:r>
      <w:r>
        <w:rPr>
          <w:szCs w:val="24"/>
        </w:rPr>
        <w:t>)</w:t>
      </w:r>
      <w:r>
        <w:rPr>
          <w:rFonts w:hint="eastAsia" w:eastAsia="宋体"/>
          <w:szCs w:val="24"/>
          <w:lang w:eastAsia="zh-CN"/>
        </w:rPr>
        <w:t xml:space="preserve">, </w:t>
      </w:r>
      <w:r>
        <w:rPr>
          <w:rFonts w:hint="eastAsia"/>
          <w:szCs w:val="24"/>
        </w:rPr>
        <w:t>1</w:t>
      </w:r>
      <w:r>
        <w:rPr>
          <w:rFonts w:hint="eastAsia"/>
          <w:szCs w:val="24"/>
          <w:vertAlign w:val="superscript"/>
        </w:rPr>
        <w:t>st</w:t>
      </w:r>
      <w:r>
        <w:rPr>
          <w:rFonts w:hint="eastAsia" w:eastAsia="宋体"/>
          <w:szCs w:val="24"/>
          <w:lang w:eastAsia="zh-CN"/>
        </w:rPr>
        <w:t xml:space="preserve"> (D,E), </w:t>
      </w:r>
      <w:r>
        <w:rPr>
          <w:rFonts w:hint="eastAsia"/>
          <w:szCs w:val="24"/>
        </w:rPr>
        <w:t>2</w:t>
      </w:r>
      <w:r>
        <w:rPr>
          <w:rFonts w:hint="eastAsia"/>
          <w:szCs w:val="24"/>
          <w:vertAlign w:val="superscript"/>
        </w:rPr>
        <w:t>nd</w:t>
      </w:r>
      <w:r>
        <w:rPr>
          <w:rFonts w:hint="eastAsia" w:eastAsia="宋体"/>
          <w:szCs w:val="24"/>
          <w:lang w:eastAsia="zh-CN"/>
        </w:rPr>
        <w:t xml:space="preserve"> (F,G),</w:t>
      </w:r>
      <w:r>
        <w:rPr>
          <w:szCs w:val="24"/>
        </w:rPr>
        <w:t xml:space="preserve"> and </w:t>
      </w:r>
      <w:r>
        <w:rPr>
          <w:rFonts w:hint="eastAsia"/>
          <w:szCs w:val="24"/>
        </w:rPr>
        <w:t xml:space="preserve"> 3</w:t>
      </w:r>
      <w:r>
        <w:rPr>
          <w:rFonts w:hint="eastAsia"/>
          <w:szCs w:val="24"/>
          <w:vertAlign w:val="superscript"/>
        </w:rPr>
        <w:t>rd</w:t>
      </w:r>
      <w:r>
        <w:rPr>
          <w:rFonts w:hint="eastAsia" w:eastAsia="宋体"/>
          <w:szCs w:val="24"/>
          <w:lang w:eastAsia="zh-CN"/>
        </w:rPr>
        <w:t xml:space="preserve"> </w:t>
      </w:r>
      <w:r>
        <w:rPr>
          <w:szCs w:val="24"/>
        </w:rPr>
        <w:t xml:space="preserve"> (</w:t>
      </w:r>
      <w:r>
        <w:rPr>
          <w:rFonts w:hint="eastAsia" w:eastAsia="宋体"/>
          <w:szCs w:val="24"/>
          <w:lang w:eastAsia="zh-CN"/>
        </w:rPr>
        <w:t>H,I</w:t>
      </w:r>
      <w:r>
        <w:rPr>
          <w:szCs w:val="24"/>
        </w:rPr>
        <w:t>) validation</w:t>
      </w:r>
      <w:r>
        <w:rPr>
          <w:rFonts w:hint="eastAsia" w:eastAsia="宋体"/>
          <w:szCs w:val="24"/>
          <w:lang w:eastAsia="zh-CN"/>
        </w:rPr>
        <w:t xml:space="preserve"> cohorts</w:t>
      </w:r>
      <w:r>
        <w:rPr>
          <w:szCs w:val="24"/>
        </w:rPr>
        <w:t xml:space="preserve"> (bootstrap method, 1,000 repetitions).</w:t>
      </w:r>
      <w:r>
        <w:rPr>
          <w:rFonts w:hint="eastAsia" w:eastAsia="宋体"/>
          <w:szCs w:val="24"/>
          <w:lang w:eastAsia="zh-CN"/>
        </w:rPr>
        <w:t xml:space="preserve"> </w:t>
      </w:r>
    </w:p>
    <w:p>
      <w:pPr>
        <w:spacing w:before="0" w:after="0"/>
        <w:rPr>
          <w:rFonts w:cs="Times New Roman"/>
          <w:szCs w:val="24"/>
        </w:rPr>
      </w:pPr>
      <w:r>
        <w:rPr>
          <w:b/>
          <w:szCs w:val="24"/>
        </w:rPr>
        <w:t>Figure S</w:t>
      </w:r>
      <w:r>
        <w:rPr>
          <w:rFonts w:hint="eastAsia" w:eastAsia="宋体"/>
          <w:b/>
          <w:szCs w:val="24"/>
          <w:lang w:eastAsia="zh-CN"/>
        </w:rPr>
        <w:t>8</w:t>
      </w:r>
      <w:r>
        <w:rPr>
          <w:b/>
          <w:szCs w:val="24"/>
        </w:rPr>
        <w:t xml:space="preserve">. </w:t>
      </w:r>
      <w:r>
        <w:rPr>
          <w:szCs w:val="24"/>
        </w:rPr>
        <w:t>Heatmap based on the chi-square test or Fisher’s exact test</w:t>
      </w:r>
      <w:r>
        <w:rPr>
          <w:rFonts w:hint="eastAsia" w:eastAsia="宋体"/>
          <w:szCs w:val="24"/>
          <w:lang w:val="en-US" w:eastAsia="zh-CN"/>
        </w:rPr>
        <w:t>,</w:t>
      </w:r>
      <w:r>
        <w:rPr>
          <w:szCs w:val="24"/>
        </w:rPr>
        <w:t xml:space="preserve"> illustrating association between the m6A-RLPS-based risk level and clinicopathological parameters. **</w:t>
      </w:r>
      <w:r>
        <w:rPr>
          <w:i/>
          <w:szCs w:val="24"/>
        </w:rPr>
        <w:t>p</w:t>
      </w:r>
      <w:r>
        <w:rPr>
          <w:szCs w:val="24"/>
        </w:rPr>
        <w:t xml:space="preserve"> &lt; 0.01, ***</w:t>
      </w:r>
      <w:r>
        <w:rPr>
          <w:i/>
          <w:szCs w:val="24"/>
        </w:rPr>
        <w:t>p</w:t>
      </w:r>
      <w:r>
        <w:rPr>
          <w:szCs w:val="24"/>
        </w:rPr>
        <w:t xml:space="preserve"> &lt; 0.001.</w:t>
      </w:r>
      <w:r>
        <w:rPr>
          <w:rFonts w:cs="Times New Roman"/>
          <w:szCs w:val="24"/>
        </w:rPr>
        <w:t xml:space="preserve"> </w:t>
      </w:r>
    </w:p>
    <w:p>
      <w:pPr>
        <w:spacing w:before="240"/>
      </w:pPr>
    </w:p>
    <w:sectPr>
      <w:headerReference r:id="rId5" w:type="first"/>
      <w:footerReference r:id="rId6" w:type="default"/>
      <w:headerReference r:id="rId4" w:type="even"/>
      <w:footerReference r:id="rId7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5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9.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A8m6LNIAAAAE&#10;AQAADwAAAGRycy9kb3ducmV2LnhtbE2PwU7DMBBE70j8g7VIXBC1E6QW0jg9VMq5asoHbOMlSbHX&#10;Uew05e8xXOCy0mhGM2/L3c1ZcaUpDJ41ZCsFgrj1ZuBOw/upfn4FESKyQeuZNHxRgF11f1diYfzC&#10;R7o2sROphEOBGvoYx0LK0PbkMKz8SJy8Dz85jElOnTQTLqncWZkrtZYOB04LPY6076n9bGanwefL&#10;kz02Wb0/LJdaHWY6NYG0fnzI1BZEpFv8C8MPfkKHKjGd/cwmCKshPRJ/b/Lyl80axFnD5k2BrEr5&#10;H776BlBLAwQUAAAACACHTuJAb9wNnDECAAB1BAAADgAAAGRycy9lMm9Eb2MueG1srVRNj9owEL1X&#10;6n+wfC8BCuwWEVZ0EVWlVXclturZOA6J5K/ahoT++j47gaXbHvbQSxjPjN/MezNmcdcqSY7C+dro&#10;nI4GQ0qE5qao9T6n3583H24p8YHpgkmjRU5PwtO75ft3i8bOxdhURhbCEYBoP29sTqsQ7DzLPK+E&#10;Yn5grNAIlsYpFnB0+6xwrAG6ktl4OJxljXGFdYYL7+Fdd0HaI7q3AJqyrLlYG35QQocO1QnJAij5&#10;qraeLlO3ZSl4eCxLLwKROQXTkL4oAnsXv9lyweZ7x2xV874F9pYWXnFSrNYoeoFas8DIwdV/Qama&#10;O+NNGQbcqKwjkhQBi9HwlTbbilmRuEBqby+i+/8Hy78dnxypi5xOZ5RopjDxZ9EG8tm0BC7o01g/&#10;R9rWIjG08GNrzn4PZ6Tdlk7FXxAiiEPd00XdiMbjpenw9maGEEdsOhzNpkn+7OW2dT58EUaRaOTU&#10;YXpJVHZ88AGdIPWcEotps6mlTBOUmjQ5nX0E5B8R3JA6ekTahR4mMuo6j1Zod21Pc2eKE1g60+2J&#10;t3xTo5UH5sMTc1gMdI+nEx7xKaVBSdNblFTG/fqXP+ZjXohS0mDRcup/HpgTlMivGpP8NJpMABvS&#10;YTK9GePgriO764g+qHuDXR7hkVqezJgf5NksnVE/8MJWsSpCTHPUzmk4m/ehW3+8UC5Wq5SEXbQs&#10;POit5RE6Cubt6hAgcNI9ytRpgyHEA7YxjaN/OXHdr88p6+XfYv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8m6LNIAAAAEAQAADwAAAAAAAAABACAAAAAiAAAAZHJzL2Rvd25yZXYueG1sUEsBAhQA&#10;FAAAAAgAh07iQG/cDZwxAgAAdQ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9.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A8m6LNIAAAAE&#10;AQAADwAAAGRycy9kb3ducmV2LnhtbE2PwU7DMBBE70j8g7VIXBC1E6QW0jg9VMq5asoHbOMlSbHX&#10;Uew05e8xXOCy0mhGM2/L3c1ZcaUpDJ41ZCsFgrj1ZuBOw/upfn4FESKyQeuZNHxRgF11f1diYfzC&#10;R7o2sROphEOBGvoYx0LK0PbkMKz8SJy8Dz85jElOnTQTLqncWZkrtZYOB04LPY6076n9bGanwefL&#10;kz02Wb0/LJdaHWY6NYG0fnzI1BZEpFv8C8MPfkKHKjGd/cwmCKshPRJ/b/Lyl80axFnD5k2BrEr5&#10;H776BlBLAwQUAAAACACHTuJAcMrYVS4CAABzBAAADgAAAGRycy9lMm9Eb2MueG1srVRNj9owEL1X&#10;6n+wfC8BCuwWEVZ0EVWlVXclturZOA6J5K/ahoT++j47gaXbHvbQSxjPjN/MezNmcdcqSY7C+dro&#10;nI4GQ0qE5qao9T6n3583H24p8YHpgkmjRU5PwtO75ft3i8bOxdhURhbCEYBoP29sTqsQ7DzLPK+E&#10;Yn5grNAIlsYpFnB0+6xwrAG6ktl4OJxljXGFdYYL7+Fdd0HaI7q3AJqyrLlYG35QQocO1QnJAij5&#10;qraeLlO3ZSl4eCxLLwKROQXTkL4oAnsXv9lyweZ7x2xV874F9pYWXnFSrNYoeoFas8DIwdV/Qama&#10;O+NNGQbcqKwjkhQBi9HwlTbbilmRuEBqby+i+/8Hy78dnxypC2wCJZopDPxZtIF8Ni0ZRXUa6+dI&#10;2lqkhRbumNn7PZyRdFs6FX9BhyAObU8XbSMYj5emw9ubGUIcselwNJsm8bOX29b58EUYRaKRU4fZ&#10;JUnZ8cEHVETqOSUW02ZTS5nmJzVpcjr7CMg/IrghdfSItAk9TGTUdR6t0O7ans7OFCewdKbbEm/5&#10;pkYrD8yHJ+awFugeDyc84lNKg5KmtyipjPv1L3/Mx7QQpaTBmuXU/zwwJyiRXzXm+Gk0mQA2pMNk&#10;ejPGwV1HdtcRfVD3BpuMWaG7ZMb8IM9m6Yz6gfe1ilURYpqjdk7D2bwP3fLjfXKxWqUkbKJl4UFv&#10;LY/QUTBvV4cAgZPuUaZOGwwhHrCLaRz9u4nLfn1OWS//F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8m6LNIAAAAEAQAADwAAAAAAAAABACAAAAAiAAAAZHJzL2Rvd25yZXYueG1sUEsBAhQAFAAA&#10;AAgAh07iQHDK2FUuAgAAcw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trackRevisions w:val="1"/>
  <w:documentProtection w:enforcement="0"/>
  <w:defaultTabStop w:val="720"/>
  <w:evenAndOddHeaders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DYzMTcxtbSwsDBV0lEKTi0uzszPAykwrAUA6NrbciwAAAA="/>
  </w:docVars>
  <w:rsids>
    <w:rsidRoot w:val="00ED20B5"/>
    <w:rsid w:val="0001436A"/>
    <w:rsid w:val="00034304"/>
    <w:rsid w:val="00035434"/>
    <w:rsid w:val="00052A14"/>
    <w:rsid w:val="00077D53"/>
    <w:rsid w:val="000E75DF"/>
    <w:rsid w:val="00105FD9"/>
    <w:rsid w:val="00117666"/>
    <w:rsid w:val="001549D3"/>
    <w:rsid w:val="00160065"/>
    <w:rsid w:val="00177D84"/>
    <w:rsid w:val="0020069F"/>
    <w:rsid w:val="00267D18"/>
    <w:rsid w:val="00274347"/>
    <w:rsid w:val="002868E2"/>
    <w:rsid w:val="002869C3"/>
    <w:rsid w:val="002936E4"/>
    <w:rsid w:val="002B4A57"/>
    <w:rsid w:val="002C74CA"/>
    <w:rsid w:val="003123F4"/>
    <w:rsid w:val="00324215"/>
    <w:rsid w:val="003544FB"/>
    <w:rsid w:val="003D2F2D"/>
    <w:rsid w:val="00401590"/>
    <w:rsid w:val="0040555E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03BB"/>
    <w:rsid w:val="006375C7"/>
    <w:rsid w:val="00654E8F"/>
    <w:rsid w:val="00660D05"/>
    <w:rsid w:val="006820B1"/>
    <w:rsid w:val="00683B1D"/>
    <w:rsid w:val="006B7CE0"/>
    <w:rsid w:val="006B7D14"/>
    <w:rsid w:val="00701727"/>
    <w:rsid w:val="0070566C"/>
    <w:rsid w:val="00714C50"/>
    <w:rsid w:val="00725A7D"/>
    <w:rsid w:val="007501BE"/>
    <w:rsid w:val="00753489"/>
    <w:rsid w:val="00790BB3"/>
    <w:rsid w:val="007C206C"/>
    <w:rsid w:val="00817DD6"/>
    <w:rsid w:val="008353E9"/>
    <w:rsid w:val="00836FEF"/>
    <w:rsid w:val="0083759F"/>
    <w:rsid w:val="00885156"/>
    <w:rsid w:val="009151AA"/>
    <w:rsid w:val="0093429D"/>
    <w:rsid w:val="00943573"/>
    <w:rsid w:val="00964134"/>
    <w:rsid w:val="00970F7D"/>
    <w:rsid w:val="00994A3D"/>
    <w:rsid w:val="009C1BA0"/>
    <w:rsid w:val="009C2B12"/>
    <w:rsid w:val="00A075F9"/>
    <w:rsid w:val="00A174D9"/>
    <w:rsid w:val="00AA4D24"/>
    <w:rsid w:val="00AB6715"/>
    <w:rsid w:val="00B1671E"/>
    <w:rsid w:val="00B17B89"/>
    <w:rsid w:val="00B25EB8"/>
    <w:rsid w:val="00B37F4D"/>
    <w:rsid w:val="00C127FC"/>
    <w:rsid w:val="00C52A7B"/>
    <w:rsid w:val="00C56BAF"/>
    <w:rsid w:val="00C679AA"/>
    <w:rsid w:val="00C75972"/>
    <w:rsid w:val="00CD066B"/>
    <w:rsid w:val="00CE4FEE"/>
    <w:rsid w:val="00D060CF"/>
    <w:rsid w:val="00D818B2"/>
    <w:rsid w:val="00DB59C3"/>
    <w:rsid w:val="00DC259A"/>
    <w:rsid w:val="00DE23E8"/>
    <w:rsid w:val="00E52377"/>
    <w:rsid w:val="00E537AD"/>
    <w:rsid w:val="00E64E17"/>
    <w:rsid w:val="00E77EF7"/>
    <w:rsid w:val="00E866C9"/>
    <w:rsid w:val="00EA3D3C"/>
    <w:rsid w:val="00EC090A"/>
    <w:rsid w:val="00ED20B5"/>
    <w:rsid w:val="00F46900"/>
    <w:rsid w:val="00F56104"/>
    <w:rsid w:val="00F61D89"/>
    <w:rsid w:val="0B6E431F"/>
    <w:rsid w:val="12BA77AD"/>
    <w:rsid w:val="13416211"/>
    <w:rsid w:val="198068DB"/>
    <w:rsid w:val="203372EA"/>
    <w:rsid w:val="24DC650E"/>
    <w:rsid w:val="3A7D6CFA"/>
    <w:rsid w:val="3C4C4D16"/>
    <w:rsid w:val="3F1F0EBB"/>
    <w:rsid w:val="490F7C63"/>
    <w:rsid w:val="4BA13276"/>
    <w:rsid w:val="54833602"/>
    <w:rsid w:val="57AB63DA"/>
    <w:rsid w:val="57CA70ED"/>
    <w:rsid w:val="5A3B0562"/>
    <w:rsid w:val="5A5B577D"/>
    <w:rsid w:val="5EA818A1"/>
    <w:rsid w:val="5FE31859"/>
    <w:rsid w:val="61490D1A"/>
    <w:rsid w:val="6CA058D6"/>
    <w:rsid w:val="6E0D7005"/>
    <w:rsid w:val="75A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1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1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1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1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D1F91-B634-3D4C-8C79-054C5DFB8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Pages>2</Pages>
  <Words>357</Words>
  <Characters>2115</Characters>
  <Lines>40</Lines>
  <Paragraphs>13</Paragraphs>
  <TotalTime>9</TotalTime>
  <ScaleCrop>false</ScaleCrop>
  <LinksUpToDate>false</LinksUpToDate>
  <CharactersWithSpaces>2459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2021-08-12T04:41:00Z</dcterms:created>
  <dc:creator>Author</dc:creator>
  <cp:lastModifiedBy>Author</cp:lastModifiedBy>
  <cp:lastPrinted>2013-10-03T12:51:00Z</cp:lastPrinted>
  <dcterms:modified xsi:type="dcterms:W3CDTF">2021-09-30T16:29:56Z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FA687B185D964143B2BF8276202A0963</vt:lpwstr>
  </property>
</Properties>
</file>