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3BD5A427" w14:textId="77777777" w:rsidR="00EA3D3C" w:rsidRPr="00994A3D" w:rsidRDefault="00654E8F" w:rsidP="0001436A">
      <w:pPr>
        <w:pStyle w:val="Heading1"/>
      </w:pPr>
      <w:r w:rsidRPr="00994A3D">
        <w:t>Supplementary Data</w:t>
      </w:r>
    </w:p>
    <w:p w14:paraId="7BE27F68" w14:textId="77777777" w:rsidR="00CF446A" w:rsidRPr="00CF446A" w:rsidRDefault="00CF446A" w:rsidP="00CF446A">
      <w:pPr>
        <w:pStyle w:val="Heading1"/>
        <w:rPr>
          <w:rFonts w:eastAsiaTheme="minorHAnsi"/>
          <w:bCs/>
        </w:rPr>
      </w:pPr>
      <w:r w:rsidRPr="00CF446A">
        <w:rPr>
          <w:rFonts w:eastAsiaTheme="minorHAnsi"/>
          <w:bCs/>
        </w:rPr>
        <w:t>Genetic testing</w:t>
      </w:r>
    </w:p>
    <w:p w14:paraId="3B3EA1E8" w14:textId="77777777" w:rsidR="00CF446A" w:rsidRPr="00CF446A" w:rsidRDefault="00CF446A" w:rsidP="00F52FC4">
      <w:pPr>
        <w:pStyle w:val="Heading1"/>
        <w:numPr>
          <w:ilvl w:val="0"/>
          <w:numId w:val="0"/>
        </w:numPr>
        <w:ind w:left="567"/>
        <w:rPr>
          <w:rFonts w:eastAsiaTheme="minorHAnsi"/>
          <w:b w:val="0"/>
        </w:rPr>
      </w:pPr>
      <w:r w:rsidRPr="00CF446A">
        <w:rPr>
          <w:rFonts w:eastAsiaTheme="minorHAnsi"/>
          <w:b w:val="0"/>
        </w:rPr>
        <w:t xml:space="preserve">After obtaining a written informed consent, DNA was isolated from peripheral blood cells and quantified with </w:t>
      </w:r>
      <w:proofErr w:type="spellStart"/>
      <w:r w:rsidRPr="00CF446A">
        <w:rPr>
          <w:rFonts w:eastAsiaTheme="minorHAnsi"/>
          <w:b w:val="0"/>
        </w:rPr>
        <w:t>NanoDrop</w:t>
      </w:r>
      <w:proofErr w:type="spellEnd"/>
      <w:r w:rsidRPr="00CF446A">
        <w:rPr>
          <w:rFonts w:eastAsiaTheme="minorHAnsi"/>
          <w:b w:val="0"/>
        </w:rPr>
        <w:t xml:space="preserve"> ND1000 UV-Vis Spectrophotometer and Qubit® fluorometer (Thermo Scientific). Next Generation Sequencing (NGS) analysis (</w:t>
      </w:r>
      <w:proofErr w:type="spellStart"/>
      <w:r w:rsidRPr="00CF446A">
        <w:rPr>
          <w:rFonts w:eastAsiaTheme="minorHAnsi"/>
          <w:b w:val="0"/>
        </w:rPr>
        <w:t>SureSelectQXT</w:t>
      </w:r>
      <w:proofErr w:type="spellEnd"/>
      <w:r w:rsidRPr="00CF446A">
        <w:rPr>
          <w:rFonts w:eastAsiaTheme="minorHAnsi"/>
          <w:b w:val="0"/>
        </w:rPr>
        <w:t xml:space="preserve"> Target Enrichment for Illumina Multiplexed Sequencing, Agilent Technologies) was performed, using a customized panel of 174 genes related to neurodegenerative diseases. Genes inserted in the customized panel are: AARS, ABCA7, ABCD1, ACTA1, ADH1C, ADORA1, AGBL5, ALS2, AMBRA1, ANG, AP5Z1, APEX1, APP, AR, ARHGEF28, ASAH1, ATL1, ATP13A2, ATP1A3, ATP2B3, ATXN1, ATXN2, ATXN3, BAG3, BRWD3, BSCL2, C9ORF72, CCS, CHCHD10, CHCHD2, CHMP2B, CLN8, COQ2, CRYM, CUL4B, CXCL8, CYP27A1, CYP7B1, DAO, DCTN1, DHTKD1, DNAJC12, DNAJC6, DPP6, DTNBP1, DYNC1H1, EDN1, EIF4G1, ELOVL7, ELP3, EPHA4, ERBB4, EWSR1, FA2H, FANCL, FBXO47, FBXO7, FEZF2, FGGY, FIG4, FUS, GARS, GBA, GBE1, GCH1, GDAP1, GIGYF2, NAT8, GLE1, GPNMB, GRN, HEXA, HFE, HGSNAT, HNRNPA1, HNRNPA2B1, HNRNPA3, HSPB3, HSPB8, ICAM1, IGHMBP2, IL1A, IL1B, ITPR2, KIF1A, KIF5A, KIFAP3, L1CAM, LIF, LRRK2, METAP2, MAPT, MATR3, MFN2, MRS2, NAIP, NEFH, NEK1, NOTCH3, OPA1, OPA3, OPTN, PANK2, PARK2, PARK7, PDYN, PFN1, PINK1 PLA2G6, PLEKHB2, PLP1, PNPLA6, POLG, PON1, PON2, PON3, PRNP, PRPH, PSEN1, PSEN2, PTRHD1, RAB39B, REEP1, RNF19A, SARM1, SETX, SCH2, SIGMAR1, SLC1A2, SLC1A4, SLC2A1, SLC52A1, SLC52A2, SLC52A3, SMN1, SNCA, SOD1, SORL1, SPAST, SPG11, SPG21, SPG7, TACR1, SPTLC1, SQSTM1, SS18L1, SYNE1, SYNJ1, TAF1, TAF15, TARDBP, TBK1, TNF, TOMM40, TREM2, TRIM28, TRPV4, TUBA4A, TUBB4A, UBA1, UBE2A, UBE3A, UBQLN2, UNC13A, UCHL1, VAPB, VCP, VEGFA, VPS13A, VPS13C, VPS35, VPS54, ZFYVE26, ZHX2. </w:t>
      </w:r>
      <w:proofErr w:type="spellStart"/>
      <w:r w:rsidRPr="00CF446A">
        <w:rPr>
          <w:rFonts w:eastAsiaTheme="minorHAnsi"/>
          <w:b w:val="0"/>
        </w:rPr>
        <w:t>FastQ</w:t>
      </w:r>
      <w:proofErr w:type="spellEnd"/>
      <w:r w:rsidRPr="00CF446A">
        <w:rPr>
          <w:rFonts w:eastAsiaTheme="minorHAnsi"/>
          <w:b w:val="0"/>
        </w:rPr>
        <w:t xml:space="preserve"> files generation was performed using </w:t>
      </w:r>
      <w:proofErr w:type="spellStart"/>
      <w:r w:rsidRPr="00CF446A">
        <w:rPr>
          <w:rFonts w:eastAsiaTheme="minorHAnsi"/>
          <w:b w:val="0"/>
        </w:rPr>
        <w:t>MiniSeq</w:t>
      </w:r>
      <w:proofErr w:type="spellEnd"/>
      <w:r w:rsidRPr="00CF446A">
        <w:rPr>
          <w:rFonts w:eastAsiaTheme="minorHAnsi"/>
          <w:b w:val="0"/>
        </w:rPr>
        <w:t xml:space="preserve"> provided software (Real Time Analysis RTA v.1.18.54 and Casava v.1.8.2, Illumina, Inc., San Diego, CA). </w:t>
      </w:r>
      <w:proofErr w:type="spellStart"/>
      <w:r w:rsidRPr="00CF446A">
        <w:rPr>
          <w:rFonts w:eastAsiaTheme="minorHAnsi"/>
          <w:b w:val="0"/>
        </w:rPr>
        <w:t>FastQ</w:t>
      </w:r>
      <w:proofErr w:type="spellEnd"/>
      <w:r w:rsidRPr="00CF446A">
        <w:rPr>
          <w:rFonts w:eastAsiaTheme="minorHAnsi"/>
          <w:b w:val="0"/>
        </w:rPr>
        <w:t xml:space="preserve"> files provided for each sample, containing mate paired-end reads after demultiplexing, were trimmed for adapter removal with </w:t>
      </w:r>
      <w:proofErr w:type="spellStart"/>
      <w:r w:rsidRPr="00CF446A">
        <w:rPr>
          <w:rFonts w:eastAsiaTheme="minorHAnsi"/>
          <w:b w:val="0"/>
        </w:rPr>
        <w:t>cutadapt</w:t>
      </w:r>
      <w:proofErr w:type="spellEnd"/>
      <w:r w:rsidRPr="00CF446A">
        <w:rPr>
          <w:rFonts w:eastAsiaTheme="minorHAnsi"/>
          <w:b w:val="0"/>
        </w:rPr>
        <w:t xml:space="preserve"> (v1.10). Trimmed </w:t>
      </w:r>
      <w:proofErr w:type="spellStart"/>
      <w:r w:rsidRPr="00CF446A">
        <w:rPr>
          <w:rFonts w:eastAsiaTheme="minorHAnsi"/>
          <w:b w:val="0"/>
        </w:rPr>
        <w:t>FastQ</w:t>
      </w:r>
      <w:proofErr w:type="spellEnd"/>
      <w:r w:rsidRPr="00CF446A">
        <w:rPr>
          <w:rFonts w:eastAsiaTheme="minorHAnsi"/>
          <w:b w:val="0"/>
        </w:rPr>
        <w:t xml:space="preserve"> files were aligned to hg19 reference genome exploiting the Burrows-Wheeler transformation-based alignment via BWA-mem software v7.5a (1). BAM files were sorted and indexed via </w:t>
      </w:r>
      <w:proofErr w:type="spellStart"/>
      <w:r w:rsidRPr="00CF446A">
        <w:rPr>
          <w:rFonts w:eastAsiaTheme="minorHAnsi"/>
          <w:b w:val="0"/>
        </w:rPr>
        <w:t>samtools</w:t>
      </w:r>
      <w:proofErr w:type="spellEnd"/>
      <w:r w:rsidRPr="00CF446A">
        <w:rPr>
          <w:rFonts w:eastAsiaTheme="minorHAnsi"/>
          <w:b w:val="0"/>
        </w:rPr>
        <w:t xml:space="preserve"> v1.19 and Picard-tools v1.95 (http://broadinstitute.github.io/picard/). GATK V3.1 was used for insertions/deletions realignment (with </w:t>
      </w:r>
      <w:proofErr w:type="spellStart"/>
      <w:r w:rsidRPr="00CF446A">
        <w:rPr>
          <w:rFonts w:eastAsiaTheme="minorHAnsi"/>
          <w:b w:val="0"/>
        </w:rPr>
        <w:t>RealignTargetCreator</w:t>
      </w:r>
      <w:proofErr w:type="spellEnd"/>
      <w:r w:rsidRPr="00CF446A">
        <w:rPr>
          <w:rFonts w:eastAsiaTheme="minorHAnsi"/>
          <w:b w:val="0"/>
        </w:rPr>
        <w:t xml:space="preserve">, </w:t>
      </w:r>
      <w:proofErr w:type="spellStart"/>
      <w:r w:rsidRPr="00CF446A">
        <w:rPr>
          <w:rFonts w:eastAsiaTheme="minorHAnsi"/>
          <w:b w:val="0"/>
        </w:rPr>
        <w:t>IndelRealigner</w:t>
      </w:r>
      <w:proofErr w:type="spellEnd"/>
      <w:r w:rsidRPr="00CF446A">
        <w:rPr>
          <w:rFonts w:eastAsiaTheme="minorHAnsi"/>
          <w:b w:val="0"/>
        </w:rPr>
        <w:t xml:space="preserve"> and </w:t>
      </w:r>
      <w:proofErr w:type="spellStart"/>
      <w:r w:rsidRPr="00CF446A">
        <w:rPr>
          <w:rFonts w:eastAsiaTheme="minorHAnsi"/>
          <w:b w:val="0"/>
        </w:rPr>
        <w:t>BaseRecalibrator</w:t>
      </w:r>
      <w:proofErr w:type="spellEnd"/>
      <w:r w:rsidRPr="00CF446A">
        <w:rPr>
          <w:rFonts w:eastAsiaTheme="minorHAnsi"/>
          <w:b w:val="0"/>
        </w:rPr>
        <w:t xml:space="preserve">) and variant calling (with </w:t>
      </w:r>
      <w:proofErr w:type="spellStart"/>
      <w:r w:rsidRPr="00CF446A">
        <w:rPr>
          <w:rFonts w:eastAsiaTheme="minorHAnsi"/>
          <w:b w:val="0"/>
        </w:rPr>
        <w:t>UnifiedGenotyper</w:t>
      </w:r>
      <w:proofErr w:type="spellEnd"/>
      <w:r w:rsidRPr="00CF446A">
        <w:rPr>
          <w:rFonts w:eastAsiaTheme="minorHAnsi"/>
          <w:b w:val="0"/>
        </w:rPr>
        <w:t xml:space="preserve">) according to GATK Best Practices recommendations (2-4). Produced VCF were processed with </w:t>
      </w:r>
      <w:proofErr w:type="spellStart"/>
      <w:r w:rsidRPr="00CF446A">
        <w:rPr>
          <w:rFonts w:eastAsiaTheme="minorHAnsi"/>
          <w:b w:val="0"/>
        </w:rPr>
        <w:t>eVAI</w:t>
      </w:r>
      <w:proofErr w:type="spellEnd"/>
      <w:r w:rsidRPr="00CF446A">
        <w:rPr>
          <w:rFonts w:eastAsiaTheme="minorHAnsi"/>
          <w:b w:val="0"/>
        </w:rPr>
        <w:t xml:space="preserve"> software (</w:t>
      </w:r>
      <w:proofErr w:type="spellStart"/>
      <w:r w:rsidRPr="00CF446A">
        <w:rPr>
          <w:rFonts w:eastAsiaTheme="minorHAnsi"/>
          <w:b w:val="0"/>
        </w:rPr>
        <w:t>enGenome</w:t>
      </w:r>
      <w:proofErr w:type="spellEnd"/>
      <w:r w:rsidRPr="00CF446A">
        <w:rPr>
          <w:rFonts w:eastAsiaTheme="minorHAnsi"/>
          <w:b w:val="0"/>
        </w:rPr>
        <w:t>, Pavia, Italy) for annotation and variant classification. Through NGS analysis we identified the heterozygote variant g.12669A&gt;C, c.272A&gt;C in the exon 4 of the SOD1 gene resulting in the amino acid change p.Asp91Ala. The c.272A&gt;C mutation was then confirmed by Sanger sequencing on ABI 3500 Genetic Analyzer (Applied Biosystems). The forward and reverse primers were 5′GAAGCCTTGTTTGAAGAGC3′ and 5′AACCGCGACTAACAATCAA3′ respectively (</w:t>
      </w:r>
      <w:proofErr w:type="spellStart"/>
      <w:r w:rsidRPr="00CF446A">
        <w:rPr>
          <w:rFonts w:eastAsiaTheme="minorHAnsi"/>
          <w:b w:val="0"/>
        </w:rPr>
        <w:t>Metabion</w:t>
      </w:r>
      <w:proofErr w:type="spellEnd"/>
      <w:r w:rsidRPr="00CF446A">
        <w:rPr>
          <w:rFonts w:eastAsiaTheme="minorHAnsi"/>
          <w:b w:val="0"/>
        </w:rPr>
        <w:t xml:space="preserve"> International AG, Germany) and PCR cycling conditions were 95 °C for 4 min, followed by 38 cycles of 95 °C for 30 s, 58 °C </w:t>
      </w:r>
      <w:r w:rsidRPr="00CF446A">
        <w:rPr>
          <w:rFonts w:eastAsiaTheme="minorHAnsi"/>
          <w:b w:val="0"/>
        </w:rPr>
        <w:lastRenderedPageBreak/>
        <w:t xml:space="preserve">for 30 s, 72 °C for 30 s, with a final extension step of 7 min at 72 °C. Mutation nomenclature is based on </w:t>
      </w:r>
      <w:proofErr w:type="spellStart"/>
      <w:r w:rsidRPr="00CF446A">
        <w:rPr>
          <w:rFonts w:eastAsiaTheme="minorHAnsi"/>
          <w:b w:val="0"/>
        </w:rPr>
        <w:t>RefSeq</w:t>
      </w:r>
      <w:proofErr w:type="spellEnd"/>
      <w:r w:rsidRPr="00CF446A">
        <w:rPr>
          <w:rFonts w:eastAsiaTheme="minorHAnsi"/>
          <w:b w:val="0"/>
        </w:rPr>
        <w:t xml:space="preserve"> NM_000454.4 [GenBank] (considering the A of the ATG as </w:t>
      </w:r>
      <w:proofErr w:type="spellStart"/>
      <w:r w:rsidRPr="00CF446A">
        <w:rPr>
          <w:rFonts w:eastAsiaTheme="minorHAnsi"/>
          <w:b w:val="0"/>
        </w:rPr>
        <w:t>nt</w:t>
      </w:r>
      <w:proofErr w:type="spellEnd"/>
      <w:r w:rsidRPr="00CF446A">
        <w:rPr>
          <w:rFonts w:eastAsiaTheme="minorHAnsi"/>
          <w:b w:val="0"/>
        </w:rPr>
        <w:t xml:space="preserve"> 1) and on </w:t>
      </w:r>
      <w:proofErr w:type="spellStart"/>
      <w:r w:rsidRPr="00CF446A">
        <w:rPr>
          <w:rFonts w:eastAsiaTheme="minorHAnsi"/>
          <w:b w:val="0"/>
        </w:rPr>
        <w:t>RefSeq</w:t>
      </w:r>
      <w:proofErr w:type="spellEnd"/>
      <w:r w:rsidRPr="00CF446A">
        <w:rPr>
          <w:rFonts w:eastAsiaTheme="minorHAnsi"/>
          <w:b w:val="0"/>
        </w:rPr>
        <w:t xml:space="preserve"> NG_008689.1 for SOD1 cDNA and genomic sequences respectively, and follows the guidelines of the Human Genome Variation Society (http://www.hgvs.org/mutnomen/). </w:t>
      </w:r>
    </w:p>
    <w:p w14:paraId="3D15A41C" w14:textId="77777777" w:rsidR="00CF446A" w:rsidRPr="00CF446A" w:rsidRDefault="00CF446A" w:rsidP="00F52FC4">
      <w:pPr>
        <w:pStyle w:val="Heading1"/>
        <w:numPr>
          <w:ilvl w:val="0"/>
          <w:numId w:val="0"/>
        </w:numPr>
        <w:ind w:left="567"/>
        <w:rPr>
          <w:rFonts w:eastAsiaTheme="minorHAnsi"/>
          <w:b w:val="0"/>
        </w:rPr>
      </w:pPr>
    </w:p>
    <w:p w14:paraId="45B65224" w14:textId="61908122" w:rsidR="00CF446A" w:rsidRPr="00CF446A" w:rsidRDefault="00CF446A" w:rsidP="00CF446A">
      <w:pPr>
        <w:pStyle w:val="Heading1"/>
        <w:rPr>
          <w:rFonts w:eastAsiaTheme="minorHAnsi"/>
          <w:bCs/>
        </w:rPr>
      </w:pPr>
      <w:r w:rsidRPr="00CF446A">
        <w:rPr>
          <w:rFonts w:eastAsiaTheme="minorHAnsi"/>
          <w:bCs/>
        </w:rPr>
        <w:t>Supplementa</w:t>
      </w:r>
      <w:r>
        <w:rPr>
          <w:rFonts w:eastAsiaTheme="minorHAnsi"/>
          <w:bCs/>
        </w:rPr>
        <w:t>ry</w:t>
      </w:r>
      <w:r w:rsidRPr="00CF446A">
        <w:rPr>
          <w:rFonts w:eastAsiaTheme="minorHAnsi"/>
          <w:bCs/>
        </w:rPr>
        <w:t xml:space="preserve"> </w:t>
      </w:r>
      <w:r>
        <w:rPr>
          <w:rFonts w:eastAsiaTheme="minorHAnsi"/>
          <w:bCs/>
        </w:rPr>
        <w:t>R</w:t>
      </w:r>
      <w:r w:rsidRPr="00CF446A">
        <w:rPr>
          <w:rFonts w:eastAsiaTheme="minorHAnsi"/>
          <w:bCs/>
        </w:rPr>
        <w:t>eferences</w:t>
      </w:r>
    </w:p>
    <w:p w14:paraId="7E79F67C" w14:textId="77777777" w:rsidR="00CF446A" w:rsidRPr="00CF446A" w:rsidRDefault="00CF446A" w:rsidP="00CF446A">
      <w:pPr>
        <w:pStyle w:val="Heading1"/>
        <w:numPr>
          <w:ilvl w:val="0"/>
          <w:numId w:val="0"/>
        </w:numPr>
        <w:ind w:left="567"/>
        <w:rPr>
          <w:rFonts w:eastAsiaTheme="minorHAnsi"/>
          <w:b w:val="0"/>
        </w:rPr>
      </w:pPr>
      <w:r w:rsidRPr="00CF446A">
        <w:rPr>
          <w:rFonts w:eastAsiaTheme="minorHAnsi"/>
          <w:b w:val="0"/>
        </w:rPr>
        <w:t xml:space="preserve">1. </w:t>
      </w:r>
      <w:r w:rsidRPr="00CF446A">
        <w:rPr>
          <w:rFonts w:eastAsiaTheme="minorHAnsi"/>
          <w:b w:val="0"/>
        </w:rPr>
        <w:tab/>
        <w:t>Li H, Durbin R. Fast and accurate short read alignment with Burrows-Wheeler transform. Bioinformatics. 2009 Jul;25(14):1754–60.</w:t>
      </w:r>
    </w:p>
    <w:p w14:paraId="27F1E7DD" w14:textId="77777777" w:rsidR="00CF446A" w:rsidRPr="00CF446A" w:rsidRDefault="00CF446A" w:rsidP="00CF446A">
      <w:pPr>
        <w:pStyle w:val="Heading1"/>
        <w:numPr>
          <w:ilvl w:val="0"/>
          <w:numId w:val="0"/>
        </w:numPr>
        <w:ind w:left="567"/>
        <w:rPr>
          <w:rFonts w:eastAsiaTheme="minorHAnsi"/>
          <w:b w:val="0"/>
        </w:rPr>
      </w:pPr>
      <w:r w:rsidRPr="00CF446A">
        <w:rPr>
          <w:rFonts w:eastAsiaTheme="minorHAnsi"/>
          <w:b w:val="0"/>
        </w:rPr>
        <w:t xml:space="preserve">2. </w:t>
      </w:r>
      <w:r w:rsidRPr="00CF446A">
        <w:rPr>
          <w:rFonts w:eastAsiaTheme="minorHAnsi"/>
          <w:b w:val="0"/>
        </w:rPr>
        <w:tab/>
        <w:t xml:space="preserve">Li H, </w:t>
      </w:r>
      <w:proofErr w:type="spellStart"/>
      <w:r w:rsidRPr="00CF446A">
        <w:rPr>
          <w:rFonts w:eastAsiaTheme="minorHAnsi"/>
          <w:b w:val="0"/>
        </w:rPr>
        <w:t>Handsaker</w:t>
      </w:r>
      <w:proofErr w:type="spellEnd"/>
      <w:r w:rsidRPr="00CF446A">
        <w:rPr>
          <w:rFonts w:eastAsiaTheme="minorHAnsi"/>
          <w:b w:val="0"/>
        </w:rPr>
        <w:t xml:space="preserve"> B, </w:t>
      </w:r>
      <w:proofErr w:type="spellStart"/>
      <w:r w:rsidRPr="00CF446A">
        <w:rPr>
          <w:rFonts w:eastAsiaTheme="minorHAnsi"/>
          <w:b w:val="0"/>
        </w:rPr>
        <w:t>Wysoker</w:t>
      </w:r>
      <w:proofErr w:type="spellEnd"/>
      <w:r w:rsidRPr="00CF446A">
        <w:rPr>
          <w:rFonts w:eastAsiaTheme="minorHAnsi"/>
          <w:b w:val="0"/>
        </w:rPr>
        <w:t xml:space="preserve"> A, Fennell T, </w:t>
      </w:r>
      <w:proofErr w:type="spellStart"/>
      <w:r w:rsidRPr="00CF446A">
        <w:rPr>
          <w:rFonts w:eastAsiaTheme="minorHAnsi"/>
          <w:b w:val="0"/>
        </w:rPr>
        <w:t>Ruan</w:t>
      </w:r>
      <w:proofErr w:type="spellEnd"/>
      <w:r w:rsidRPr="00CF446A">
        <w:rPr>
          <w:rFonts w:eastAsiaTheme="minorHAnsi"/>
          <w:b w:val="0"/>
        </w:rPr>
        <w:t xml:space="preserve"> J, Homer N, et al. The Sequence Alignment/Map format and </w:t>
      </w:r>
      <w:proofErr w:type="spellStart"/>
      <w:r w:rsidRPr="00CF446A">
        <w:rPr>
          <w:rFonts w:eastAsiaTheme="minorHAnsi"/>
          <w:b w:val="0"/>
        </w:rPr>
        <w:t>SAMtools</w:t>
      </w:r>
      <w:proofErr w:type="spellEnd"/>
      <w:r w:rsidRPr="00CF446A">
        <w:rPr>
          <w:rFonts w:eastAsiaTheme="minorHAnsi"/>
          <w:b w:val="0"/>
        </w:rPr>
        <w:t>. Bioinformatics. 2009 Aug;25(16):2078–9.</w:t>
      </w:r>
    </w:p>
    <w:p w14:paraId="0658C3A8" w14:textId="77777777" w:rsidR="00CF446A" w:rsidRPr="009D691C" w:rsidRDefault="00CF446A" w:rsidP="00CF446A">
      <w:pPr>
        <w:pStyle w:val="Heading1"/>
        <w:numPr>
          <w:ilvl w:val="0"/>
          <w:numId w:val="0"/>
        </w:numPr>
        <w:ind w:left="567"/>
        <w:rPr>
          <w:rFonts w:eastAsiaTheme="minorHAnsi"/>
          <w:b w:val="0"/>
          <w:lang w:val="it-IT"/>
        </w:rPr>
      </w:pPr>
      <w:r w:rsidRPr="009D691C">
        <w:rPr>
          <w:rFonts w:eastAsiaTheme="minorHAnsi"/>
          <w:b w:val="0"/>
        </w:rPr>
        <w:t xml:space="preserve">3. </w:t>
      </w:r>
      <w:r w:rsidRPr="009D691C">
        <w:rPr>
          <w:rFonts w:eastAsiaTheme="minorHAnsi"/>
          <w:b w:val="0"/>
        </w:rPr>
        <w:tab/>
        <w:t xml:space="preserve">Van der </w:t>
      </w:r>
      <w:proofErr w:type="spellStart"/>
      <w:r w:rsidRPr="009D691C">
        <w:rPr>
          <w:rFonts w:eastAsiaTheme="minorHAnsi"/>
          <w:b w:val="0"/>
        </w:rPr>
        <w:t>Auwera</w:t>
      </w:r>
      <w:proofErr w:type="spellEnd"/>
      <w:r w:rsidRPr="009D691C">
        <w:rPr>
          <w:rFonts w:eastAsiaTheme="minorHAnsi"/>
          <w:b w:val="0"/>
        </w:rPr>
        <w:t xml:space="preserve"> GA, Carneiro MO, </w:t>
      </w:r>
      <w:proofErr w:type="spellStart"/>
      <w:r w:rsidRPr="009D691C">
        <w:rPr>
          <w:rFonts w:eastAsiaTheme="minorHAnsi"/>
          <w:b w:val="0"/>
        </w:rPr>
        <w:t>Hartl</w:t>
      </w:r>
      <w:proofErr w:type="spellEnd"/>
      <w:r w:rsidRPr="009D691C">
        <w:rPr>
          <w:rFonts w:eastAsiaTheme="minorHAnsi"/>
          <w:b w:val="0"/>
        </w:rPr>
        <w:t xml:space="preserve"> C, Poplin R, del Angel G, Levy-Moonshine A, et al. </w:t>
      </w:r>
      <w:r w:rsidRPr="00CF446A">
        <w:rPr>
          <w:rFonts w:eastAsiaTheme="minorHAnsi"/>
          <w:b w:val="0"/>
        </w:rPr>
        <w:t xml:space="preserve">From </w:t>
      </w:r>
      <w:proofErr w:type="spellStart"/>
      <w:r w:rsidRPr="00CF446A">
        <w:rPr>
          <w:rFonts w:eastAsiaTheme="minorHAnsi"/>
          <w:b w:val="0"/>
        </w:rPr>
        <w:t>fastQ</w:t>
      </w:r>
      <w:proofErr w:type="spellEnd"/>
      <w:r w:rsidRPr="00CF446A">
        <w:rPr>
          <w:rFonts w:eastAsiaTheme="minorHAnsi"/>
          <w:b w:val="0"/>
        </w:rPr>
        <w:t xml:space="preserve"> data to high-confidence variant calls: The genome analysis toolkit best practices pipeline. </w:t>
      </w:r>
      <w:proofErr w:type="spellStart"/>
      <w:r w:rsidRPr="009D691C">
        <w:rPr>
          <w:rFonts w:eastAsiaTheme="minorHAnsi"/>
          <w:b w:val="0"/>
          <w:lang w:val="it-IT"/>
        </w:rPr>
        <w:t>Curr</w:t>
      </w:r>
      <w:proofErr w:type="spellEnd"/>
      <w:r w:rsidRPr="009D691C">
        <w:rPr>
          <w:rFonts w:eastAsiaTheme="minorHAnsi"/>
          <w:b w:val="0"/>
          <w:lang w:val="it-IT"/>
        </w:rPr>
        <w:t xml:space="preserve"> </w:t>
      </w:r>
      <w:proofErr w:type="spellStart"/>
      <w:r w:rsidRPr="009D691C">
        <w:rPr>
          <w:rFonts w:eastAsiaTheme="minorHAnsi"/>
          <w:b w:val="0"/>
          <w:lang w:val="it-IT"/>
        </w:rPr>
        <w:t>Protoc</w:t>
      </w:r>
      <w:proofErr w:type="spellEnd"/>
      <w:r w:rsidRPr="009D691C">
        <w:rPr>
          <w:rFonts w:eastAsiaTheme="minorHAnsi"/>
          <w:b w:val="0"/>
          <w:lang w:val="it-IT"/>
        </w:rPr>
        <w:t xml:space="preserve"> </w:t>
      </w:r>
      <w:proofErr w:type="spellStart"/>
      <w:r w:rsidRPr="009D691C">
        <w:rPr>
          <w:rFonts w:eastAsiaTheme="minorHAnsi"/>
          <w:b w:val="0"/>
          <w:lang w:val="it-IT"/>
        </w:rPr>
        <w:t>Bioinforma</w:t>
      </w:r>
      <w:proofErr w:type="spellEnd"/>
      <w:r w:rsidRPr="009D691C">
        <w:rPr>
          <w:rFonts w:eastAsiaTheme="minorHAnsi"/>
          <w:b w:val="0"/>
          <w:lang w:val="it-IT"/>
        </w:rPr>
        <w:t>. 2013;(SUPL.43).</w:t>
      </w:r>
    </w:p>
    <w:p w14:paraId="4D059444" w14:textId="293C8F3D" w:rsidR="00994A3D" w:rsidRPr="00994A3D" w:rsidRDefault="00CF446A" w:rsidP="00CF446A">
      <w:pPr>
        <w:pStyle w:val="Heading1"/>
        <w:numPr>
          <w:ilvl w:val="0"/>
          <w:numId w:val="0"/>
        </w:numPr>
        <w:ind w:left="567"/>
      </w:pPr>
      <w:r w:rsidRPr="00CF446A">
        <w:rPr>
          <w:rFonts w:eastAsiaTheme="minorHAnsi"/>
          <w:b w:val="0"/>
          <w:lang w:val="it-IT"/>
        </w:rPr>
        <w:t xml:space="preserve">4. </w:t>
      </w:r>
      <w:r w:rsidRPr="00CF446A">
        <w:rPr>
          <w:rFonts w:eastAsiaTheme="minorHAnsi"/>
          <w:b w:val="0"/>
          <w:lang w:val="it-IT"/>
        </w:rPr>
        <w:tab/>
      </w:r>
      <w:proofErr w:type="spellStart"/>
      <w:r w:rsidRPr="00CF446A">
        <w:rPr>
          <w:rFonts w:eastAsiaTheme="minorHAnsi"/>
          <w:b w:val="0"/>
          <w:lang w:val="it-IT"/>
        </w:rPr>
        <w:t>Depristo</w:t>
      </w:r>
      <w:proofErr w:type="spellEnd"/>
      <w:r w:rsidRPr="00CF446A">
        <w:rPr>
          <w:rFonts w:eastAsiaTheme="minorHAnsi"/>
          <w:b w:val="0"/>
          <w:lang w:val="it-IT"/>
        </w:rPr>
        <w:t xml:space="preserve"> MA, Banks E, </w:t>
      </w:r>
      <w:proofErr w:type="spellStart"/>
      <w:r w:rsidRPr="00CF446A">
        <w:rPr>
          <w:rFonts w:eastAsiaTheme="minorHAnsi"/>
          <w:b w:val="0"/>
          <w:lang w:val="it-IT"/>
        </w:rPr>
        <w:t>Poplin</w:t>
      </w:r>
      <w:proofErr w:type="spellEnd"/>
      <w:r w:rsidRPr="00CF446A">
        <w:rPr>
          <w:rFonts w:eastAsiaTheme="minorHAnsi"/>
          <w:b w:val="0"/>
          <w:lang w:val="it-IT"/>
        </w:rPr>
        <w:t xml:space="preserve"> R, </w:t>
      </w:r>
      <w:proofErr w:type="spellStart"/>
      <w:r w:rsidRPr="00CF446A">
        <w:rPr>
          <w:rFonts w:eastAsiaTheme="minorHAnsi"/>
          <w:b w:val="0"/>
          <w:lang w:val="it-IT"/>
        </w:rPr>
        <w:t>Garimella</w:t>
      </w:r>
      <w:proofErr w:type="spellEnd"/>
      <w:r w:rsidRPr="00CF446A">
        <w:rPr>
          <w:rFonts w:eastAsiaTheme="minorHAnsi"/>
          <w:b w:val="0"/>
          <w:lang w:val="it-IT"/>
        </w:rPr>
        <w:t xml:space="preserve"> K V., Maguire JR, </w:t>
      </w:r>
      <w:proofErr w:type="spellStart"/>
      <w:r w:rsidRPr="00CF446A">
        <w:rPr>
          <w:rFonts w:eastAsiaTheme="minorHAnsi"/>
          <w:b w:val="0"/>
          <w:lang w:val="it-IT"/>
        </w:rPr>
        <w:t>Hartl</w:t>
      </w:r>
      <w:proofErr w:type="spellEnd"/>
      <w:r w:rsidRPr="00CF446A">
        <w:rPr>
          <w:rFonts w:eastAsiaTheme="minorHAnsi"/>
          <w:b w:val="0"/>
          <w:lang w:val="it-IT"/>
        </w:rPr>
        <w:t xml:space="preserve"> C, et al. </w:t>
      </w:r>
      <w:r w:rsidRPr="00CF446A">
        <w:rPr>
          <w:rFonts w:eastAsiaTheme="minorHAnsi"/>
          <w:b w:val="0"/>
        </w:rPr>
        <w:t>A framework for variation discovery and genotyping using next-generation DNA sequencing data. Nat Genet. 2011 May;43(5):491–501.</w:t>
      </w:r>
    </w:p>
    <w:p w14:paraId="7B65BC41" w14:textId="77777777" w:rsidR="00DE23E8" w:rsidRPr="001549D3" w:rsidRDefault="00DE23E8" w:rsidP="00654E8F">
      <w:pPr>
        <w:spacing w:before="240"/>
      </w:pPr>
    </w:p>
    <w:sectPr w:rsidR="00DE23E8" w:rsidRPr="001549D3" w:rsidSect="009D691C">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101A" w14:textId="77777777" w:rsidR="00E7025B" w:rsidRDefault="00E7025B" w:rsidP="00117666">
      <w:pPr>
        <w:spacing w:after="0"/>
      </w:pPr>
      <w:r>
        <w:separator/>
      </w:r>
    </w:p>
  </w:endnote>
  <w:endnote w:type="continuationSeparator" w:id="0">
    <w:p w14:paraId="4F3E01EC" w14:textId="77777777" w:rsidR="00E7025B" w:rsidRDefault="00E7025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D718" w14:textId="77777777" w:rsidR="00E7025B" w:rsidRDefault="00E7025B" w:rsidP="00117666">
      <w:pPr>
        <w:spacing w:after="0"/>
      </w:pPr>
      <w:r>
        <w:separator/>
      </w:r>
    </w:p>
  </w:footnote>
  <w:footnote w:type="continuationSeparator" w:id="0">
    <w:p w14:paraId="57747AD1" w14:textId="77777777" w:rsidR="00E7025B" w:rsidRDefault="00E7025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66205"/>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9D691C"/>
    <w:rsid w:val="00A174D9"/>
    <w:rsid w:val="00AA4D24"/>
    <w:rsid w:val="00AB6715"/>
    <w:rsid w:val="00B1671E"/>
    <w:rsid w:val="00B25EB8"/>
    <w:rsid w:val="00B37F4D"/>
    <w:rsid w:val="00C52A7B"/>
    <w:rsid w:val="00C56BAF"/>
    <w:rsid w:val="00C679AA"/>
    <w:rsid w:val="00C75972"/>
    <w:rsid w:val="00CD066B"/>
    <w:rsid w:val="00CE4FEE"/>
    <w:rsid w:val="00CF446A"/>
    <w:rsid w:val="00D060CF"/>
    <w:rsid w:val="00DB59C3"/>
    <w:rsid w:val="00DC259A"/>
    <w:rsid w:val="00DE23E8"/>
    <w:rsid w:val="00E52377"/>
    <w:rsid w:val="00E537AD"/>
    <w:rsid w:val="00E64E17"/>
    <w:rsid w:val="00E7025B"/>
    <w:rsid w:val="00E866C9"/>
    <w:rsid w:val="00EA3D3C"/>
    <w:rsid w:val="00EC090A"/>
    <w:rsid w:val="00ED20B5"/>
    <w:rsid w:val="00F46900"/>
    <w:rsid w:val="00F52FC4"/>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John Magri</cp:lastModifiedBy>
  <cp:revision>3</cp:revision>
  <cp:lastPrinted>2013-10-03T12:51:00Z</cp:lastPrinted>
  <dcterms:created xsi:type="dcterms:W3CDTF">2021-05-10T05:44:00Z</dcterms:created>
  <dcterms:modified xsi:type="dcterms:W3CDTF">2021-09-01T08:56:00Z</dcterms:modified>
</cp:coreProperties>
</file>