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Figure 1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Validation was performed using unsupervised cluster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analysis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>o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n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 dataset</w:t>
      </w:r>
      <w:r>
        <w:rPr>
          <w:rFonts w:hint="default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GSE15235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 (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A) Heatmap displaying t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he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d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 xml:space="preserve">ifferential 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expressed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gene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s,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immune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and stroma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cell composition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of all 3 BA subtypes. (B) Silhouette plots for each identified BA subtype.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114300" distR="114300">
            <wp:extent cx="3916045" cy="6710045"/>
            <wp:effectExtent l="0" t="0" r="635" b="10795"/>
            <wp:docPr id="10" name="图片 10" descr="SF-1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F-1 ne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spacing w:line="360" w:lineRule="auto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highlight w:val="none"/>
        </w:rPr>
        <w:t>Gene Set Variation Analysis (GSVA)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 xml:space="preserve"> performed on dataset GSE46995.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0" distR="0">
            <wp:extent cx="5486400" cy="59474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hint="eastAsia" w:ascii="Times New Roman" w:hAnsi="Times New Roman" w:cs="Times New Roman"/>
          <w:sz w:val="24"/>
          <w:szCs w:val="24"/>
        </w:rPr>
        <w:t xml:space="preserve"> The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intricate </w:t>
      </w:r>
      <w:r>
        <w:rPr>
          <w:rFonts w:hint="eastAsia" w:ascii="Times New Roman" w:hAnsi="Times New Roman" w:cs="Times New Roman"/>
          <w:sz w:val="24"/>
          <w:szCs w:val="24"/>
        </w:rPr>
        <w:t xml:space="preserve">relationship between hub genes and enriched Reactome pathways in each subgroup was visualized by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hint="eastAsia" w:ascii="Times New Roman" w:hAnsi="Times New Roman" w:cs="Times New Roman"/>
          <w:sz w:val="24"/>
          <w:szCs w:val="24"/>
        </w:rPr>
        <w:t>clusterprofile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Panels</w:t>
      </w:r>
      <w:r>
        <w:rPr>
          <w:rFonts w:ascii="Times New Roman" w:hAnsi="Times New Roman" w:cs="Times New Roman"/>
          <w:sz w:val="24"/>
          <w:szCs w:val="24"/>
        </w:rPr>
        <w:t xml:space="preserve"> A, B and C represents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cnetplots for </w:t>
      </w:r>
      <w:r>
        <w:rPr>
          <w:rFonts w:ascii="Times New Roman" w:hAnsi="Times New Roman" w:cs="Times New Roman"/>
          <w:sz w:val="24"/>
          <w:szCs w:val="24"/>
        </w:rPr>
        <w:t>subtype 1, subtype 2 and subtype 3, respectively.</w:t>
      </w:r>
    </w:p>
    <w:p>
      <w:pPr>
        <w:pStyle w:val="6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000500" cy="674370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4070" cy="674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Times New Roman" w:hAnsi="Times New Roman" w:eastAsia="等线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6"/>
        <w:spacing w:line="360" w:lineRule="auto"/>
        <w:rPr>
          <w:rFonts w:hint="eastAsia"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4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The e</w:t>
      </w:r>
      <w:r>
        <w:rPr>
          <w:rFonts w:ascii="Times New Roman" w:hAnsi="Times New Roman" w:cs="Times New Roman"/>
          <w:sz w:val="24"/>
          <w:szCs w:val="24"/>
        </w:rPr>
        <w:t xml:space="preserve">xpression of 35 overlapping genes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was </w:t>
      </w:r>
      <w:r>
        <w:rPr>
          <w:rFonts w:ascii="Times New Roman" w:hAnsi="Times New Roman" w:cs="Times New Roman"/>
          <w:sz w:val="24"/>
          <w:szCs w:val="24"/>
        </w:rPr>
        <w:t xml:space="preserve">related to neutrophil degranulation in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BA group and non-BA group.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(</w:t>
      </w:r>
      <w:r>
        <w:rPr>
          <w:rFonts w:hint="eastAsia" w:ascii="Times New Roman" w:hAnsi="Times New Roman" w:cs="Times New Roman"/>
          <w:i/>
          <w:iCs/>
          <w:sz w:val="24"/>
          <w:szCs w:val="24"/>
          <w:lang w:eastAsia="zh-CN"/>
        </w:rPr>
        <w:t>p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&lt;0.05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indicated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 xml:space="preserve"> statistical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ly significant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 xml:space="preserve"> difference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)</w:t>
      </w:r>
    </w:p>
    <w:p>
      <w:pPr>
        <w:pStyle w:val="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72785" cy="4410075"/>
            <wp:effectExtent l="0" t="0" r="3175" b="952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3885" cy="441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6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ifferential expression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analysis </w:t>
      </w:r>
      <w:r>
        <w:rPr>
          <w:rFonts w:ascii="Times New Roman" w:hAnsi="Times New Roman" w:cs="Times New Roman"/>
          <w:sz w:val="24"/>
          <w:szCs w:val="24"/>
        </w:rPr>
        <w:t xml:space="preserve">of hub genes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TYROBP, FCGR2A, CD68, C3AR1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and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 xml:space="preserve"> ITGB2</w:t>
      </w:r>
      <w:r>
        <w:rPr>
          <w:rFonts w:hint="default" w:ascii="Times New Roman" w:hAnsi="Times New Roman" w:cs="Times New Roman"/>
          <w:i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 w:val="0"/>
          <w:iCs/>
          <w:kern w:val="0"/>
          <w:sz w:val="24"/>
          <w:szCs w:val="24"/>
          <w:lang w:val="en-US" w:eastAsia="zh-CN"/>
        </w:rPr>
        <w:t>was performed</w:t>
      </w:r>
      <w:r>
        <w:rPr>
          <w:rFonts w:ascii="Times New Roman" w:hAnsi="Times New Roman" w:cs="Times New Roman"/>
          <w:sz w:val="24"/>
          <w:szCs w:val="24"/>
        </w:rPr>
        <w:t xml:space="preserve"> in the healthy subject group and the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>three BA subtypes.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drawing>
          <wp:inline distT="0" distB="0" distL="114300" distR="114300">
            <wp:extent cx="5486400" cy="3378835"/>
            <wp:effectExtent l="0" t="0" r="0" b="4445"/>
            <wp:docPr id="2" name="图片 2" descr="New supplementary fig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ew supplementary fig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2"/>
        <w:spacing w:line="360" w:lineRule="auto"/>
        <w:jc w:val="both"/>
        <w:rPr>
          <w:rFonts w:hint="eastAsia" w:eastAsia="宋体"/>
          <w:b w:val="0"/>
          <w:bCs w:val="0"/>
          <w:sz w:val="24"/>
          <w:szCs w:val="24"/>
          <w:lang w:val="en-US" w:eastAsia="zh-CN"/>
        </w:rPr>
      </w:pPr>
      <w:r>
        <w:rPr>
          <w:sz w:val="24"/>
          <w:szCs w:val="24"/>
        </w:rPr>
        <w:t xml:space="preserve">Supplementary Figure </w:t>
      </w:r>
      <w:r>
        <w:rPr>
          <w:rFonts w:hint="eastAsia" w:eastAsia="宋体"/>
          <w:sz w:val="24"/>
          <w:szCs w:val="24"/>
          <w:lang w:val="en-US" w:eastAsia="zh-CN"/>
        </w:rPr>
        <w:t>6</w:t>
      </w:r>
      <w:r>
        <w:rPr>
          <w:b w:val="0"/>
          <w:bCs w:val="0"/>
          <w:sz w:val="24"/>
          <w:szCs w:val="24"/>
        </w:rPr>
        <w:t xml:space="preserve">. </w:t>
      </w:r>
      <w:r>
        <w:rPr>
          <w:b w:val="0"/>
          <w:bCs w:val="0"/>
          <w:color w:val="auto"/>
          <w:sz w:val="24"/>
          <w:szCs w:val="24"/>
        </w:rPr>
        <w:t>Kyoto Encyclopedia of Genes and Genomes (KEGG) anal</w:t>
      </w:r>
      <w:r>
        <w:rPr>
          <w:b w:val="0"/>
          <w:bCs w:val="0"/>
          <w:sz w:val="24"/>
          <w:szCs w:val="24"/>
        </w:rPr>
        <w:t>ysis of representative genes of subtype 2.</w:t>
      </w:r>
      <w:r>
        <w:rPr>
          <w:rFonts w:hint="eastAsia" w:eastAsia="宋体"/>
          <w:b w:val="0"/>
          <w:bCs w:val="0"/>
          <w:sz w:val="24"/>
          <w:szCs w:val="24"/>
          <w:lang w:val="en-US" w:eastAsia="zh-CN"/>
        </w:rPr>
        <w:t xml:space="preserve"> Counts refer to the number of genes enriched into the relevant pathway and the larger the dotplot, the more genes are enriched. Different colors represented different p.values.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72100" cy="5173980"/>
            <wp:effectExtent l="0" t="0" r="7620" b="762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 b="61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360" w:lineRule="auto"/>
        <w:rPr>
          <w:rFonts w:hint="default" w:ascii="Times New Roman" w:hAnsi="Times New Roman" w:cs="Times New Roman"/>
          <w:sz w:val="24"/>
          <w:szCs w:val="24"/>
        </w:rPr>
      </w:pPr>
    </w:p>
    <w:sectPr>
      <w:pgSz w:w="12240" w:h="15840"/>
      <w:pgMar w:top="1440" w:right="1800" w:bottom="1440" w:left="1800" w:header="708" w:footer="708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6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217"/>
    <w:rsid w:val="003A3B7F"/>
    <w:rsid w:val="006A23EB"/>
    <w:rsid w:val="00BB0217"/>
    <w:rsid w:val="04E26B06"/>
    <w:rsid w:val="148F7FCF"/>
    <w:rsid w:val="1D0E0CF4"/>
    <w:rsid w:val="1FFF722C"/>
    <w:rsid w:val="212F2A14"/>
    <w:rsid w:val="2C37610F"/>
    <w:rsid w:val="36A80019"/>
    <w:rsid w:val="4A9B0431"/>
    <w:rsid w:val="50271836"/>
    <w:rsid w:val="50E71C55"/>
    <w:rsid w:val="544C78B8"/>
    <w:rsid w:val="554F756C"/>
    <w:rsid w:val="63745527"/>
    <w:rsid w:val="64F3316E"/>
    <w:rsid w:val="6AD613B8"/>
    <w:rsid w:val="7180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Times New Roman" w:hAnsi="Times New Roman" w:eastAsia="Times New Roman" w:cs="Times New Roman"/>
      <w:b/>
      <w:bCs/>
      <w:kern w:val="0"/>
      <w:sz w:val="27"/>
      <w:szCs w:val="27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customStyle="1" w:styleId="6">
    <w:name w:val="正文1"/>
    <w:qFormat/>
    <w:uiPriority w:val="0"/>
    <w:pPr>
      <w:widowControl w:val="0"/>
      <w:jc w:val="both"/>
    </w:pPr>
    <w:rPr>
      <w:rFonts w:ascii="Calibri" w:hAnsi="Calibri" w:eastAsia="等线" w:cs="Arial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image" Target="media/image3.jpeg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28</Words>
  <Characters>165</Characters>
  <Lines>1</Lines>
  <Paragraphs>1</Paragraphs>
  <TotalTime>10</TotalTime>
  <ScaleCrop>false</ScaleCrop>
  <LinksUpToDate>false</LinksUpToDate>
  <CharactersWithSpaces>192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2021-03-31T13:55:00Z</dcterms:created>
  <dc:creator>gongjiao840122@163.com</dc:creator>
  <cp:lastModifiedBy>Dr.C</cp:lastModifiedBy>
  <dcterms:modified xsi:type="dcterms:W3CDTF">2021-08-22T08:11:46Z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8BDFAEBF515741EC9D7CC20DD9DF7926</vt:lpwstr>
  </property>
</Properties>
</file>