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8E54" w14:textId="77777777" w:rsidR="00AB40E4" w:rsidRDefault="00AB40E4" w:rsidP="00AB40E4">
      <w:pPr>
        <w:spacing w:after="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Supplementary T</w:t>
      </w:r>
      <w:r w:rsidRPr="00A41DF4">
        <w:rPr>
          <w:rFonts w:ascii="Times New Roman" w:hAnsi="Times New Roman" w:cs="Times New Roman"/>
          <w:b/>
          <w:sz w:val="22"/>
        </w:rPr>
        <w:t xml:space="preserve">able </w:t>
      </w:r>
      <w:r>
        <w:rPr>
          <w:rFonts w:ascii="Times New Roman" w:hAnsi="Times New Roman" w:cs="Times New Roman"/>
          <w:b/>
          <w:sz w:val="22"/>
        </w:rPr>
        <w:t>1</w:t>
      </w:r>
      <w:r w:rsidRPr="00A41DF4">
        <w:rPr>
          <w:rFonts w:ascii="Times New Roman" w:hAnsi="Times New Roman" w:cs="Times New Roman"/>
          <w:b/>
          <w:sz w:val="22"/>
        </w:rPr>
        <w:t xml:space="preserve">. </w:t>
      </w:r>
      <w:r>
        <w:rPr>
          <w:rFonts w:ascii="Times New Roman" w:hAnsi="Times New Roman" w:cs="Times New Roman"/>
          <w:b/>
          <w:sz w:val="22"/>
        </w:rPr>
        <w:t>Cellular immune response of the ChAdPd group, compared to convalescing COVID-19 patients</w:t>
      </w:r>
    </w:p>
    <w:tbl>
      <w:tblPr>
        <w:tblStyle w:val="PlainTable2"/>
        <w:tblW w:w="907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7"/>
        <w:gridCol w:w="1984"/>
        <w:gridCol w:w="1559"/>
      </w:tblGrid>
      <w:tr w:rsidR="00AB40E4" w:rsidRPr="000011AB" w14:paraId="379C9D0D" w14:textId="77777777" w:rsidTr="00FC1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FFDE3" w14:textId="77777777" w:rsidR="00AB40E4" w:rsidRPr="000011AB" w:rsidRDefault="00AB40E4" w:rsidP="00FC167C">
            <w:pPr>
              <w:spacing w:line="360" w:lineRule="auto"/>
              <w:jc w:val="left"/>
              <w:rPr>
                <w:rFonts w:ascii="Times New Roman" w:hAnsi="Times New Roman" w:cs="Times New Roman"/>
                <w:bCs w:val="0"/>
                <w:sz w:val="22"/>
              </w:rPr>
            </w:pPr>
            <w:r w:rsidRPr="000011AB">
              <w:rPr>
                <w:rFonts w:ascii="Times New Roman" w:hAnsi="Times New Roman" w:cs="Times New Roman"/>
                <w:bCs w:val="0"/>
                <w:sz w:val="22"/>
              </w:rPr>
              <w:t>Variables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BD159" w14:textId="77777777" w:rsidR="00AB40E4" w:rsidRPr="000011AB" w:rsidRDefault="00AB40E4" w:rsidP="00FC167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COVID-19 patients</w:t>
            </w:r>
          </w:p>
          <w:p w14:paraId="1F3AFBC1" w14:textId="77777777" w:rsidR="00AB40E4" w:rsidRPr="00CF10E5" w:rsidRDefault="00AB40E4" w:rsidP="00FC167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</w:rPr>
            </w:pPr>
            <w:r w:rsidRPr="00CF10E5">
              <w:rPr>
                <w:rFonts w:ascii="Times New Roman" w:hAnsi="Times New Roman" w:cs="Times New Roman"/>
                <w:b w:val="0"/>
                <w:sz w:val="22"/>
              </w:rPr>
              <w:t xml:space="preserve">(n =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10</w:t>
            </w:r>
            <w:r w:rsidRPr="00CF10E5">
              <w:rPr>
                <w:rFonts w:ascii="Times New Roman" w:hAnsi="Times New Roman" w:cs="Times New Roman"/>
                <w:b w:val="0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8EC56" w14:textId="77777777" w:rsidR="00AB40E4" w:rsidRPr="000011AB" w:rsidRDefault="00AB40E4" w:rsidP="00FC167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0011AB">
              <w:rPr>
                <w:rFonts w:ascii="Times New Roman" w:hAnsi="Times New Roman" w:cs="Times New Roman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hAdPd</w:t>
            </w:r>
          </w:p>
          <w:p w14:paraId="00EF7530" w14:textId="77777777" w:rsidR="00AB40E4" w:rsidRPr="00CF10E5" w:rsidRDefault="00AB40E4" w:rsidP="00FC167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</w:rPr>
            </w:pPr>
            <w:r w:rsidRPr="00CF10E5">
              <w:rPr>
                <w:rFonts w:ascii="Times New Roman" w:hAnsi="Times New Roman" w:cs="Times New Roman"/>
                <w:b w:val="0"/>
                <w:sz w:val="22"/>
              </w:rPr>
              <w:t>(n = 14)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F7306" w14:textId="77777777" w:rsidR="00AB40E4" w:rsidRPr="0071486D" w:rsidRDefault="00AB40E4" w:rsidP="00FC167C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2"/>
              </w:rPr>
            </w:pPr>
            <w:r w:rsidRPr="00CF10E5">
              <w:rPr>
                <w:rFonts w:ascii="Times New Roman" w:hAnsi="Times New Roman" w:cs="Times New Roman"/>
                <w:bCs w:val="0"/>
                <w:i/>
                <w:sz w:val="22"/>
              </w:rPr>
              <w:t>P</w:t>
            </w:r>
            <w:r>
              <w:rPr>
                <w:rFonts w:ascii="Times New Roman" w:hAnsi="Times New Roman" w:cs="Times New Roman"/>
                <w:bCs w:val="0"/>
                <w:sz w:val="22"/>
              </w:rPr>
              <w:t xml:space="preserve"> value</w:t>
            </w:r>
          </w:p>
        </w:tc>
      </w:tr>
      <w:tr w:rsidR="00AB40E4" w:rsidRPr="000011AB" w14:paraId="7FA5DD51" w14:textId="77777777" w:rsidTr="00FC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0E41C215" w14:textId="77777777" w:rsidR="00AB40E4" w:rsidRPr="00CF10E5" w:rsidRDefault="00AB40E4" w:rsidP="00FC167C">
            <w:pPr>
              <w:spacing w:line="276" w:lineRule="auto"/>
              <w:jc w:val="left"/>
              <w:rPr>
                <w:rFonts w:ascii="Times New Roman" w:hAnsi="Times New Roman" w:cs="Times New Roman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</w:rPr>
              <w:t>SARS-CoV-2 IGRA</w:t>
            </w:r>
            <w:r w:rsidRPr="00931F3D">
              <w:rPr>
                <w:rFonts w:ascii="Times New Roman" w:hAnsi="Times New Roman" w:cs="Times New Roman"/>
                <w:bCs w:val="0"/>
                <w:sz w:val="22"/>
                <w:vertAlign w:val="superscript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0BBF689D" w14:textId="77777777" w:rsidR="00AB40E4" w:rsidRPr="000011AB" w:rsidRDefault="00AB40E4" w:rsidP="00FC16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491CFF5D" w14:textId="77777777" w:rsidR="00AB40E4" w:rsidRPr="000011AB" w:rsidRDefault="00AB40E4" w:rsidP="00FC16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787D72B1" w14:textId="77777777" w:rsidR="00AB40E4" w:rsidRPr="000011AB" w:rsidRDefault="00AB40E4" w:rsidP="00FC167C">
            <w:pPr>
              <w:spacing w:line="276" w:lineRule="auto"/>
              <w:ind w:firstLineChars="50" w:firstLine="11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40E4" w:rsidRPr="000011AB" w14:paraId="42F297F4" w14:textId="77777777" w:rsidTr="00FC167C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92877B8" w14:textId="77777777" w:rsidR="00AB40E4" w:rsidRPr="00931F3D" w:rsidRDefault="00AB40E4" w:rsidP="00FC167C">
            <w:pPr>
              <w:spacing w:line="276" w:lineRule="auto"/>
              <w:ind w:firstLineChars="100" w:firstLine="22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eastAsia="Malgun Gothic" w:hAnsi="Times New Roman" w:cs="Times New Roman"/>
                <w:b w:val="0"/>
                <w:sz w:val="22"/>
              </w:rPr>
              <w:t xml:space="preserve">Nil, </w:t>
            </w:r>
            <w:r>
              <w:rPr>
                <w:rFonts w:ascii="Times New Roman" w:hAnsi="Times New Roman" w:cs="Times New Roman"/>
                <w:b w:val="0"/>
                <w:sz w:val="22"/>
              </w:rPr>
              <w:t>IU/mL</w:t>
            </w:r>
          </w:p>
        </w:tc>
        <w:tc>
          <w:tcPr>
            <w:tcW w:w="2127" w:type="dxa"/>
            <w:vAlign w:val="center"/>
          </w:tcPr>
          <w:p w14:paraId="40859B18" w14:textId="77777777" w:rsidR="00AB40E4" w:rsidRPr="000011AB" w:rsidRDefault="00AB40E4" w:rsidP="00FC16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0.063 </w:t>
            </w:r>
            <w:r w:rsidRPr="00C5747F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0.020</w:t>
            </w:r>
          </w:p>
        </w:tc>
        <w:tc>
          <w:tcPr>
            <w:tcW w:w="1984" w:type="dxa"/>
            <w:vAlign w:val="center"/>
          </w:tcPr>
          <w:p w14:paraId="609BCBF9" w14:textId="77777777" w:rsidR="00AB40E4" w:rsidRPr="000011AB" w:rsidRDefault="00AB40E4" w:rsidP="00FC16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0.183 </w:t>
            </w:r>
            <w:r w:rsidRPr="00C5747F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0.271</w:t>
            </w:r>
          </w:p>
        </w:tc>
        <w:tc>
          <w:tcPr>
            <w:tcW w:w="1559" w:type="dxa"/>
            <w:vAlign w:val="center"/>
          </w:tcPr>
          <w:p w14:paraId="53ECEAA5" w14:textId="77777777" w:rsidR="00AB40E4" w:rsidRPr="000011AB" w:rsidRDefault="00AB40E4" w:rsidP="00FC167C">
            <w:pPr>
              <w:spacing w:line="276" w:lineRule="auto"/>
              <w:ind w:firstLineChars="200" w:firstLine="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0.122</w:t>
            </w:r>
          </w:p>
        </w:tc>
      </w:tr>
      <w:tr w:rsidR="00AB40E4" w:rsidRPr="000011AB" w14:paraId="2401E73B" w14:textId="77777777" w:rsidTr="00FC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FBC4793" w14:textId="77777777" w:rsidR="00AB40E4" w:rsidRDefault="00AB40E4" w:rsidP="00FC167C">
            <w:pPr>
              <w:spacing w:line="276" w:lineRule="auto"/>
              <w:ind w:firstLineChars="100" w:firstLine="220"/>
              <w:jc w:val="left"/>
              <w:rPr>
                <w:rFonts w:ascii="Times New Roman" w:eastAsia="Malgun Gothic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Sp1 - Nil, IU/mL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512CDBC" w14:textId="77777777" w:rsidR="00AB40E4" w:rsidRDefault="00AB40E4" w:rsidP="00FC16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2.660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5747F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2.481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6B7E89" w14:textId="77777777" w:rsidR="00AB40E4" w:rsidRPr="000011AB" w:rsidRDefault="00AB40E4" w:rsidP="00FC16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5.363 </w:t>
            </w:r>
            <w:r w:rsidRPr="00C5747F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4.276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FE2346B" w14:textId="77777777" w:rsidR="00AB40E4" w:rsidRDefault="00AB40E4" w:rsidP="00FC16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0.087</w:t>
            </w:r>
          </w:p>
        </w:tc>
      </w:tr>
      <w:tr w:rsidR="00AB40E4" w:rsidRPr="000011AB" w14:paraId="0AA0D844" w14:textId="77777777" w:rsidTr="00FC167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8108DBC" w14:textId="77777777" w:rsidR="00AB40E4" w:rsidRDefault="00AB40E4" w:rsidP="00FC167C">
            <w:pPr>
              <w:spacing w:line="276" w:lineRule="auto"/>
              <w:ind w:firstLineChars="100" w:firstLine="220"/>
              <w:jc w:val="left"/>
              <w:rPr>
                <w:rFonts w:ascii="Times New Roman" w:eastAsia="Malgun Gothic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Sp2 - Nil, IU/mL</w:t>
            </w:r>
          </w:p>
        </w:tc>
        <w:tc>
          <w:tcPr>
            <w:tcW w:w="2127" w:type="dxa"/>
            <w:vAlign w:val="center"/>
          </w:tcPr>
          <w:p w14:paraId="2E1A5431" w14:textId="77777777" w:rsidR="00AB40E4" w:rsidRDefault="00AB40E4" w:rsidP="00FC16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1.687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5747F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1.672</w:t>
            </w:r>
          </w:p>
        </w:tc>
        <w:tc>
          <w:tcPr>
            <w:tcW w:w="1984" w:type="dxa"/>
            <w:vAlign w:val="center"/>
          </w:tcPr>
          <w:p w14:paraId="431CAF0C" w14:textId="77777777" w:rsidR="00AB40E4" w:rsidRPr="000011AB" w:rsidRDefault="00AB40E4" w:rsidP="00FC16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149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5747F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3.249</w:t>
            </w:r>
          </w:p>
        </w:tc>
        <w:tc>
          <w:tcPr>
            <w:tcW w:w="1559" w:type="dxa"/>
            <w:vAlign w:val="center"/>
          </w:tcPr>
          <w:p w14:paraId="3E7431A2" w14:textId="77777777" w:rsidR="00AB40E4" w:rsidRDefault="00AB40E4" w:rsidP="00FC16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</w:t>
            </w:r>
            <w:r>
              <w:rPr>
                <w:rFonts w:ascii="Times New Roman" w:hAnsi="Times New Roman" w:cs="Times New Roman"/>
                <w:sz w:val="22"/>
              </w:rPr>
              <w:t>207</w:t>
            </w:r>
          </w:p>
        </w:tc>
      </w:tr>
      <w:tr w:rsidR="00AB40E4" w:rsidRPr="000011AB" w14:paraId="7FF53E9F" w14:textId="77777777" w:rsidTr="00FC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9555F5" w14:textId="77777777" w:rsidR="00AB40E4" w:rsidRDefault="00AB40E4" w:rsidP="00FC167C">
            <w:pPr>
              <w:spacing w:line="276" w:lineRule="auto"/>
              <w:ind w:firstLineChars="100" w:firstLine="220"/>
              <w:jc w:val="left"/>
              <w:rPr>
                <w:rFonts w:ascii="Times New Roman" w:eastAsia="Malgun Gothic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Mitogen - Nil, IU/mL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0F8D1F" w14:textId="77777777" w:rsidR="00AB40E4" w:rsidRDefault="00AB40E4" w:rsidP="00FC16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860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5747F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1.123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AA58E11" w14:textId="77777777" w:rsidR="00AB40E4" w:rsidRPr="000011AB" w:rsidRDefault="00AB40E4" w:rsidP="00FC16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  <w:r>
              <w:rPr>
                <w:rFonts w:ascii="Times New Roman" w:hAnsi="Times New Roman" w:cs="Times New Roman"/>
                <w:sz w:val="22"/>
              </w:rPr>
              <w:t>193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5747F">
              <w:rPr>
                <w:rFonts w:ascii="Times New Roman" w:hAnsi="Times New Roman" w:cs="Times New Roman"/>
                <w:sz w:val="22"/>
              </w:rPr>
              <w:t>±</w:t>
            </w:r>
            <w:r>
              <w:rPr>
                <w:rFonts w:ascii="Times New Roman" w:hAnsi="Times New Roman" w:cs="Times New Roman"/>
                <w:sz w:val="22"/>
              </w:rPr>
              <w:t xml:space="preserve"> 0.308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47F7AB" w14:textId="77777777" w:rsidR="00AB40E4" w:rsidRDefault="00AB40E4" w:rsidP="00FC16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0.382</w:t>
            </w:r>
          </w:p>
        </w:tc>
      </w:tr>
      <w:tr w:rsidR="00AB40E4" w:rsidRPr="000011AB" w14:paraId="489115C5" w14:textId="77777777" w:rsidTr="00FC167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7E70625A" w14:textId="77777777" w:rsidR="00AB40E4" w:rsidRDefault="00AB40E4" w:rsidP="00FC167C">
            <w:pPr>
              <w:spacing w:line="276" w:lineRule="auto"/>
              <w:ind w:firstLineChars="100" w:firstLine="220"/>
              <w:jc w:val="left"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29692E">
              <w:rPr>
                <w:rFonts w:ascii="Times New Roman" w:hAnsi="Times New Roman" w:cs="Times New Roman" w:hint="eastAsia"/>
                <w:bCs w:val="0"/>
                <w:sz w:val="22"/>
              </w:rPr>
              <w:t xml:space="preserve">Tentative </w:t>
            </w:r>
            <w:r w:rsidRPr="0029692E">
              <w:rPr>
                <w:rFonts w:ascii="Times New Roman" w:hAnsi="Times New Roman" w:cs="Times New Roman"/>
                <w:bCs w:val="0"/>
                <w:sz w:val="22"/>
              </w:rPr>
              <w:t xml:space="preserve">positive </w:t>
            </w:r>
            <w:r w:rsidRPr="0029692E">
              <w:rPr>
                <w:rFonts w:ascii="Times New Roman" w:hAnsi="Times New Roman" w:cs="Times New Roman" w:hint="eastAsia"/>
                <w:bCs w:val="0"/>
                <w:sz w:val="22"/>
              </w:rPr>
              <w:t>cut-off</w:t>
            </w:r>
            <w:r w:rsidRPr="0029692E">
              <w:rPr>
                <w:rFonts w:ascii="Times New Roman" w:hAnsi="Times New Roman" w:cs="Times New Roman"/>
                <w:bCs w:val="0"/>
                <w:sz w:val="22"/>
              </w:rPr>
              <w:t>s</w:t>
            </w:r>
          </w:p>
        </w:tc>
        <w:tc>
          <w:tcPr>
            <w:tcW w:w="2127" w:type="dxa"/>
            <w:vAlign w:val="center"/>
          </w:tcPr>
          <w:p w14:paraId="387A1BFE" w14:textId="77777777" w:rsidR="00AB40E4" w:rsidRDefault="00AB40E4" w:rsidP="00FC16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F90BE82" w14:textId="77777777" w:rsidR="00AB40E4" w:rsidRDefault="00AB40E4" w:rsidP="00FC16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EE955E6" w14:textId="77777777" w:rsidR="00AB40E4" w:rsidRDefault="00AB40E4" w:rsidP="00FC16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AB40E4" w:rsidRPr="000011AB" w14:paraId="0B912E66" w14:textId="77777777" w:rsidTr="00FC1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FD0FC5" w14:textId="77777777" w:rsidR="00AB40E4" w:rsidRPr="002F2E1A" w:rsidRDefault="00AB40E4" w:rsidP="00FC167C">
            <w:pPr>
              <w:spacing w:line="276" w:lineRule="auto"/>
              <w:ind w:firstLineChars="100" w:firstLine="220"/>
              <w:jc w:val="left"/>
              <w:rPr>
                <w:rFonts w:ascii="Times New Roman" w:hAnsi="Times New Roman" w:cs="Times New Roman"/>
                <w:b w:val="0"/>
                <w:bCs w:val="0"/>
                <w:i/>
                <w:sz w:val="22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i/>
                <w:sz w:val="22"/>
              </w:rPr>
              <w:t>Sp</w:t>
            </w:r>
            <w:r w:rsidRPr="002F2E1A">
              <w:rPr>
                <w:rFonts w:ascii="Times New Roman" w:hAnsi="Times New Roman" w:cs="Times New Roman" w:hint="eastAsia"/>
                <w:b w:val="0"/>
                <w:bCs w:val="0"/>
                <w:i/>
                <w:sz w:val="22"/>
              </w:rPr>
              <w:t xml:space="preserve">1 </w:t>
            </w:r>
            <w:r w:rsidRPr="002F2E1A">
              <w:rPr>
                <w:rFonts w:ascii="Times New Roman" w:hAnsi="Times New Roman" w:cs="Times New Roman"/>
                <w:b w:val="0"/>
                <w:bCs w:val="0"/>
                <w:i/>
                <w:sz w:val="22"/>
              </w:rPr>
              <w:t>-</w:t>
            </w:r>
            <w:r w:rsidRPr="002F2E1A">
              <w:rPr>
                <w:rFonts w:ascii="Times New Roman" w:hAnsi="Times New Roman" w:cs="Times New Roman" w:hint="eastAsia"/>
                <w:b w:val="0"/>
                <w:bCs w:val="0"/>
                <w:i/>
                <w:sz w:val="22"/>
              </w:rPr>
              <w:t xml:space="preserve"> Nil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2"/>
              </w:rPr>
              <w:t>&gt; 0.84</w:t>
            </w:r>
            <w:r w:rsidRPr="002F2E1A">
              <w:rPr>
                <w:rFonts w:ascii="Times New Roman" w:hAnsi="Times New Roman" w:cs="Times New Roman"/>
                <w:b w:val="0"/>
                <w:bCs w:val="0"/>
                <w:i/>
                <w:sz w:val="22"/>
              </w:rPr>
              <w:t xml:space="preserve"> IU/mL</w:t>
            </w:r>
          </w:p>
        </w:tc>
        <w:tc>
          <w:tcPr>
            <w:tcW w:w="212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52ACF2" w14:textId="77777777" w:rsidR="00AB40E4" w:rsidRDefault="00AB40E4" w:rsidP="00FC16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  <w:r>
              <w:rPr>
                <w:rFonts w:ascii="Times New Roman" w:hAnsi="Times New Roman" w:cs="Times New Roman" w:hint="eastAsia"/>
                <w:sz w:val="22"/>
              </w:rPr>
              <w:t>0.0)</w:t>
            </w: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C1721F" w14:textId="77777777" w:rsidR="00AB40E4" w:rsidRDefault="00AB40E4" w:rsidP="00FC16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3 (92.9)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43C2B3" w14:textId="77777777" w:rsidR="00AB40E4" w:rsidRDefault="00AB40E4" w:rsidP="00FC167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0.348</w:t>
            </w:r>
          </w:p>
        </w:tc>
      </w:tr>
      <w:tr w:rsidR="00AB40E4" w:rsidRPr="000011AB" w14:paraId="5D00D0F0" w14:textId="77777777" w:rsidTr="00FC167C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  <w:vAlign w:val="center"/>
          </w:tcPr>
          <w:p w14:paraId="5BADC749" w14:textId="77777777" w:rsidR="00AB40E4" w:rsidRPr="002F2E1A" w:rsidRDefault="00AB40E4" w:rsidP="00FC167C">
            <w:pPr>
              <w:spacing w:line="276" w:lineRule="auto"/>
              <w:ind w:firstLineChars="100" w:firstLine="220"/>
              <w:jc w:val="left"/>
              <w:rPr>
                <w:rFonts w:ascii="Times New Roman" w:hAnsi="Times New Roman" w:cs="Times New Roman"/>
                <w:b w:val="0"/>
                <w:bCs w:val="0"/>
                <w:i/>
                <w:sz w:val="22"/>
              </w:rPr>
            </w:pPr>
            <w:r>
              <w:rPr>
                <w:rFonts w:ascii="Times New Roman" w:hAnsi="Times New Roman" w:cs="Times New Roman" w:hint="eastAsia"/>
                <w:b w:val="0"/>
                <w:bCs w:val="0"/>
                <w:i/>
                <w:sz w:val="22"/>
              </w:rPr>
              <w:t>Sp</w:t>
            </w:r>
            <w:r w:rsidRPr="002F2E1A">
              <w:rPr>
                <w:rFonts w:ascii="Times New Roman" w:hAnsi="Times New Roman" w:cs="Times New Roman" w:hint="eastAsia"/>
                <w:b w:val="0"/>
                <w:bCs w:val="0"/>
                <w:i/>
                <w:sz w:val="22"/>
              </w:rPr>
              <w:t xml:space="preserve">2 </w:t>
            </w:r>
            <w:r w:rsidRPr="002F2E1A">
              <w:rPr>
                <w:rFonts w:ascii="Times New Roman" w:hAnsi="Times New Roman" w:cs="Times New Roman"/>
                <w:b w:val="0"/>
                <w:bCs w:val="0"/>
                <w:i/>
                <w:sz w:val="22"/>
              </w:rPr>
              <w:t>-</w:t>
            </w:r>
            <w:r w:rsidRPr="002F2E1A">
              <w:rPr>
                <w:rFonts w:ascii="Times New Roman" w:hAnsi="Times New Roman" w:cs="Times New Roman" w:hint="eastAsia"/>
                <w:b w:val="0"/>
                <w:bCs w:val="0"/>
                <w:i/>
                <w:sz w:val="22"/>
              </w:rPr>
              <w:t xml:space="preserve"> Nil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sz w:val="22"/>
              </w:rPr>
              <w:t>&gt; 0.84</w:t>
            </w:r>
            <w:r w:rsidRPr="002F2E1A">
              <w:rPr>
                <w:rFonts w:ascii="Times New Roman" w:hAnsi="Times New Roman" w:cs="Times New Roman"/>
                <w:b w:val="0"/>
                <w:bCs w:val="0"/>
                <w:i/>
                <w:sz w:val="22"/>
              </w:rPr>
              <w:t xml:space="preserve"> IU/mL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4C31941" w14:textId="77777777" w:rsidR="00AB40E4" w:rsidRDefault="00AB40E4" w:rsidP="00FC16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</w:rPr>
              <w:t>0.0)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BACB55F" w14:textId="77777777" w:rsidR="00AB40E4" w:rsidRDefault="00AB40E4" w:rsidP="00FC16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 (64.3</w:t>
            </w:r>
            <w:r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B6C06C" w14:textId="77777777" w:rsidR="00AB40E4" w:rsidRDefault="00AB40E4" w:rsidP="00FC167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0.</w:t>
            </w:r>
            <w:r>
              <w:rPr>
                <w:rFonts w:ascii="Times New Roman" w:hAnsi="Times New Roman" w:cs="Times New Roman"/>
                <w:sz w:val="22"/>
              </w:rPr>
              <w:t>831</w:t>
            </w:r>
          </w:p>
        </w:tc>
      </w:tr>
    </w:tbl>
    <w:p w14:paraId="035C8200" w14:textId="77777777" w:rsidR="00AB40E4" w:rsidRDefault="00AB40E4" w:rsidP="00AB40E4">
      <w:pPr>
        <w:spacing w:line="276" w:lineRule="auto"/>
        <w:rPr>
          <w:rFonts w:ascii="Times New Roman" w:hAnsi="Times New Roman" w:cs="Times New Roman"/>
          <w:sz w:val="22"/>
        </w:rPr>
      </w:pPr>
      <w:r w:rsidRPr="00982907">
        <w:rPr>
          <w:rFonts w:ascii="Times New Roman" w:hAnsi="Times New Roman" w:cs="Times New Roman"/>
          <w:sz w:val="22"/>
        </w:rPr>
        <w:t>Data are expressed as the numbe</w:t>
      </w:r>
      <w:r>
        <w:rPr>
          <w:rFonts w:ascii="Times New Roman" w:hAnsi="Times New Roman" w:cs="Times New Roman"/>
          <w:sz w:val="22"/>
        </w:rPr>
        <w:t xml:space="preserve">r (%) of persons or mean </w:t>
      </w:r>
      <w:r w:rsidRPr="00C5747F">
        <w:rPr>
          <w:rFonts w:ascii="Times New Roman" w:hAnsi="Times New Roman" w:cs="Times New Roman"/>
          <w:sz w:val="22"/>
        </w:rPr>
        <w:t>±</w:t>
      </w:r>
      <w:r>
        <w:rPr>
          <w:rFonts w:ascii="Times New Roman" w:hAnsi="Times New Roman" w:cs="Times New Roman"/>
          <w:sz w:val="22"/>
        </w:rPr>
        <w:t xml:space="preserve"> SD</w:t>
      </w:r>
      <w:r>
        <w:rPr>
          <w:rFonts w:ascii="Times New Roman" w:hAnsi="Times New Roman" w:cs="Times New Roman" w:hint="eastAsia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COVID-19 patients included three mild cases (required O</w:t>
      </w:r>
      <w:r w:rsidRPr="004E1FAA">
        <w:rPr>
          <w:rFonts w:ascii="Times New Roman" w:hAnsi="Times New Roman" w:cs="Times New Roman"/>
          <w:sz w:val="22"/>
          <w:vertAlign w:val="subscript"/>
        </w:rPr>
        <w:t>2</w:t>
      </w:r>
      <w:r>
        <w:rPr>
          <w:rFonts w:ascii="Times New Roman" w:hAnsi="Times New Roman" w:cs="Times New Roman"/>
          <w:sz w:val="22"/>
        </w:rPr>
        <w:t xml:space="preserve"> supplement via nasal prong) and seven severe cases (required O</w:t>
      </w:r>
      <w:r w:rsidRPr="004E1FAA">
        <w:rPr>
          <w:rFonts w:ascii="Times New Roman" w:hAnsi="Times New Roman" w:cs="Times New Roman"/>
          <w:sz w:val="22"/>
          <w:vertAlign w:val="subscript"/>
        </w:rPr>
        <w:t>2</w:t>
      </w:r>
      <w:r>
        <w:rPr>
          <w:rFonts w:ascii="Times New Roman" w:hAnsi="Times New Roman" w:cs="Times New Roman"/>
          <w:sz w:val="22"/>
        </w:rPr>
        <w:t xml:space="preserve"> supplement via high flow nasal cannula). COVID-19 patients underwent IGRA at convalescence phase (median 74, IQR 59.3 – 128.5 days from symptom onset).</w:t>
      </w:r>
    </w:p>
    <w:p w14:paraId="0EF3E251" w14:textId="77777777" w:rsidR="00AB40E4" w:rsidRPr="006D0CDF" w:rsidRDefault="00AB40E4" w:rsidP="00AB40E4">
      <w:pPr>
        <w:spacing w:after="0"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Abbreviations: COVID-19, coronavirus disease 2019; ChAdPd, corticosteroid-exposed ChAdOx1 nCoV-19-vaccinated group; IGRA, interferon-gamma releasing assay; </w:t>
      </w:r>
      <w:proofErr w:type="spellStart"/>
      <w:r>
        <w:rPr>
          <w:rFonts w:ascii="Times New Roman" w:hAnsi="Times New Roman" w:cs="Times New Roman"/>
          <w:sz w:val="22"/>
        </w:rPr>
        <w:t>Sp</w:t>
      </w:r>
      <w:proofErr w:type="spellEnd"/>
      <w:r>
        <w:rPr>
          <w:rFonts w:ascii="Times New Roman" w:hAnsi="Times New Roman" w:cs="Times New Roman"/>
          <w:sz w:val="22"/>
        </w:rPr>
        <w:t>, spike protein antigen; SD, standard deviation</w:t>
      </w:r>
    </w:p>
    <w:p w14:paraId="3D3DE643" w14:textId="77777777" w:rsidR="00AB40E4" w:rsidRPr="0081077F" w:rsidRDefault="00AB40E4" w:rsidP="00AB40E4"/>
    <w:p w14:paraId="5A1D767D" w14:textId="77777777" w:rsidR="004008D3" w:rsidRPr="00AB40E4" w:rsidRDefault="004008D3"/>
    <w:sectPr w:rsidR="004008D3" w:rsidRPr="00AB40E4" w:rsidSect="00354E81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3NLA0MjK0tDA3NjFV0lEKTi0uzszPAykwrAUAmplBTCwAAAA="/>
  </w:docVars>
  <w:rsids>
    <w:rsidRoot w:val="00AB40E4"/>
    <w:rsid w:val="00354E81"/>
    <w:rsid w:val="004008D3"/>
    <w:rsid w:val="00AB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6D09"/>
  <w15:chartTrackingRefBased/>
  <w15:docId w15:val="{6A310129-6948-4EE2-B7E6-DCBD6674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0E4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AB40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B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Jae-Hoon</dc:creator>
  <cp:keywords/>
  <dc:description/>
  <cp:lastModifiedBy>Megan Bond</cp:lastModifiedBy>
  <cp:revision>2</cp:revision>
  <dcterms:created xsi:type="dcterms:W3CDTF">2021-09-07T10:46:00Z</dcterms:created>
  <dcterms:modified xsi:type="dcterms:W3CDTF">2021-09-07T10:46:00Z</dcterms:modified>
</cp:coreProperties>
</file>