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E1CCD" w14:textId="77777777" w:rsidR="00F478FF" w:rsidRPr="00F478FF" w:rsidRDefault="00F478FF" w:rsidP="00F478FF">
      <w:pPr>
        <w:jc w:val="center"/>
        <w:rPr>
          <w:rFonts w:cs="Times New Roman"/>
          <w:b/>
          <w:bCs/>
          <w:szCs w:val="24"/>
        </w:rPr>
      </w:pPr>
      <w:r w:rsidRPr="00F478FF">
        <w:rPr>
          <w:rFonts w:cs="Times New Roman"/>
          <w:b/>
          <w:bCs/>
          <w:szCs w:val="24"/>
        </w:rPr>
        <w:t xml:space="preserve">Comparison of the direct oral anticoagulants and warfarin in patients with atrial fibrillation and </w:t>
      </w:r>
      <w:proofErr w:type="spellStart"/>
      <w:r w:rsidRPr="00F478FF">
        <w:rPr>
          <w:rFonts w:cs="Times New Roman"/>
          <w:b/>
          <w:bCs/>
          <w:szCs w:val="24"/>
        </w:rPr>
        <w:t>valvular</w:t>
      </w:r>
      <w:proofErr w:type="spellEnd"/>
      <w:r w:rsidRPr="00F478FF">
        <w:rPr>
          <w:rFonts w:cs="Times New Roman"/>
          <w:b/>
          <w:bCs/>
          <w:szCs w:val="24"/>
        </w:rPr>
        <w:t xml:space="preserve"> heart disease: Updated systematic review and meta‐analysis of randomized controlled trials</w:t>
      </w:r>
    </w:p>
    <w:p w14:paraId="4C73BAB7" w14:textId="77777777" w:rsidR="00F478FF" w:rsidRPr="00F478FF" w:rsidRDefault="00F478FF" w:rsidP="00F478FF">
      <w:pPr>
        <w:jc w:val="center"/>
        <w:rPr>
          <w:rFonts w:cs="Times New Roman"/>
          <w:bCs/>
          <w:szCs w:val="24"/>
        </w:rPr>
      </w:pPr>
      <w:r w:rsidRPr="00F478FF">
        <w:rPr>
          <w:rFonts w:cs="Times New Roman"/>
          <w:bCs/>
          <w:szCs w:val="24"/>
        </w:rPr>
        <w:t>DOACs vs Warfarin in AF with VHD</w:t>
      </w:r>
    </w:p>
    <w:p w14:paraId="0ECEDAF2" w14:textId="77777777" w:rsidR="00F478FF" w:rsidRPr="00F478FF" w:rsidRDefault="00F478FF" w:rsidP="00F478FF">
      <w:pPr>
        <w:jc w:val="both"/>
        <w:rPr>
          <w:rFonts w:cs="Times New Roman"/>
          <w:b/>
          <w:bCs/>
          <w:szCs w:val="24"/>
        </w:rPr>
      </w:pPr>
    </w:p>
    <w:p w14:paraId="6E1E3671" w14:textId="77777777" w:rsidR="00F478FF" w:rsidRPr="00591FC8" w:rsidRDefault="00F478FF" w:rsidP="00F478FF">
      <w:pPr>
        <w:jc w:val="both"/>
        <w:rPr>
          <w:rFonts w:cs="Times New Roman"/>
          <w:szCs w:val="24"/>
          <w:lang w:val="pt-BR"/>
        </w:rPr>
      </w:pPr>
      <w:r w:rsidRPr="00591FC8">
        <w:rPr>
          <w:rFonts w:cs="Times New Roman"/>
          <w:szCs w:val="24"/>
          <w:lang w:val="pt-BR"/>
        </w:rPr>
        <w:t xml:space="preserve">Yasmin de Souza Lima Bitar, B.S. in </w:t>
      </w:r>
      <w:proofErr w:type="spellStart"/>
      <w:proofErr w:type="gramStart"/>
      <w:r w:rsidRPr="00591FC8">
        <w:rPr>
          <w:rFonts w:cs="Times New Roman"/>
          <w:szCs w:val="24"/>
          <w:lang w:val="pt-BR"/>
        </w:rPr>
        <w:t>health</w:t>
      </w:r>
      <w:r w:rsidRPr="00591FC8">
        <w:rPr>
          <w:rFonts w:cs="Times New Roman"/>
          <w:szCs w:val="24"/>
          <w:vertAlign w:val="superscript"/>
          <w:lang w:val="pt-BR"/>
        </w:rPr>
        <w:t>a,b</w:t>
      </w:r>
      <w:proofErr w:type="spellEnd"/>
      <w:proofErr w:type="gramEnd"/>
      <w:r w:rsidRPr="00591FC8">
        <w:rPr>
          <w:rFonts w:cs="Times New Roman"/>
          <w:szCs w:val="24"/>
          <w:lang w:val="pt-BR"/>
        </w:rPr>
        <w:t xml:space="preserve">, </w:t>
      </w:r>
      <w:proofErr w:type="spellStart"/>
      <w:r w:rsidRPr="00591FC8">
        <w:rPr>
          <w:rFonts w:cs="Times New Roman"/>
          <w:szCs w:val="24"/>
          <w:lang w:val="pt-BR"/>
        </w:rPr>
        <w:t>Andre</w:t>
      </w:r>
      <w:proofErr w:type="spellEnd"/>
      <w:r w:rsidRPr="00591FC8">
        <w:rPr>
          <w:rFonts w:cs="Times New Roman"/>
          <w:szCs w:val="24"/>
          <w:lang w:val="pt-BR"/>
        </w:rPr>
        <w:t xml:space="preserve"> Rodrigues </w:t>
      </w:r>
      <w:proofErr w:type="spellStart"/>
      <w:r w:rsidRPr="00591FC8">
        <w:rPr>
          <w:rFonts w:cs="Times New Roman"/>
          <w:szCs w:val="24"/>
          <w:lang w:val="pt-BR"/>
        </w:rPr>
        <w:t>Duraes</w:t>
      </w:r>
      <w:proofErr w:type="spellEnd"/>
      <w:r w:rsidRPr="00591FC8">
        <w:rPr>
          <w:rFonts w:cs="Times New Roman"/>
          <w:szCs w:val="24"/>
          <w:lang w:val="pt-BR"/>
        </w:rPr>
        <w:t xml:space="preserve">, MD, PhD </w:t>
      </w:r>
      <w:proofErr w:type="spellStart"/>
      <w:r w:rsidRPr="00591FC8">
        <w:rPr>
          <w:rFonts w:cs="Times New Roman"/>
          <w:szCs w:val="24"/>
          <w:vertAlign w:val="superscript"/>
          <w:lang w:val="pt-BR"/>
        </w:rPr>
        <w:t>a,b</w:t>
      </w:r>
      <w:proofErr w:type="spellEnd"/>
      <w:r w:rsidRPr="00591FC8">
        <w:rPr>
          <w:rFonts w:cs="Times New Roman"/>
          <w:szCs w:val="24"/>
          <w:lang w:val="pt-BR"/>
        </w:rPr>
        <w:t xml:space="preserve">, </w:t>
      </w:r>
      <w:r>
        <w:rPr>
          <w:rFonts w:cs="Times New Roman"/>
          <w:szCs w:val="24"/>
          <w:lang w:val="pt-BR"/>
        </w:rPr>
        <w:t xml:space="preserve">Leonardo </w:t>
      </w:r>
      <w:proofErr w:type="spellStart"/>
      <w:r>
        <w:rPr>
          <w:rFonts w:cs="Times New Roman"/>
          <w:szCs w:val="24"/>
          <w:lang w:val="pt-BR"/>
        </w:rPr>
        <w:t>Roever</w:t>
      </w:r>
      <w:proofErr w:type="spellEnd"/>
      <w:r>
        <w:rPr>
          <w:rFonts w:cs="Times New Roman"/>
          <w:szCs w:val="24"/>
          <w:lang w:val="pt-BR"/>
        </w:rPr>
        <w:t>, MHS</w:t>
      </w:r>
      <w:r w:rsidRPr="00FA009D">
        <w:rPr>
          <w:rFonts w:cs="Times New Roman"/>
          <w:szCs w:val="24"/>
          <w:vertAlign w:val="superscript"/>
          <w:lang w:val="pt-BR"/>
        </w:rPr>
        <w:t xml:space="preserve"> c</w:t>
      </w:r>
      <w:r>
        <w:rPr>
          <w:rFonts w:cs="Times New Roman"/>
          <w:szCs w:val="24"/>
          <w:lang w:val="pt-BR"/>
        </w:rPr>
        <w:t xml:space="preserve">, </w:t>
      </w:r>
      <w:r w:rsidRPr="00591FC8">
        <w:rPr>
          <w:rFonts w:cs="Times New Roman"/>
          <w:szCs w:val="24"/>
          <w:lang w:val="pt-BR"/>
        </w:rPr>
        <w:t>Mansueto Gomes Neto, PhD</w:t>
      </w:r>
      <w:r w:rsidRPr="00591FC8">
        <w:rPr>
          <w:rFonts w:cs="Times New Roman"/>
          <w:szCs w:val="24"/>
          <w:vertAlign w:val="superscript"/>
          <w:lang w:val="pt-BR"/>
        </w:rPr>
        <w:t xml:space="preserve"> </w:t>
      </w:r>
      <w:proofErr w:type="spellStart"/>
      <w:r w:rsidRPr="00591FC8">
        <w:rPr>
          <w:rFonts w:cs="Times New Roman"/>
          <w:szCs w:val="24"/>
          <w:vertAlign w:val="superscript"/>
          <w:lang w:val="pt-BR"/>
        </w:rPr>
        <w:t>a,b</w:t>
      </w:r>
      <w:proofErr w:type="spellEnd"/>
      <w:r w:rsidRPr="00591FC8">
        <w:rPr>
          <w:rFonts w:cs="Times New Roman"/>
          <w:szCs w:val="24"/>
          <w:lang w:val="pt-BR"/>
        </w:rPr>
        <w:t>, Liliane Lins-</w:t>
      </w:r>
      <w:proofErr w:type="spellStart"/>
      <w:r w:rsidRPr="00591FC8">
        <w:rPr>
          <w:rFonts w:cs="Times New Roman"/>
          <w:szCs w:val="24"/>
          <w:lang w:val="pt-BR"/>
        </w:rPr>
        <w:t>Kusterer</w:t>
      </w:r>
      <w:proofErr w:type="spellEnd"/>
      <w:r w:rsidRPr="00591FC8">
        <w:rPr>
          <w:rFonts w:cs="Times New Roman"/>
          <w:szCs w:val="24"/>
          <w:lang w:val="pt-BR"/>
        </w:rPr>
        <w:t xml:space="preserve">, </w:t>
      </w:r>
      <w:proofErr w:type="spellStart"/>
      <w:r w:rsidRPr="00591FC8">
        <w:rPr>
          <w:rFonts w:cs="Times New Roman"/>
          <w:szCs w:val="24"/>
          <w:lang w:val="pt-BR"/>
        </w:rPr>
        <w:t>PhD</w:t>
      </w:r>
      <w:r w:rsidRPr="00591FC8">
        <w:rPr>
          <w:rFonts w:cs="Times New Roman"/>
          <w:szCs w:val="24"/>
          <w:vertAlign w:val="superscript"/>
          <w:lang w:val="pt-BR"/>
        </w:rPr>
        <w:t>a,b</w:t>
      </w:r>
      <w:proofErr w:type="spellEnd"/>
      <w:r w:rsidRPr="00591FC8">
        <w:rPr>
          <w:rFonts w:cs="Times New Roman"/>
          <w:szCs w:val="24"/>
          <w:lang w:val="pt-BR"/>
        </w:rPr>
        <w:t xml:space="preserve">, </w:t>
      </w:r>
      <w:proofErr w:type="spellStart"/>
      <w:r w:rsidRPr="00591FC8">
        <w:rPr>
          <w:rFonts w:cs="Times New Roman"/>
          <w:szCs w:val="24"/>
          <w:lang w:val="pt-BR"/>
        </w:rPr>
        <w:t>Edimar</w:t>
      </w:r>
      <w:proofErr w:type="spellEnd"/>
      <w:r w:rsidRPr="00591FC8">
        <w:rPr>
          <w:rFonts w:cs="Times New Roman"/>
          <w:szCs w:val="24"/>
          <w:lang w:val="pt-BR"/>
        </w:rPr>
        <w:t xml:space="preserve"> Alcides </w:t>
      </w:r>
      <w:proofErr w:type="spellStart"/>
      <w:r w:rsidRPr="00591FC8">
        <w:rPr>
          <w:rFonts w:cs="Times New Roman"/>
          <w:szCs w:val="24"/>
          <w:lang w:val="pt-BR"/>
        </w:rPr>
        <w:t>Bocchi</w:t>
      </w:r>
      <w:proofErr w:type="spellEnd"/>
      <w:r w:rsidRPr="00591FC8">
        <w:rPr>
          <w:rFonts w:cs="Times New Roman"/>
          <w:szCs w:val="24"/>
          <w:lang w:val="pt-BR"/>
        </w:rPr>
        <w:t xml:space="preserve">, MD, PhD </w:t>
      </w:r>
      <w:proofErr w:type="spellStart"/>
      <w:r>
        <w:rPr>
          <w:rFonts w:cs="Times New Roman"/>
          <w:szCs w:val="24"/>
          <w:vertAlign w:val="superscript"/>
          <w:lang w:val="pt-BR"/>
        </w:rPr>
        <w:t>d,e</w:t>
      </w:r>
      <w:proofErr w:type="spellEnd"/>
    </w:p>
    <w:p w14:paraId="181B8C5B" w14:textId="77777777" w:rsidR="00F478FF" w:rsidRPr="00591FC8" w:rsidRDefault="00F478FF" w:rsidP="00F478FF">
      <w:pPr>
        <w:jc w:val="both"/>
        <w:rPr>
          <w:rFonts w:cs="Times New Roman"/>
          <w:szCs w:val="24"/>
          <w:lang w:val="pt-BR"/>
        </w:rPr>
      </w:pPr>
    </w:p>
    <w:p w14:paraId="73E449E9" w14:textId="77777777" w:rsidR="00F478FF" w:rsidRPr="00591FC8" w:rsidRDefault="00F478FF" w:rsidP="00F478FF">
      <w:pPr>
        <w:jc w:val="both"/>
        <w:rPr>
          <w:rFonts w:cs="Times New Roman"/>
          <w:szCs w:val="24"/>
          <w:vertAlign w:val="superscript"/>
        </w:rPr>
      </w:pPr>
      <w:proofErr w:type="gramStart"/>
      <w:r w:rsidRPr="00591FC8">
        <w:rPr>
          <w:rFonts w:cs="Times New Roman"/>
          <w:szCs w:val="24"/>
          <w:vertAlign w:val="superscript"/>
        </w:rPr>
        <w:t>a</w:t>
      </w:r>
      <w:proofErr w:type="gramEnd"/>
      <w:r w:rsidRPr="00591FC8">
        <w:rPr>
          <w:rFonts w:cs="Times New Roman"/>
          <w:szCs w:val="24"/>
          <w:vertAlign w:val="superscript"/>
        </w:rPr>
        <w:t xml:space="preserve"> </w:t>
      </w:r>
      <w:r w:rsidRPr="00591FC8">
        <w:rPr>
          <w:rFonts w:cs="Times New Roman"/>
          <w:szCs w:val="24"/>
        </w:rPr>
        <w:t xml:space="preserve">Post-graduate Program in Medicine and Health, </w:t>
      </w:r>
      <w:proofErr w:type="spellStart"/>
      <w:r w:rsidRPr="00591FC8">
        <w:rPr>
          <w:rFonts w:cs="Times New Roman"/>
          <w:szCs w:val="24"/>
        </w:rPr>
        <w:t>PPgMS</w:t>
      </w:r>
      <w:proofErr w:type="spellEnd"/>
      <w:r w:rsidRPr="00591FC8">
        <w:rPr>
          <w:rFonts w:cs="Times New Roman"/>
          <w:szCs w:val="24"/>
        </w:rPr>
        <w:t>/UFBA – Brazil.</w:t>
      </w:r>
      <w:r w:rsidRPr="00591FC8">
        <w:rPr>
          <w:rFonts w:cs="Times New Roman"/>
          <w:szCs w:val="24"/>
          <w:vertAlign w:val="superscript"/>
        </w:rPr>
        <w:t xml:space="preserve"> </w:t>
      </w:r>
    </w:p>
    <w:p w14:paraId="17F45B18" w14:textId="77777777" w:rsidR="00F478FF" w:rsidRDefault="00F478FF" w:rsidP="00F478FF">
      <w:pPr>
        <w:jc w:val="both"/>
        <w:rPr>
          <w:rFonts w:cs="Times New Roman"/>
          <w:szCs w:val="24"/>
        </w:rPr>
      </w:pPr>
      <w:proofErr w:type="gramStart"/>
      <w:r w:rsidRPr="00591FC8">
        <w:rPr>
          <w:rFonts w:cs="Times New Roman"/>
          <w:szCs w:val="24"/>
          <w:vertAlign w:val="superscript"/>
        </w:rPr>
        <w:t>b</w:t>
      </w:r>
      <w:proofErr w:type="gramEnd"/>
      <w:r w:rsidRPr="00591FC8">
        <w:rPr>
          <w:rFonts w:cs="Times New Roman"/>
          <w:szCs w:val="24"/>
          <w:vertAlign w:val="superscript"/>
        </w:rPr>
        <w:t xml:space="preserve"> </w:t>
      </w:r>
      <w:r w:rsidRPr="00591FC8">
        <w:rPr>
          <w:rFonts w:cs="Times New Roman"/>
          <w:szCs w:val="24"/>
        </w:rPr>
        <w:t>Federal University of Bahia, UFBA – Brazil.</w:t>
      </w:r>
    </w:p>
    <w:p w14:paraId="14576D7B" w14:textId="77777777" w:rsidR="00F478FF" w:rsidRPr="00591FC8" w:rsidRDefault="00F478FF" w:rsidP="00F478FF">
      <w:pPr>
        <w:jc w:val="both"/>
        <w:rPr>
          <w:rFonts w:cs="Times New Roman"/>
          <w:szCs w:val="24"/>
        </w:rPr>
      </w:pPr>
      <w:proofErr w:type="gramStart"/>
      <w:r w:rsidRPr="00591FC8">
        <w:rPr>
          <w:rFonts w:cs="Times New Roman"/>
          <w:szCs w:val="24"/>
          <w:vertAlign w:val="superscript"/>
        </w:rPr>
        <w:t>c</w:t>
      </w:r>
      <w:proofErr w:type="gramEnd"/>
      <w:r>
        <w:rPr>
          <w:rFonts w:cs="Times New Roman"/>
          <w:szCs w:val="24"/>
          <w:vertAlign w:val="superscript"/>
        </w:rPr>
        <w:t xml:space="preserve"> </w:t>
      </w:r>
      <w:r>
        <w:rPr>
          <w:rFonts w:cs="Times New Roman"/>
          <w:szCs w:val="24"/>
        </w:rPr>
        <w:t>Federal University of Uberlandia – Brazil</w:t>
      </w:r>
    </w:p>
    <w:p w14:paraId="790FBF47" w14:textId="77777777" w:rsidR="00F478FF" w:rsidRPr="00591FC8" w:rsidRDefault="00F478FF" w:rsidP="00F478FF">
      <w:pPr>
        <w:jc w:val="both"/>
        <w:rPr>
          <w:rFonts w:cs="Times New Roman"/>
          <w:szCs w:val="24"/>
        </w:rPr>
      </w:pPr>
      <w:proofErr w:type="gramStart"/>
      <w:r>
        <w:rPr>
          <w:rFonts w:cs="Times New Roman"/>
          <w:szCs w:val="24"/>
          <w:vertAlign w:val="superscript"/>
        </w:rPr>
        <w:t>d</w:t>
      </w:r>
      <w:proofErr w:type="gramEnd"/>
      <w:r w:rsidRPr="00591FC8">
        <w:rPr>
          <w:rFonts w:cs="Times New Roman"/>
          <w:szCs w:val="24"/>
          <w:vertAlign w:val="superscript"/>
        </w:rPr>
        <w:t xml:space="preserve"> </w:t>
      </w:r>
      <w:r w:rsidRPr="00591FC8">
        <w:rPr>
          <w:rFonts w:cs="Times New Roman"/>
          <w:szCs w:val="24"/>
        </w:rPr>
        <w:t>University of São Paulo Medical School, HCFMUSP - Brazil.</w:t>
      </w:r>
    </w:p>
    <w:p w14:paraId="6C29FE73" w14:textId="77777777" w:rsidR="00F478FF" w:rsidRPr="00591FC8" w:rsidRDefault="00F478FF" w:rsidP="00F478FF">
      <w:pPr>
        <w:jc w:val="both"/>
        <w:rPr>
          <w:rFonts w:cs="Times New Roman"/>
          <w:szCs w:val="24"/>
        </w:rPr>
      </w:pPr>
      <w:proofErr w:type="gramStart"/>
      <w:r>
        <w:rPr>
          <w:rFonts w:cs="Times New Roman"/>
          <w:szCs w:val="24"/>
          <w:vertAlign w:val="superscript"/>
        </w:rPr>
        <w:t>e</w:t>
      </w:r>
      <w:proofErr w:type="gramEnd"/>
      <w:r w:rsidRPr="00591FC8">
        <w:rPr>
          <w:rFonts w:cs="Times New Roman"/>
          <w:szCs w:val="24"/>
          <w:vertAlign w:val="superscript"/>
        </w:rPr>
        <w:t xml:space="preserve"> </w:t>
      </w:r>
      <w:r w:rsidRPr="00591FC8">
        <w:rPr>
          <w:rFonts w:cs="Times New Roman"/>
          <w:szCs w:val="24"/>
        </w:rPr>
        <w:t xml:space="preserve">Heart Institute, </w:t>
      </w:r>
      <w:proofErr w:type="spellStart"/>
      <w:r w:rsidRPr="00591FC8">
        <w:rPr>
          <w:rFonts w:cs="Times New Roman"/>
          <w:szCs w:val="24"/>
        </w:rPr>
        <w:t>InCor</w:t>
      </w:r>
      <w:proofErr w:type="spellEnd"/>
      <w:r w:rsidRPr="00591FC8">
        <w:rPr>
          <w:rFonts w:cs="Times New Roman"/>
          <w:szCs w:val="24"/>
        </w:rPr>
        <w:t xml:space="preserve"> - Brazil</w:t>
      </w:r>
    </w:p>
    <w:p w14:paraId="3BDB6AEB" w14:textId="77777777" w:rsidR="00F478FF" w:rsidRPr="00F478FF" w:rsidRDefault="00F478FF" w:rsidP="00F478FF">
      <w:pPr>
        <w:spacing w:after="0"/>
        <w:jc w:val="both"/>
        <w:rPr>
          <w:rFonts w:cs="Times New Roman"/>
          <w:szCs w:val="24"/>
          <w:vertAlign w:val="superscript"/>
        </w:rPr>
      </w:pPr>
    </w:p>
    <w:p w14:paraId="6BA19980" w14:textId="77777777" w:rsidR="00F478FF" w:rsidRPr="00F478FF" w:rsidRDefault="00F478FF" w:rsidP="00F478FF">
      <w:pPr>
        <w:spacing w:after="0"/>
        <w:jc w:val="both"/>
        <w:rPr>
          <w:rFonts w:eastAsia="Times New Roman" w:cs="Times New Roman"/>
          <w:color w:val="000000" w:themeColor="text1"/>
          <w:spacing w:val="-4"/>
          <w:szCs w:val="24"/>
          <w:shd w:val="clear" w:color="auto" w:fill="FFFFFF"/>
        </w:rPr>
      </w:pPr>
    </w:p>
    <w:p w14:paraId="318AC56D" w14:textId="77777777" w:rsidR="00F478FF" w:rsidRPr="00F478FF" w:rsidRDefault="00F478FF" w:rsidP="00F478FF">
      <w:pPr>
        <w:jc w:val="both"/>
        <w:rPr>
          <w:rFonts w:cs="Times New Roman"/>
          <w:szCs w:val="24"/>
        </w:rPr>
      </w:pPr>
    </w:p>
    <w:p w14:paraId="33C4BF3D" w14:textId="77777777" w:rsidR="00F478FF" w:rsidRPr="00F478FF" w:rsidRDefault="00F478FF" w:rsidP="00F478FF">
      <w:pPr>
        <w:jc w:val="both"/>
        <w:rPr>
          <w:rFonts w:cs="Times New Roman"/>
          <w:szCs w:val="24"/>
        </w:rPr>
      </w:pPr>
      <w:r w:rsidRPr="00F478FF">
        <w:rPr>
          <w:rFonts w:cs="Times New Roman"/>
          <w:szCs w:val="24"/>
        </w:rPr>
        <w:t>Correspondence to Yasmin de Souza Lima Bitar, B.S. in health, medicine student; Address for correspondence: Federal University of Bahia, medical school – UFBA/FAMEB</w:t>
      </w:r>
      <w:r w:rsidRPr="00F478FF">
        <w:rPr>
          <w:rFonts w:cs="Times New Roman"/>
          <w:szCs w:val="24"/>
          <w:shd w:val="clear" w:color="auto" w:fill="FFFFFF"/>
        </w:rPr>
        <w:t xml:space="preserve">; XV de </w:t>
      </w:r>
      <w:proofErr w:type="spellStart"/>
      <w:r w:rsidRPr="00F478FF">
        <w:rPr>
          <w:rFonts w:cs="Times New Roman"/>
          <w:szCs w:val="24"/>
          <w:shd w:val="clear" w:color="auto" w:fill="FFFFFF"/>
        </w:rPr>
        <w:t>novembro</w:t>
      </w:r>
      <w:proofErr w:type="spellEnd"/>
      <w:r w:rsidRPr="00F478FF">
        <w:rPr>
          <w:rFonts w:cs="Times New Roman"/>
          <w:szCs w:val="24"/>
          <w:shd w:val="clear" w:color="auto" w:fill="FFFFFF"/>
        </w:rPr>
        <w:t xml:space="preserve"> Square, s/n - Largo do </w:t>
      </w:r>
      <w:proofErr w:type="spellStart"/>
      <w:r w:rsidRPr="00F478FF">
        <w:rPr>
          <w:rFonts w:cs="Times New Roman"/>
          <w:szCs w:val="24"/>
          <w:shd w:val="clear" w:color="auto" w:fill="FFFFFF"/>
        </w:rPr>
        <w:t>Terreiro</w:t>
      </w:r>
      <w:proofErr w:type="spellEnd"/>
      <w:r w:rsidRPr="00F478FF">
        <w:rPr>
          <w:rFonts w:cs="Times New Roman"/>
          <w:szCs w:val="24"/>
          <w:shd w:val="clear" w:color="auto" w:fill="FFFFFF"/>
        </w:rPr>
        <w:t xml:space="preserve"> de Jesus, 40025-010, Salvador, Bahia, Brazil. </w:t>
      </w:r>
      <w:r w:rsidRPr="00F478FF">
        <w:rPr>
          <w:rFonts w:cs="Times New Roman"/>
          <w:szCs w:val="24"/>
        </w:rPr>
        <w:t xml:space="preserve">E-mail: </w:t>
      </w:r>
      <w:r w:rsidRPr="00F478FF">
        <w:rPr>
          <w:rStyle w:val="LinkdaInternet"/>
          <w:rFonts w:cs="Times New Roman"/>
          <w:szCs w:val="24"/>
        </w:rPr>
        <w:t xml:space="preserve">yasmin.ufba@gmail.com. </w:t>
      </w:r>
      <w:r w:rsidRPr="00F478FF">
        <w:rPr>
          <w:rFonts w:cs="Times New Roman"/>
          <w:szCs w:val="24"/>
        </w:rPr>
        <w:t>Telephone number: 55 73 991371560.</w:t>
      </w:r>
    </w:p>
    <w:p w14:paraId="1DE95C6E" w14:textId="77777777" w:rsidR="00F478FF" w:rsidRPr="00F478FF" w:rsidRDefault="00F478FF" w:rsidP="00F478FF">
      <w:pPr>
        <w:jc w:val="both"/>
        <w:rPr>
          <w:rFonts w:cs="Times New Roman"/>
          <w:szCs w:val="24"/>
        </w:rPr>
      </w:pPr>
    </w:p>
    <w:p w14:paraId="1C8BB690" w14:textId="77777777" w:rsidR="00F478FF" w:rsidRPr="00F478FF" w:rsidRDefault="00F478FF" w:rsidP="00F478FF">
      <w:pPr>
        <w:jc w:val="both"/>
        <w:rPr>
          <w:rFonts w:cs="Times New Roman"/>
          <w:szCs w:val="24"/>
        </w:rPr>
      </w:pPr>
    </w:p>
    <w:p w14:paraId="36E77A8B" w14:textId="77777777" w:rsidR="00F478FF" w:rsidRDefault="00F478FF" w:rsidP="00F478FF">
      <w:pPr>
        <w:ind w:right="-283"/>
        <w:jc w:val="center"/>
        <w:rPr>
          <w:rFonts w:cs="Times New Roman"/>
          <w:b/>
          <w:color w:val="000000" w:themeColor="text1"/>
          <w:szCs w:val="24"/>
        </w:rPr>
      </w:pPr>
      <w:r w:rsidRPr="00F478FF">
        <w:rPr>
          <w:rFonts w:cs="Times New Roman"/>
          <w:b/>
          <w:color w:val="000000" w:themeColor="text1"/>
          <w:szCs w:val="24"/>
        </w:rPr>
        <w:t>ELECTRONIC SUPPLEMENTARY FILES</w:t>
      </w:r>
    </w:p>
    <w:p w14:paraId="22138521" w14:textId="77777777" w:rsidR="00F478FF" w:rsidRDefault="00F478FF" w:rsidP="00F478FF">
      <w:pPr>
        <w:ind w:right="-283"/>
        <w:jc w:val="center"/>
        <w:rPr>
          <w:rFonts w:cs="Times New Roman"/>
          <w:b/>
          <w:color w:val="000000" w:themeColor="text1"/>
          <w:szCs w:val="24"/>
        </w:rPr>
      </w:pPr>
    </w:p>
    <w:p w14:paraId="61E7067F" w14:textId="77777777" w:rsidR="00F478FF" w:rsidRDefault="00F478FF" w:rsidP="00F478FF">
      <w:pPr>
        <w:ind w:right="-283"/>
        <w:jc w:val="center"/>
        <w:rPr>
          <w:rFonts w:cs="Times New Roman"/>
          <w:b/>
          <w:color w:val="000000" w:themeColor="text1"/>
          <w:szCs w:val="24"/>
        </w:rPr>
      </w:pPr>
    </w:p>
    <w:p w14:paraId="76F12939" w14:textId="77777777" w:rsidR="00F478FF" w:rsidRDefault="00F478FF" w:rsidP="00F478FF">
      <w:pPr>
        <w:ind w:right="-283"/>
        <w:jc w:val="center"/>
        <w:rPr>
          <w:rFonts w:cs="Times New Roman"/>
          <w:b/>
          <w:color w:val="000000" w:themeColor="text1"/>
          <w:szCs w:val="24"/>
        </w:rPr>
      </w:pPr>
    </w:p>
    <w:p w14:paraId="1CC76FE9" w14:textId="77777777" w:rsidR="00F478FF" w:rsidRPr="00F478FF" w:rsidRDefault="00F478FF" w:rsidP="00F478FF">
      <w:pPr>
        <w:ind w:right="-283"/>
        <w:jc w:val="center"/>
        <w:rPr>
          <w:rFonts w:cs="Times New Roman"/>
          <w:b/>
          <w:color w:val="000000" w:themeColor="text1"/>
          <w:szCs w:val="24"/>
        </w:rPr>
      </w:pPr>
    </w:p>
    <w:p w14:paraId="6955043B" w14:textId="77777777" w:rsidR="00F478FF" w:rsidRPr="00F478FF" w:rsidRDefault="00F478FF" w:rsidP="00F478FF">
      <w:pPr>
        <w:ind w:right="-283"/>
        <w:jc w:val="both"/>
        <w:rPr>
          <w:rFonts w:cs="Times New Roman"/>
          <w:b/>
          <w:color w:val="000000" w:themeColor="text1"/>
          <w:szCs w:val="24"/>
        </w:rPr>
      </w:pPr>
      <w:r w:rsidRPr="00F478FF">
        <w:rPr>
          <w:rFonts w:cs="Times New Roman"/>
          <w:b/>
          <w:szCs w:val="24"/>
        </w:rPr>
        <w:lastRenderedPageBreak/>
        <w:t xml:space="preserve">File 1: Table E1. </w:t>
      </w:r>
      <w:r w:rsidRPr="00F478FF">
        <w:rPr>
          <w:rFonts w:cs="Times New Roman"/>
          <w:szCs w:val="24"/>
        </w:rPr>
        <w:t>PRISMA Checklist</w:t>
      </w:r>
    </w:p>
    <w:tbl>
      <w:tblPr>
        <w:tblW w:w="9072" w:type="dxa"/>
        <w:tblBorders>
          <w:top w:val="nil"/>
          <w:left w:val="nil"/>
          <w:bottom w:val="nil"/>
          <w:right w:val="nil"/>
        </w:tblBorders>
        <w:tblLook w:val="0000" w:firstRow="0" w:lastRow="0" w:firstColumn="0" w:lastColumn="0" w:noHBand="0" w:noVBand="0"/>
      </w:tblPr>
      <w:tblGrid>
        <w:gridCol w:w="1536"/>
        <w:gridCol w:w="456"/>
        <w:gridCol w:w="5904"/>
        <w:gridCol w:w="1176"/>
      </w:tblGrid>
      <w:tr w:rsidR="00F478FF" w:rsidRPr="00F478FF" w14:paraId="00CC6DA7" w14:textId="77777777" w:rsidTr="001263A3">
        <w:trPr>
          <w:trHeight w:val="663"/>
        </w:trPr>
        <w:tc>
          <w:tcPr>
            <w:tcW w:w="138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D902E30" w14:textId="77777777" w:rsidR="00F478FF" w:rsidRPr="00F478FF" w:rsidRDefault="00F478FF" w:rsidP="00F478FF">
            <w:pPr>
              <w:pStyle w:val="Default"/>
              <w:rPr>
                <w:rFonts w:ascii="Times New Roman" w:hAnsi="Times New Roman" w:cs="Times New Roman"/>
                <w:color w:val="FFFFFF"/>
              </w:rPr>
            </w:pPr>
            <w:r w:rsidRPr="00F478FF">
              <w:rPr>
                <w:rFonts w:ascii="Times New Roman" w:hAnsi="Times New Roman" w:cs="Times New Roman"/>
                <w:b/>
                <w:bCs/>
                <w:color w:val="FFFFFF"/>
              </w:rPr>
              <w:t xml:space="preserve">Section/topic </w:t>
            </w:r>
          </w:p>
        </w:tc>
        <w:tc>
          <w:tcPr>
            <w:tcW w:w="42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F48D0B7" w14:textId="77777777" w:rsidR="00F478FF" w:rsidRPr="00F478FF" w:rsidRDefault="00F478FF" w:rsidP="00F478FF">
            <w:pPr>
              <w:pStyle w:val="Default"/>
              <w:jc w:val="right"/>
              <w:rPr>
                <w:rFonts w:ascii="Times New Roman" w:hAnsi="Times New Roman" w:cs="Times New Roman"/>
                <w:b/>
                <w:bCs/>
                <w:color w:val="FFFFFF"/>
              </w:rPr>
            </w:pPr>
            <w:r w:rsidRPr="00F478FF">
              <w:rPr>
                <w:rFonts w:ascii="Times New Roman" w:hAnsi="Times New Roman" w:cs="Times New Roman"/>
                <w:b/>
                <w:bCs/>
                <w:color w:val="FFFFFF"/>
              </w:rPr>
              <w:t>#</w:t>
            </w:r>
          </w:p>
        </w:tc>
        <w:tc>
          <w:tcPr>
            <w:tcW w:w="623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77BB7E6" w14:textId="77777777" w:rsidR="00F478FF" w:rsidRPr="00F478FF" w:rsidRDefault="00F478FF" w:rsidP="00F478FF">
            <w:pPr>
              <w:pStyle w:val="Default"/>
              <w:rPr>
                <w:rFonts w:ascii="Times New Roman" w:hAnsi="Times New Roman" w:cs="Times New Roman"/>
                <w:color w:val="FFFFFF"/>
              </w:rPr>
            </w:pPr>
            <w:r w:rsidRPr="00F478FF">
              <w:rPr>
                <w:rFonts w:ascii="Times New Roman" w:hAnsi="Times New Roman" w:cs="Times New Roman"/>
                <w:b/>
                <w:bCs/>
                <w:color w:val="FFFFFF"/>
              </w:rPr>
              <w:t xml:space="preserve">Checklist item </w:t>
            </w:r>
          </w:p>
        </w:tc>
        <w:tc>
          <w:tcPr>
            <w:tcW w:w="102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04ACDF7" w14:textId="77777777" w:rsidR="00F478FF" w:rsidRPr="00F478FF" w:rsidRDefault="00F478FF" w:rsidP="00F478FF">
            <w:pPr>
              <w:pStyle w:val="Default"/>
              <w:jc w:val="center"/>
              <w:rPr>
                <w:rFonts w:ascii="Times New Roman" w:hAnsi="Times New Roman" w:cs="Times New Roman"/>
                <w:color w:val="FFFFFF"/>
              </w:rPr>
            </w:pPr>
            <w:r w:rsidRPr="00F478FF">
              <w:rPr>
                <w:rFonts w:ascii="Times New Roman" w:hAnsi="Times New Roman" w:cs="Times New Roman"/>
                <w:b/>
                <w:bCs/>
                <w:color w:val="FFFFFF"/>
              </w:rPr>
              <w:t>Reported on page #</w:t>
            </w:r>
          </w:p>
        </w:tc>
      </w:tr>
      <w:tr w:rsidR="00F478FF" w:rsidRPr="00F478FF" w14:paraId="1639F043" w14:textId="77777777" w:rsidTr="001263A3">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9748F4" w14:textId="77777777" w:rsidR="00F478FF" w:rsidRPr="00F478FF" w:rsidRDefault="00F478FF" w:rsidP="00F478FF">
            <w:pPr>
              <w:pStyle w:val="Default"/>
              <w:rPr>
                <w:rFonts w:ascii="Times New Roman" w:hAnsi="Times New Roman" w:cs="Times New Roman"/>
              </w:rPr>
            </w:pPr>
            <w:r w:rsidRPr="00F478FF">
              <w:rPr>
                <w:rFonts w:ascii="Times New Roman" w:hAnsi="Times New Roman" w:cs="Times New Roman"/>
                <w:b/>
                <w:bCs/>
              </w:rPr>
              <w:t xml:space="preserve">TITLE </w:t>
            </w:r>
          </w:p>
        </w:tc>
        <w:tc>
          <w:tcPr>
            <w:tcW w:w="1026" w:type="dxa"/>
            <w:tcBorders>
              <w:top w:val="double" w:sz="5" w:space="0" w:color="000000"/>
              <w:left w:val="single" w:sz="5" w:space="0" w:color="000000"/>
              <w:bottom w:val="single" w:sz="5" w:space="0" w:color="000000"/>
              <w:right w:val="single" w:sz="5" w:space="0" w:color="000000"/>
            </w:tcBorders>
            <w:shd w:val="clear" w:color="auto" w:fill="FFFFCC"/>
          </w:tcPr>
          <w:p w14:paraId="6FD695B3" w14:textId="77777777" w:rsidR="00F478FF" w:rsidRPr="00F478FF" w:rsidRDefault="00F478FF" w:rsidP="00F478FF">
            <w:pPr>
              <w:pStyle w:val="Default"/>
              <w:jc w:val="center"/>
              <w:rPr>
                <w:rFonts w:ascii="Times New Roman" w:hAnsi="Times New Roman" w:cs="Times New Roman"/>
                <w:color w:val="auto"/>
              </w:rPr>
            </w:pPr>
          </w:p>
        </w:tc>
      </w:tr>
      <w:tr w:rsidR="00F478FF" w:rsidRPr="00F478FF" w14:paraId="0B8E3853" w14:textId="77777777" w:rsidTr="001263A3">
        <w:trPr>
          <w:trHeight w:val="323"/>
        </w:trPr>
        <w:tc>
          <w:tcPr>
            <w:tcW w:w="1384" w:type="dxa"/>
            <w:tcBorders>
              <w:top w:val="single" w:sz="5" w:space="0" w:color="000000"/>
              <w:left w:val="single" w:sz="5" w:space="0" w:color="000000"/>
              <w:bottom w:val="double" w:sz="2" w:space="0" w:color="FFFFCC"/>
              <w:right w:val="single" w:sz="5" w:space="0" w:color="000000"/>
            </w:tcBorders>
          </w:tcPr>
          <w:p w14:paraId="47C2F41C"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Title </w:t>
            </w:r>
          </w:p>
        </w:tc>
        <w:tc>
          <w:tcPr>
            <w:tcW w:w="425" w:type="dxa"/>
            <w:tcBorders>
              <w:top w:val="single" w:sz="5" w:space="0" w:color="000000"/>
              <w:left w:val="single" w:sz="5" w:space="0" w:color="000000"/>
              <w:bottom w:val="double" w:sz="2" w:space="0" w:color="FFFFCC"/>
              <w:right w:val="single" w:sz="5" w:space="0" w:color="000000"/>
            </w:tcBorders>
          </w:tcPr>
          <w:p w14:paraId="1D1BB1BD"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1</w:t>
            </w:r>
          </w:p>
        </w:tc>
        <w:tc>
          <w:tcPr>
            <w:tcW w:w="6237" w:type="dxa"/>
            <w:tcBorders>
              <w:top w:val="single" w:sz="5" w:space="0" w:color="000000"/>
              <w:left w:val="single" w:sz="5" w:space="0" w:color="000000"/>
              <w:bottom w:val="double" w:sz="5" w:space="0" w:color="000000"/>
              <w:right w:val="single" w:sz="5" w:space="0" w:color="000000"/>
            </w:tcBorders>
          </w:tcPr>
          <w:p w14:paraId="4A7E51C9"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Identify the report as a systematic review, meta-analysis, or both. </w:t>
            </w:r>
          </w:p>
        </w:tc>
        <w:tc>
          <w:tcPr>
            <w:tcW w:w="1026" w:type="dxa"/>
            <w:tcBorders>
              <w:top w:val="single" w:sz="5" w:space="0" w:color="000000"/>
              <w:left w:val="single" w:sz="5" w:space="0" w:color="000000"/>
              <w:bottom w:val="double" w:sz="5" w:space="0" w:color="000000"/>
              <w:right w:val="single" w:sz="5" w:space="0" w:color="000000"/>
            </w:tcBorders>
          </w:tcPr>
          <w:p w14:paraId="6B1479B6"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1</w:t>
            </w:r>
          </w:p>
        </w:tc>
      </w:tr>
      <w:tr w:rsidR="00F478FF" w:rsidRPr="00F478FF" w14:paraId="553C55FB" w14:textId="77777777" w:rsidTr="001263A3">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138FB5" w14:textId="77777777" w:rsidR="00F478FF" w:rsidRPr="00F478FF" w:rsidRDefault="00F478FF" w:rsidP="00F478FF">
            <w:pPr>
              <w:pStyle w:val="Default"/>
              <w:jc w:val="both"/>
              <w:rPr>
                <w:rFonts w:ascii="Times New Roman" w:hAnsi="Times New Roman" w:cs="Times New Roman"/>
              </w:rPr>
            </w:pPr>
            <w:r w:rsidRPr="00F478FF">
              <w:rPr>
                <w:rFonts w:ascii="Times New Roman" w:hAnsi="Times New Roman" w:cs="Times New Roman"/>
                <w:b/>
                <w:bCs/>
              </w:rPr>
              <w:t xml:space="preserve">ABSTRACT </w:t>
            </w:r>
          </w:p>
        </w:tc>
        <w:tc>
          <w:tcPr>
            <w:tcW w:w="1026" w:type="dxa"/>
            <w:tcBorders>
              <w:top w:val="double" w:sz="5" w:space="0" w:color="000000"/>
              <w:left w:val="single" w:sz="5" w:space="0" w:color="000000"/>
              <w:bottom w:val="single" w:sz="5" w:space="0" w:color="000000"/>
              <w:right w:val="single" w:sz="5" w:space="0" w:color="000000"/>
            </w:tcBorders>
            <w:shd w:val="clear" w:color="auto" w:fill="FFFFCC"/>
          </w:tcPr>
          <w:p w14:paraId="0B7CFE81" w14:textId="77777777" w:rsidR="00F478FF" w:rsidRPr="00F478FF" w:rsidRDefault="00F478FF" w:rsidP="00F478FF">
            <w:pPr>
              <w:pStyle w:val="Default"/>
              <w:jc w:val="center"/>
              <w:rPr>
                <w:rFonts w:ascii="Times New Roman" w:hAnsi="Times New Roman" w:cs="Times New Roman"/>
                <w:color w:val="auto"/>
              </w:rPr>
            </w:pPr>
          </w:p>
        </w:tc>
      </w:tr>
      <w:tr w:rsidR="00F478FF" w:rsidRPr="00F478FF" w14:paraId="3E990801" w14:textId="77777777" w:rsidTr="001263A3">
        <w:trPr>
          <w:trHeight w:val="810"/>
        </w:trPr>
        <w:tc>
          <w:tcPr>
            <w:tcW w:w="1384" w:type="dxa"/>
            <w:tcBorders>
              <w:top w:val="single" w:sz="5" w:space="0" w:color="000000"/>
              <w:left w:val="single" w:sz="5" w:space="0" w:color="000000"/>
              <w:bottom w:val="double" w:sz="2" w:space="0" w:color="FFFFCC"/>
              <w:right w:val="single" w:sz="5" w:space="0" w:color="000000"/>
            </w:tcBorders>
          </w:tcPr>
          <w:p w14:paraId="06BB6417"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Structured summary </w:t>
            </w:r>
          </w:p>
        </w:tc>
        <w:tc>
          <w:tcPr>
            <w:tcW w:w="425" w:type="dxa"/>
            <w:tcBorders>
              <w:top w:val="single" w:sz="5" w:space="0" w:color="000000"/>
              <w:left w:val="single" w:sz="5" w:space="0" w:color="000000"/>
              <w:bottom w:val="double" w:sz="2" w:space="0" w:color="FFFFCC"/>
              <w:right w:val="single" w:sz="5" w:space="0" w:color="000000"/>
            </w:tcBorders>
          </w:tcPr>
          <w:p w14:paraId="5DFB7B07"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2</w:t>
            </w:r>
          </w:p>
        </w:tc>
        <w:tc>
          <w:tcPr>
            <w:tcW w:w="6237" w:type="dxa"/>
            <w:tcBorders>
              <w:top w:val="single" w:sz="5" w:space="0" w:color="000000"/>
              <w:left w:val="single" w:sz="5" w:space="0" w:color="000000"/>
              <w:bottom w:val="double" w:sz="5" w:space="0" w:color="000000"/>
              <w:right w:val="single" w:sz="5" w:space="0" w:color="000000"/>
            </w:tcBorders>
          </w:tcPr>
          <w:p w14:paraId="13ABAFFC"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026" w:type="dxa"/>
            <w:tcBorders>
              <w:top w:val="single" w:sz="5" w:space="0" w:color="000000"/>
              <w:left w:val="single" w:sz="5" w:space="0" w:color="000000"/>
              <w:bottom w:val="double" w:sz="5" w:space="0" w:color="000000"/>
              <w:right w:val="single" w:sz="5" w:space="0" w:color="000000"/>
            </w:tcBorders>
          </w:tcPr>
          <w:p w14:paraId="3C8B145D"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3</w:t>
            </w:r>
          </w:p>
        </w:tc>
      </w:tr>
      <w:tr w:rsidR="00F478FF" w:rsidRPr="00F478FF" w14:paraId="65540084" w14:textId="77777777" w:rsidTr="001263A3">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D4EE80" w14:textId="77777777" w:rsidR="00F478FF" w:rsidRPr="00F478FF" w:rsidRDefault="00F478FF" w:rsidP="00F478FF">
            <w:pPr>
              <w:pStyle w:val="Default"/>
              <w:jc w:val="both"/>
              <w:rPr>
                <w:rFonts w:ascii="Times New Roman" w:hAnsi="Times New Roman" w:cs="Times New Roman"/>
              </w:rPr>
            </w:pPr>
            <w:r w:rsidRPr="00F478FF">
              <w:rPr>
                <w:rFonts w:ascii="Times New Roman" w:hAnsi="Times New Roman" w:cs="Times New Roman"/>
                <w:b/>
                <w:bCs/>
              </w:rPr>
              <w:t xml:space="preserve">INTRODUCTION </w:t>
            </w:r>
          </w:p>
        </w:tc>
        <w:tc>
          <w:tcPr>
            <w:tcW w:w="1026" w:type="dxa"/>
            <w:tcBorders>
              <w:top w:val="double" w:sz="5" w:space="0" w:color="000000"/>
              <w:left w:val="single" w:sz="5" w:space="0" w:color="000000"/>
              <w:bottom w:val="single" w:sz="5" w:space="0" w:color="000000"/>
              <w:right w:val="single" w:sz="5" w:space="0" w:color="000000"/>
            </w:tcBorders>
            <w:shd w:val="clear" w:color="auto" w:fill="FFFFCC"/>
          </w:tcPr>
          <w:p w14:paraId="76CE59B2" w14:textId="77777777" w:rsidR="00F478FF" w:rsidRPr="00F478FF" w:rsidRDefault="00F478FF" w:rsidP="00F478FF">
            <w:pPr>
              <w:pStyle w:val="Default"/>
              <w:jc w:val="center"/>
              <w:rPr>
                <w:rFonts w:ascii="Times New Roman" w:hAnsi="Times New Roman" w:cs="Times New Roman"/>
                <w:color w:val="auto"/>
              </w:rPr>
            </w:pPr>
          </w:p>
        </w:tc>
      </w:tr>
      <w:tr w:rsidR="00F478FF" w:rsidRPr="00F478FF" w14:paraId="6FD4DA94" w14:textId="77777777" w:rsidTr="001263A3">
        <w:trPr>
          <w:trHeight w:val="333"/>
        </w:trPr>
        <w:tc>
          <w:tcPr>
            <w:tcW w:w="1384" w:type="dxa"/>
            <w:tcBorders>
              <w:top w:val="single" w:sz="5" w:space="0" w:color="000000"/>
              <w:left w:val="single" w:sz="5" w:space="0" w:color="000000"/>
              <w:bottom w:val="single" w:sz="5" w:space="0" w:color="000000"/>
              <w:right w:val="single" w:sz="5" w:space="0" w:color="000000"/>
            </w:tcBorders>
          </w:tcPr>
          <w:p w14:paraId="62A4B5B9"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Rationale </w:t>
            </w:r>
          </w:p>
        </w:tc>
        <w:tc>
          <w:tcPr>
            <w:tcW w:w="425" w:type="dxa"/>
            <w:tcBorders>
              <w:top w:val="single" w:sz="5" w:space="0" w:color="000000"/>
              <w:left w:val="single" w:sz="5" w:space="0" w:color="000000"/>
              <w:bottom w:val="single" w:sz="5" w:space="0" w:color="000000"/>
              <w:right w:val="single" w:sz="5" w:space="0" w:color="000000"/>
            </w:tcBorders>
          </w:tcPr>
          <w:p w14:paraId="63DC5804"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3</w:t>
            </w:r>
          </w:p>
        </w:tc>
        <w:tc>
          <w:tcPr>
            <w:tcW w:w="6237" w:type="dxa"/>
            <w:tcBorders>
              <w:top w:val="single" w:sz="5" w:space="0" w:color="000000"/>
              <w:left w:val="single" w:sz="5" w:space="0" w:color="000000"/>
              <w:bottom w:val="single" w:sz="5" w:space="0" w:color="000000"/>
              <w:right w:val="single" w:sz="5" w:space="0" w:color="000000"/>
            </w:tcBorders>
          </w:tcPr>
          <w:p w14:paraId="17297B2E"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Describe the rationale for the review in the context of what </w:t>
            </w:r>
            <w:proofErr w:type="gramStart"/>
            <w:r w:rsidRPr="00F478FF">
              <w:rPr>
                <w:rFonts w:ascii="Times New Roman" w:hAnsi="Times New Roman" w:cs="Times New Roman"/>
              </w:rPr>
              <w:t>is already known</w:t>
            </w:r>
            <w:proofErr w:type="gramEnd"/>
            <w:r w:rsidRPr="00F478FF">
              <w:rPr>
                <w:rFonts w:ascii="Times New Roman" w:hAnsi="Times New Roman" w:cs="Times New Roman"/>
              </w:rPr>
              <w:t xml:space="preserve">. </w:t>
            </w:r>
          </w:p>
        </w:tc>
        <w:tc>
          <w:tcPr>
            <w:tcW w:w="1026" w:type="dxa"/>
            <w:tcBorders>
              <w:top w:val="single" w:sz="5" w:space="0" w:color="000000"/>
              <w:left w:val="single" w:sz="5" w:space="0" w:color="000000"/>
              <w:bottom w:val="single" w:sz="5" w:space="0" w:color="000000"/>
              <w:right w:val="single" w:sz="5" w:space="0" w:color="000000"/>
            </w:tcBorders>
          </w:tcPr>
          <w:p w14:paraId="2D675281"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4</w:t>
            </w:r>
          </w:p>
        </w:tc>
      </w:tr>
      <w:tr w:rsidR="00F478FF" w:rsidRPr="00F478FF" w14:paraId="59ED5341" w14:textId="77777777" w:rsidTr="001263A3">
        <w:trPr>
          <w:trHeight w:val="568"/>
        </w:trPr>
        <w:tc>
          <w:tcPr>
            <w:tcW w:w="1384" w:type="dxa"/>
            <w:tcBorders>
              <w:top w:val="single" w:sz="5" w:space="0" w:color="000000"/>
              <w:left w:val="single" w:sz="5" w:space="0" w:color="000000"/>
              <w:bottom w:val="double" w:sz="2" w:space="0" w:color="FFFFCC"/>
              <w:right w:val="single" w:sz="5" w:space="0" w:color="000000"/>
            </w:tcBorders>
          </w:tcPr>
          <w:p w14:paraId="53D2570D"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Objectives </w:t>
            </w:r>
          </w:p>
        </w:tc>
        <w:tc>
          <w:tcPr>
            <w:tcW w:w="425" w:type="dxa"/>
            <w:tcBorders>
              <w:top w:val="single" w:sz="5" w:space="0" w:color="000000"/>
              <w:left w:val="single" w:sz="5" w:space="0" w:color="000000"/>
              <w:bottom w:val="double" w:sz="2" w:space="0" w:color="FFFFCC"/>
              <w:right w:val="single" w:sz="5" w:space="0" w:color="000000"/>
            </w:tcBorders>
          </w:tcPr>
          <w:p w14:paraId="47626E28"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4</w:t>
            </w:r>
          </w:p>
        </w:tc>
        <w:tc>
          <w:tcPr>
            <w:tcW w:w="6237" w:type="dxa"/>
            <w:tcBorders>
              <w:top w:val="single" w:sz="5" w:space="0" w:color="000000"/>
              <w:left w:val="single" w:sz="5" w:space="0" w:color="000000"/>
              <w:bottom w:val="double" w:sz="5" w:space="0" w:color="000000"/>
              <w:right w:val="single" w:sz="5" w:space="0" w:color="000000"/>
            </w:tcBorders>
          </w:tcPr>
          <w:p w14:paraId="2628C59B"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Provide an explicit statement of questions </w:t>
            </w:r>
            <w:proofErr w:type="gramStart"/>
            <w:r w:rsidRPr="00F478FF">
              <w:rPr>
                <w:rFonts w:ascii="Times New Roman" w:hAnsi="Times New Roman" w:cs="Times New Roman"/>
              </w:rPr>
              <w:t>being addressed</w:t>
            </w:r>
            <w:proofErr w:type="gramEnd"/>
            <w:r w:rsidRPr="00F478FF">
              <w:rPr>
                <w:rFonts w:ascii="Times New Roman" w:hAnsi="Times New Roman" w:cs="Times New Roman"/>
              </w:rPr>
              <w:t xml:space="preserve"> with reference to participants, interventions, comparisons, outcomes, and study design (PICOS). </w:t>
            </w:r>
          </w:p>
        </w:tc>
        <w:tc>
          <w:tcPr>
            <w:tcW w:w="1026" w:type="dxa"/>
            <w:tcBorders>
              <w:top w:val="single" w:sz="5" w:space="0" w:color="000000"/>
              <w:left w:val="single" w:sz="5" w:space="0" w:color="000000"/>
              <w:bottom w:val="double" w:sz="5" w:space="0" w:color="000000"/>
              <w:right w:val="single" w:sz="5" w:space="0" w:color="000000"/>
            </w:tcBorders>
          </w:tcPr>
          <w:p w14:paraId="05319352"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4</w:t>
            </w:r>
          </w:p>
        </w:tc>
      </w:tr>
      <w:tr w:rsidR="00F478FF" w:rsidRPr="00F478FF" w14:paraId="758632E6" w14:textId="77777777" w:rsidTr="001263A3">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9FD3BC" w14:textId="77777777" w:rsidR="00F478FF" w:rsidRPr="00F478FF" w:rsidRDefault="00F478FF" w:rsidP="00F478FF">
            <w:pPr>
              <w:pStyle w:val="Default"/>
              <w:jc w:val="both"/>
              <w:rPr>
                <w:rFonts w:ascii="Times New Roman" w:hAnsi="Times New Roman" w:cs="Times New Roman"/>
              </w:rPr>
            </w:pPr>
            <w:r w:rsidRPr="00F478FF">
              <w:rPr>
                <w:rFonts w:ascii="Times New Roman" w:hAnsi="Times New Roman" w:cs="Times New Roman"/>
                <w:b/>
                <w:bCs/>
              </w:rPr>
              <w:t xml:space="preserve">METHODS </w:t>
            </w:r>
          </w:p>
        </w:tc>
        <w:tc>
          <w:tcPr>
            <w:tcW w:w="1026" w:type="dxa"/>
            <w:tcBorders>
              <w:top w:val="double" w:sz="5" w:space="0" w:color="000000"/>
              <w:left w:val="single" w:sz="5" w:space="0" w:color="000000"/>
              <w:bottom w:val="single" w:sz="5" w:space="0" w:color="000000"/>
              <w:right w:val="single" w:sz="5" w:space="0" w:color="000000"/>
            </w:tcBorders>
            <w:shd w:val="clear" w:color="auto" w:fill="FFFFCC"/>
          </w:tcPr>
          <w:p w14:paraId="0E8A9516" w14:textId="77777777" w:rsidR="00F478FF" w:rsidRPr="00F478FF" w:rsidRDefault="00F478FF" w:rsidP="00F478FF">
            <w:pPr>
              <w:pStyle w:val="Default"/>
              <w:jc w:val="center"/>
              <w:rPr>
                <w:rFonts w:ascii="Times New Roman" w:hAnsi="Times New Roman" w:cs="Times New Roman"/>
                <w:color w:val="auto"/>
              </w:rPr>
            </w:pPr>
          </w:p>
        </w:tc>
      </w:tr>
      <w:tr w:rsidR="00F478FF" w:rsidRPr="00F478FF" w14:paraId="014BBA54" w14:textId="77777777" w:rsidTr="001263A3">
        <w:trPr>
          <w:trHeight w:val="578"/>
        </w:trPr>
        <w:tc>
          <w:tcPr>
            <w:tcW w:w="1384" w:type="dxa"/>
            <w:tcBorders>
              <w:top w:val="single" w:sz="5" w:space="0" w:color="000000"/>
              <w:left w:val="single" w:sz="5" w:space="0" w:color="000000"/>
              <w:bottom w:val="single" w:sz="5" w:space="0" w:color="000000"/>
              <w:right w:val="single" w:sz="5" w:space="0" w:color="000000"/>
            </w:tcBorders>
          </w:tcPr>
          <w:p w14:paraId="385B98F4"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Protocol and registration </w:t>
            </w:r>
          </w:p>
        </w:tc>
        <w:tc>
          <w:tcPr>
            <w:tcW w:w="425" w:type="dxa"/>
            <w:tcBorders>
              <w:top w:val="single" w:sz="5" w:space="0" w:color="000000"/>
              <w:left w:val="single" w:sz="5" w:space="0" w:color="000000"/>
              <w:bottom w:val="single" w:sz="5" w:space="0" w:color="000000"/>
              <w:right w:val="single" w:sz="5" w:space="0" w:color="000000"/>
            </w:tcBorders>
          </w:tcPr>
          <w:p w14:paraId="2D07A062"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5</w:t>
            </w:r>
          </w:p>
        </w:tc>
        <w:tc>
          <w:tcPr>
            <w:tcW w:w="6237" w:type="dxa"/>
            <w:tcBorders>
              <w:top w:val="single" w:sz="5" w:space="0" w:color="000000"/>
              <w:left w:val="single" w:sz="5" w:space="0" w:color="000000"/>
              <w:bottom w:val="single" w:sz="5" w:space="0" w:color="000000"/>
              <w:right w:val="single" w:sz="5" w:space="0" w:color="000000"/>
            </w:tcBorders>
          </w:tcPr>
          <w:p w14:paraId="18A09DFB"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Indicate if a review protocol exists, if and where it can be accessed (e.g., Web address), and, if available, provide registration information including registration number. </w:t>
            </w:r>
          </w:p>
        </w:tc>
        <w:tc>
          <w:tcPr>
            <w:tcW w:w="1026" w:type="dxa"/>
            <w:tcBorders>
              <w:top w:val="single" w:sz="5" w:space="0" w:color="000000"/>
              <w:left w:val="single" w:sz="5" w:space="0" w:color="000000"/>
              <w:bottom w:val="single" w:sz="5" w:space="0" w:color="000000"/>
              <w:right w:val="single" w:sz="5" w:space="0" w:color="000000"/>
            </w:tcBorders>
          </w:tcPr>
          <w:p w14:paraId="64D95982"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w:t>
            </w:r>
          </w:p>
        </w:tc>
      </w:tr>
      <w:tr w:rsidR="00F478FF" w:rsidRPr="00F478FF" w14:paraId="509EE2B6" w14:textId="77777777" w:rsidTr="001263A3">
        <w:trPr>
          <w:trHeight w:val="578"/>
        </w:trPr>
        <w:tc>
          <w:tcPr>
            <w:tcW w:w="1384" w:type="dxa"/>
            <w:tcBorders>
              <w:top w:val="single" w:sz="5" w:space="0" w:color="000000"/>
              <w:left w:val="single" w:sz="5" w:space="0" w:color="000000"/>
              <w:bottom w:val="single" w:sz="5" w:space="0" w:color="000000"/>
              <w:right w:val="single" w:sz="5" w:space="0" w:color="000000"/>
            </w:tcBorders>
          </w:tcPr>
          <w:p w14:paraId="5137E3C8"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Eligibility criteria </w:t>
            </w:r>
          </w:p>
        </w:tc>
        <w:tc>
          <w:tcPr>
            <w:tcW w:w="425" w:type="dxa"/>
            <w:tcBorders>
              <w:top w:val="single" w:sz="5" w:space="0" w:color="000000"/>
              <w:left w:val="single" w:sz="5" w:space="0" w:color="000000"/>
              <w:bottom w:val="single" w:sz="5" w:space="0" w:color="000000"/>
              <w:right w:val="single" w:sz="5" w:space="0" w:color="000000"/>
            </w:tcBorders>
          </w:tcPr>
          <w:p w14:paraId="682A637F"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6</w:t>
            </w:r>
          </w:p>
        </w:tc>
        <w:tc>
          <w:tcPr>
            <w:tcW w:w="6237" w:type="dxa"/>
            <w:tcBorders>
              <w:top w:val="single" w:sz="5" w:space="0" w:color="000000"/>
              <w:left w:val="single" w:sz="5" w:space="0" w:color="000000"/>
              <w:bottom w:val="single" w:sz="5" w:space="0" w:color="000000"/>
              <w:right w:val="single" w:sz="5" w:space="0" w:color="000000"/>
            </w:tcBorders>
          </w:tcPr>
          <w:p w14:paraId="3D37DD66"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Specify study characteristics (e.g., PICOS, length of follow-up) and report characteristics (e.g., years considered, language, publication status) used as criteria for eligibility, giving rationale. </w:t>
            </w:r>
          </w:p>
        </w:tc>
        <w:tc>
          <w:tcPr>
            <w:tcW w:w="1026" w:type="dxa"/>
            <w:tcBorders>
              <w:top w:val="single" w:sz="5" w:space="0" w:color="000000"/>
              <w:left w:val="single" w:sz="5" w:space="0" w:color="000000"/>
              <w:bottom w:val="single" w:sz="5" w:space="0" w:color="000000"/>
              <w:right w:val="single" w:sz="5" w:space="0" w:color="000000"/>
            </w:tcBorders>
          </w:tcPr>
          <w:p w14:paraId="233558DD"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4</w:t>
            </w:r>
          </w:p>
        </w:tc>
      </w:tr>
      <w:tr w:rsidR="00F478FF" w:rsidRPr="00F478FF" w14:paraId="4BA3CE28" w14:textId="77777777" w:rsidTr="001263A3">
        <w:trPr>
          <w:trHeight w:val="578"/>
        </w:trPr>
        <w:tc>
          <w:tcPr>
            <w:tcW w:w="1384" w:type="dxa"/>
            <w:tcBorders>
              <w:top w:val="single" w:sz="5" w:space="0" w:color="000000"/>
              <w:left w:val="single" w:sz="5" w:space="0" w:color="000000"/>
              <w:bottom w:val="single" w:sz="5" w:space="0" w:color="000000"/>
              <w:right w:val="single" w:sz="5" w:space="0" w:color="000000"/>
            </w:tcBorders>
          </w:tcPr>
          <w:p w14:paraId="7A6C4471"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Information sources </w:t>
            </w:r>
          </w:p>
        </w:tc>
        <w:tc>
          <w:tcPr>
            <w:tcW w:w="425" w:type="dxa"/>
            <w:tcBorders>
              <w:top w:val="single" w:sz="5" w:space="0" w:color="000000"/>
              <w:left w:val="single" w:sz="5" w:space="0" w:color="000000"/>
              <w:bottom w:val="single" w:sz="5" w:space="0" w:color="000000"/>
              <w:right w:val="single" w:sz="5" w:space="0" w:color="000000"/>
            </w:tcBorders>
          </w:tcPr>
          <w:p w14:paraId="268AAB92"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7</w:t>
            </w:r>
          </w:p>
        </w:tc>
        <w:tc>
          <w:tcPr>
            <w:tcW w:w="6237" w:type="dxa"/>
            <w:tcBorders>
              <w:top w:val="single" w:sz="5" w:space="0" w:color="000000"/>
              <w:left w:val="single" w:sz="5" w:space="0" w:color="000000"/>
              <w:bottom w:val="single" w:sz="5" w:space="0" w:color="000000"/>
              <w:right w:val="single" w:sz="5" w:space="0" w:color="000000"/>
            </w:tcBorders>
          </w:tcPr>
          <w:p w14:paraId="30E4D815"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Describe all information sources (e.g., databases with dates of coverage, contact with study authors to identify additional studies) in the search and date last searched. </w:t>
            </w:r>
          </w:p>
        </w:tc>
        <w:tc>
          <w:tcPr>
            <w:tcW w:w="1026" w:type="dxa"/>
            <w:tcBorders>
              <w:top w:val="single" w:sz="5" w:space="0" w:color="000000"/>
              <w:left w:val="single" w:sz="5" w:space="0" w:color="000000"/>
              <w:bottom w:val="single" w:sz="5" w:space="0" w:color="000000"/>
              <w:right w:val="single" w:sz="5" w:space="0" w:color="000000"/>
            </w:tcBorders>
          </w:tcPr>
          <w:p w14:paraId="56426183"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4</w:t>
            </w:r>
          </w:p>
        </w:tc>
      </w:tr>
      <w:tr w:rsidR="00F478FF" w:rsidRPr="00F478FF" w14:paraId="6BFA45B5" w14:textId="77777777" w:rsidTr="001263A3">
        <w:trPr>
          <w:trHeight w:val="578"/>
        </w:trPr>
        <w:tc>
          <w:tcPr>
            <w:tcW w:w="1384" w:type="dxa"/>
            <w:tcBorders>
              <w:top w:val="single" w:sz="5" w:space="0" w:color="000000"/>
              <w:left w:val="single" w:sz="5" w:space="0" w:color="000000"/>
              <w:bottom w:val="single" w:sz="5" w:space="0" w:color="000000"/>
              <w:right w:val="single" w:sz="5" w:space="0" w:color="000000"/>
            </w:tcBorders>
          </w:tcPr>
          <w:p w14:paraId="6628C020"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Search </w:t>
            </w:r>
          </w:p>
        </w:tc>
        <w:tc>
          <w:tcPr>
            <w:tcW w:w="425" w:type="dxa"/>
            <w:tcBorders>
              <w:top w:val="single" w:sz="5" w:space="0" w:color="000000"/>
              <w:left w:val="single" w:sz="5" w:space="0" w:color="000000"/>
              <w:bottom w:val="single" w:sz="5" w:space="0" w:color="000000"/>
              <w:right w:val="single" w:sz="5" w:space="0" w:color="000000"/>
            </w:tcBorders>
          </w:tcPr>
          <w:p w14:paraId="445F8589"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8</w:t>
            </w:r>
          </w:p>
        </w:tc>
        <w:tc>
          <w:tcPr>
            <w:tcW w:w="6237" w:type="dxa"/>
            <w:tcBorders>
              <w:top w:val="single" w:sz="5" w:space="0" w:color="000000"/>
              <w:left w:val="single" w:sz="5" w:space="0" w:color="000000"/>
              <w:bottom w:val="single" w:sz="5" w:space="0" w:color="000000"/>
              <w:right w:val="single" w:sz="5" w:space="0" w:color="000000"/>
            </w:tcBorders>
          </w:tcPr>
          <w:p w14:paraId="1F92A08E"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Present full electronic search strategy for at least one database, including any limits used, such that it </w:t>
            </w:r>
            <w:proofErr w:type="gramStart"/>
            <w:r w:rsidRPr="00F478FF">
              <w:rPr>
                <w:rFonts w:ascii="Times New Roman" w:hAnsi="Times New Roman" w:cs="Times New Roman"/>
              </w:rPr>
              <w:t>could be repeated</w:t>
            </w:r>
            <w:proofErr w:type="gramEnd"/>
            <w:r w:rsidRPr="00F478FF">
              <w:rPr>
                <w:rFonts w:ascii="Times New Roman" w:hAnsi="Times New Roman" w:cs="Times New Roman"/>
              </w:rPr>
              <w:t xml:space="preserve">. </w:t>
            </w:r>
          </w:p>
        </w:tc>
        <w:tc>
          <w:tcPr>
            <w:tcW w:w="1026" w:type="dxa"/>
            <w:tcBorders>
              <w:top w:val="single" w:sz="5" w:space="0" w:color="000000"/>
              <w:left w:val="single" w:sz="5" w:space="0" w:color="000000"/>
              <w:bottom w:val="single" w:sz="5" w:space="0" w:color="000000"/>
              <w:right w:val="single" w:sz="5" w:space="0" w:color="000000"/>
            </w:tcBorders>
          </w:tcPr>
          <w:p w14:paraId="57261B83"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5</w:t>
            </w:r>
          </w:p>
        </w:tc>
      </w:tr>
      <w:tr w:rsidR="00F478FF" w:rsidRPr="00F478FF" w14:paraId="47EAC7B3" w14:textId="77777777" w:rsidTr="001263A3">
        <w:trPr>
          <w:trHeight w:val="578"/>
        </w:trPr>
        <w:tc>
          <w:tcPr>
            <w:tcW w:w="1384" w:type="dxa"/>
            <w:tcBorders>
              <w:top w:val="single" w:sz="5" w:space="0" w:color="000000"/>
              <w:left w:val="single" w:sz="5" w:space="0" w:color="000000"/>
              <w:bottom w:val="single" w:sz="5" w:space="0" w:color="000000"/>
              <w:right w:val="single" w:sz="5" w:space="0" w:color="000000"/>
            </w:tcBorders>
          </w:tcPr>
          <w:p w14:paraId="7B5117C7"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tcPr>
          <w:p w14:paraId="710A2434"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9</w:t>
            </w:r>
          </w:p>
        </w:tc>
        <w:tc>
          <w:tcPr>
            <w:tcW w:w="6237" w:type="dxa"/>
            <w:tcBorders>
              <w:top w:val="single" w:sz="5" w:space="0" w:color="000000"/>
              <w:left w:val="single" w:sz="5" w:space="0" w:color="000000"/>
              <w:bottom w:val="single" w:sz="5" w:space="0" w:color="000000"/>
              <w:right w:val="single" w:sz="5" w:space="0" w:color="000000"/>
            </w:tcBorders>
          </w:tcPr>
          <w:p w14:paraId="2D1BC2EC"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State the process for selecting studies (i.e., screening, eligibility, included in systematic review, and, if applicable, included in the meta-analysis). </w:t>
            </w:r>
          </w:p>
        </w:tc>
        <w:tc>
          <w:tcPr>
            <w:tcW w:w="1026" w:type="dxa"/>
            <w:tcBorders>
              <w:top w:val="single" w:sz="5" w:space="0" w:color="000000"/>
              <w:left w:val="single" w:sz="5" w:space="0" w:color="000000"/>
              <w:bottom w:val="single" w:sz="5" w:space="0" w:color="000000"/>
              <w:right w:val="single" w:sz="5" w:space="0" w:color="000000"/>
            </w:tcBorders>
          </w:tcPr>
          <w:p w14:paraId="1D119E18"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4-5</w:t>
            </w:r>
          </w:p>
        </w:tc>
      </w:tr>
      <w:tr w:rsidR="00F478FF" w:rsidRPr="00F478FF" w14:paraId="4720A772" w14:textId="77777777" w:rsidTr="001263A3">
        <w:trPr>
          <w:trHeight w:val="578"/>
        </w:trPr>
        <w:tc>
          <w:tcPr>
            <w:tcW w:w="1384" w:type="dxa"/>
            <w:tcBorders>
              <w:top w:val="single" w:sz="5" w:space="0" w:color="000000"/>
              <w:left w:val="single" w:sz="5" w:space="0" w:color="000000"/>
              <w:bottom w:val="single" w:sz="5" w:space="0" w:color="000000"/>
              <w:right w:val="single" w:sz="5" w:space="0" w:color="000000"/>
            </w:tcBorders>
          </w:tcPr>
          <w:p w14:paraId="14FBF4B9"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Data collection process </w:t>
            </w:r>
          </w:p>
        </w:tc>
        <w:tc>
          <w:tcPr>
            <w:tcW w:w="425" w:type="dxa"/>
            <w:tcBorders>
              <w:top w:val="single" w:sz="5" w:space="0" w:color="000000"/>
              <w:left w:val="single" w:sz="5" w:space="0" w:color="000000"/>
              <w:bottom w:val="single" w:sz="5" w:space="0" w:color="000000"/>
              <w:right w:val="single" w:sz="5" w:space="0" w:color="000000"/>
            </w:tcBorders>
          </w:tcPr>
          <w:p w14:paraId="20E816C1"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10</w:t>
            </w:r>
          </w:p>
        </w:tc>
        <w:tc>
          <w:tcPr>
            <w:tcW w:w="6237" w:type="dxa"/>
            <w:tcBorders>
              <w:top w:val="single" w:sz="5" w:space="0" w:color="000000"/>
              <w:left w:val="single" w:sz="5" w:space="0" w:color="000000"/>
              <w:bottom w:val="single" w:sz="5" w:space="0" w:color="000000"/>
              <w:right w:val="single" w:sz="5" w:space="0" w:color="000000"/>
            </w:tcBorders>
          </w:tcPr>
          <w:p w14:paraId="02BDB0C6"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Describe method of data extraction from reports (e.g., piloted forms, independently, in duplicate) and any processes for obtaining and confirming data from investigators. </w:t>
            </w:r>
          </w:p>
        </w:tc>
        <w:tc>
          <w:tcPr>
            <w:tcW w:w="1026" w:type="dxa"/>
            <w:tcBorders>
              <w:top w:val="single" w:sz="5" w:space="0" w:color="000000"/>
              <w:left w:val="single" w:sz="5" w:space="0" w:color="000000"/>
              <w:bottom w:val="single" w:sz="5" w:space="0" w:color="000000"/>
              <w:right w:val="single" w:sz="5" w:space="0" w:color="000000"/>
            </w:tcBorders>
          </w:tcPr>
          <w:p w14:paraId="42335A6C"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5</w:t>
            </w:r>
          </w:p>
        </w:tc>
      </w:tr>
      <w:tr w:rsidR="00F478FF" w:rsidRPr="00F478FF" w14:paraId="1431C643" w14:textId="77777777" w:rsidTr="001263A3">
        <w:trPr>
          <w:trHeight w:val="578"/>
        </w:trPr>
        <w:tc>
          <w:tcPr>
            <w:tcW w:w="1384" w:type="dxa"/>
            <w:tcBorders>
              <w:top w:val="single" w:sz="5" w:space="0" w:color="000000"/>
              <w:left w:val="single" w:sz="5" w:space="0" w:color="000000"/>
              <w:bottom w:val="single" w:sz="5" w:space="0" w:color="000000"/>
              <w:right w:val="single" w:sz="5" w:space="0" w:color="000000"/>
            </w:tcBorders>
          </w:tcPr>
          <w:p w14:paraId="4AC49276"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lastRenderedPageBreak/>
              <w:t xml:space="preserve">Data items </w:t>
            </w:r>
          </w:p>
        </w:tc>
        <w:tc>
          <w:tcPr>
            <w:tcW w:w="425" w:type="dxa"/>
            <w:tcBorders>
              <w:top w:val="single" w:sz="5" w:space="0" w:color="000000"/>
              <w:left w:val="single" w:sz="5" w:space="0" w:color="000000"/>
              <w:bottom w:val="single" w:sz="5" w:space="0" w:color="000000"/>
              <w:right w:val="single" w:sz="5" w:space="0" w:color="000000"/>
            </w:tcBorders>
          </w:tcPr>
          <w:p w14:paraId="72338EBB"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11</w:t>
            </w:r>
          </w:p>
        </w:tc>
        <w:tc>
          <w:tcPr>
            <w:tcW w:w="6237" w:type="dxa"/>
            <w:tcBorders>
              <w:top w:val="single" w:sz="5" w:space="0" w:color="000000"/>
              <w:left w:val="single" w:sz="5" w:space="0" w:color="000000"/>
              <w:bottom w:val="single" w:sz="5" w:space="0" w:color="000000"/>
              <w:right w:val="single" w:sz="5" w:space="0" w:color="000000"/>
            </w:tcBorders>
          </w:tcPr>
          <w:p w14:paraId="3EF7A248"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List and define all variables for which data were sought (e.g., PICOS, funding sources) and any assumptions and simplifications made. </w:t>
            </w:r>
          </w:p>
        </w:tc>
        <w:tc>
          <w:tcPr>
            <w:tcW w:w="1026" w:type="dxa"/>
            <w:tcBorders>
              <w:top w:val="single" w:sz="5" w:space="0" w:color="000000"/>
              <w:left w:val="single" w:sz="5" w:space="0" w:color="000000"/>
              <w:bottom w:val="single" w:sz="5" w:space="0" w:color="000000"/>
              <w:right w:val="single" w:sz="5" w:space="0" w:color="000000"/>
            </w:tcBorders>
          </w:tcPr>
          <w:p w14:paraId="3D1971DB"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5</w:t>
            </w:r>
          </w:p>
        </w:tc>
      </w:tr>
      <w:tr w:rsidR="00F478FF" w:rsidRPr="00F478FF" w14:paraId="2008ED21" w14:textId="77777777" w:rsidTr="001263A3">
        <w:trPr>
          <w:trHeight w:val="578"/>
        </w:trPr>
        <w:tc>
          <w:tcPr>
            <w:tcW w:w="1384" w:type="dxa"/>
            <w:tcBorders>
              <w:top w:val="single" w:sz="5" w:space="0" w:color="000000"/>
              <w:left w:val="single" w:sz="5" w:space="0" w:color="000000"/>
              <w:bottom w:val="single" w:sz="5" w:space="0" w:color="000000"/>
              <w:right w:val="single" w:sz="5" w:space="0" w:color="000000"/>
            </w:tcBorders>
          </w:tcPr>
          <w:p w14:paraId="548FBACD"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Risk of bias in individual studies </w:t>
            </w:r>
          </w:p>
        </w:tc>
        <w:tc>
          <w:tcPr>
            <w:tcW w:w="425" w:type="dxa"/>
            <w:tcBorders>
              <w:top w:val="single" w:sz="5" w:space="0" w:color="000000"/>
              <w:left w:val="single" w:sz="5" w:space="0" w:color="000000"/>
              <w:bottom w:val="single" w:sz="5" w:space="0" w:color="000000"/>
              <w:right w:val="single" w:sz="5" w:space="0" w:color="000000"/>
            </w:tcBorders>
          </w:tcPr>
          <w:p w14:paraId="28FE28BC"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12</w:t>
            </w:r>
          </w:p>
        </w:tc>
        <w:tc>
          <w:tcPr>
            <w:tcW w:w="6237" w:type="dxa"/>
            <w:tcBorders>
              <w:top w:val="single" w:sz="5" w:space="0" w:color="000000"/>
              <w:left w:val="single" w:sz="5" w:space="0" w:color="000000"/>
              <w:bottom w:val="single" w:sz="5" w:space="0" w:color="000000"/>
              <w:right w:val="single" w:sz="5" w:space="0" w:color="000000"/>
            </w:tcBorders>
          </w:tcPr>
          <w:p w14:paraId="396D7B1B"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Describe methods used for assessing risk of bias of individual studies (including specification of whether this was done at the study or outcome level), and how this information is to be used in any data synthesis. </w:t>
            </w:r>
          </w:p>
        </w:tc>
        <w:tc>
          <w:tcPr>
            <w:tcW w:w="1026" w:type="dxa"/>
            <w:tcBorders>
              <w:top w:val="single" w:sz="5" w:space="0" w:color="000000"/>
              <w:left w:val="single" w:sz="5" w:space="0" w:color="000000"/>
              <w:bottom w:val="single" w:sz="5" w:space="0" w:color="000000"/>
              <w:right w:val="single" w:sz="5" w:space="0" w:color="000000"/>
            </w:tcBorders>
          </w:tcPr>
          <w:p w14:paraId="3818873C"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5</w:t>
            </w:r>
          </w:p>
        </w:tc>
      </w:tr>
      <w:tr w:rsidR="00F478FF" w:rsidRPr="00F478FF" w14:paraId="11BC10D0" w14:textId="77777777" w:rsidTr="001263A3">
        <w:trPr>
          <w:trHeight w:val="333"/>
        </w:trPr>
        <w:tc>
          <w:tcPr>
            <w:tcW w:w="1384" w:type="dxa"/>
            <w:tcBorders>
              <w:top w:val="single" w:sz="5" w:space="0" w:color="000000"/>
              <w:left w:val="single" w:sz="5" w:space="0" w:color="000000"/>
              <w:bottom w:val="single" w:sz="5" w:space="0" w:color="000000"/>
              <w:right w:val="single" w:sz="5" w:space="0" w:color="000000"/>
            </w:tcBorders>
          </w:tcPr>
          <w:p w14:paraId="117DC6C9"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Summary measures </w:t>
            </w:r>
          </w:p>
        </w:tc>
        <w:tc>
          <w:tcPr>
            <w:tcW w:w="425" w:type="dxa"/>
            <w:tcBorders>
              <w:top w:val="single" w:sz="5" w:space="0" w:color="000000"/>
              <w:left w:val="single" w:sz="5" w:space="0" w:color="000000"/>
              <w:bottom w:val="single" w:sz="5" w:space="0" w:color="000000"/>
              <w:right w:val="single" w:sz="5" w:space="0" w:color="000000"/>
            </w:tcBorders>
          </w:tcPr>
          <w:p w14:paraId="213FBE8D"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13</w:t>
            </w:r>
          </w:p>
        </w:tc>
        <w:tc>
          <w:tcPr>
            <w:tcW w:w="6237" w:type="dxa"/>
            <w:tcBorders>
              <w:top w:val="single" w:sz="5" w:space="0" w:color="000000"/>
              <w:left w:val="single" w:sz="5" w:space="0" w:color="000000"/>
              <w:bottom w:val="single" w:sz="5" w:space="0" w:color="000000"/>
              <w:right w:val="single" w:sz="5" w:space="0" w:color="000000"/>
            </w:tcBorders>
          </w:tcPr>
          <w:p w14:paraId="257DDD2C"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State the principal summary measures (e.g., risk ratio, difference in means). </w:t>
            </w:r>
          </w:p>
        </w:tc>
        <w:tc>
          <w:tcPr>
            <w:tcW w:w="1026" w:type="dxa"/>
            <w:tcBorders>
              <w:top w:val="single" w:sz="5" w:space="0" w:color="000000"/>
              <w:left w:val="single" w:sz="5" w:space="0" w:color="000000"/>
              <w:bottom w:val="single" w:sz="5" w:space="0" w:color="000000"/>
              <w:right w:val="single" w:sz="5" w:space="0" w:color="000000"/>
            </w:tcBorders>
          </w:tcPr>
          <w:p w14:paraId="689AB26E"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5</w:t>
            </w:r>
          </w:p>
        </w:tc>
      </w:tr>
      <w:tr w:rsidR="00F478FF" w:rsidRPr="00F478FF" w14:paraId="7545A5B3" w14:textId="77777777" w:rsidTr="001263A3">
        <w:trPr>
          <w:trHeight w:val="580"/>
        </w:trPr>
        <w:tc>
          <w:tcPr>
            <w:tcW w:w="1384" w:type="dxa"/>
            <w:tcBorders>
              <w:top w:val="single" w:sz="5" w:space="0" w:color="000000"/>
              <w:left w:val="single" w:sz="5" w:space="0" w:color="000000"/>
              <w:bottom w:val="single" w:sz="5" w:space="0" w:color="000000"/>
              <w:right w:val="single" w:sz="5" w:space="0" w:color="000000"/>
            </w:tcBorders>
          </w:tcPr>
          <w:p w14:paraId="76DDAFC9"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Synthesis of results </w:t>
            </w:r>
          </w:p>
        </w:tc>
        <w:tc>
          <w:tcPr>
            <w:tcW w:w="425" w:type="dxa"/>
            <w:tcBorders>
              <w:top w:val="single" w:sz="5" w:space="0" w:color="000000"/>
              <w:left w:val="single" w:sz="5" w:space="0" w:color="000000"/>
              <w:bottom w:val="single" w:sz="5" w:space="0" w:color="000000"/>
              <w:right w:val="single" w:sz="5" w:space="0" w:color="000000"/>
            </w:tcBorders>
          </w:tcPr>
          <w:p w14:paraId="31ADA303"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14</w:t>
            </w:r>
          </w:p>
        </w:tc>
        <w:tc>
          <w:tcPr>
            <w:tcW w:w="6237" w:type="dxa"/>
            <w:tcBorders>
              <w:top w:val="single" w:sz="5" w:space="0" w:color="000000"/>
              <w:left w:val="single" w:sz="5" w:space="0" w:color="000000"/>
              <w:bottom w:val="single" w:sz="5" w:space="0" w:color="000000"/>
              <w:right w:val="single" w:sz="5" w:space="0" w:color="000000"/>
            </w:tcBorders>
          </w:tcPr>
          <w:p w14:paraId="6D5380A1"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Describe the methods of handling data and combining results of studies, if done, including measures of consistency (e.g., I</w:t>
            </w:r>
            <w:r w:rsidRPr="00F478FF">
              <w:rPr>
                <w:rFonts w:ascii="Times New Roman" w:hAnsi="Times New Roman" w:cs="Times New Roman"/>
                <w:vertAlign w:val="superscript"/>
              </w:rPr>
              <w:t>2</w:t>
            </w:r>
            <w:r w:rsidRPr="00F478FF">
              <w:rPr>
                <w:rFonts w:ascii="Times New Roman" w:hAnsi="Times New Roman" w:cs="Times New Roman"/>
              </w:rPr>
              <w:t xml:space="preserve">) for each meta-analysis. </w:t>
            </w:r>
          </w:p>
        </w:tc>
        <w:tc>
          <w:tcPr>
            <w:tcW w:w="1026" w:type="dxa"/>
            <w:tcBorders>
              <w:top w:val="single" w:sz="5" w:space="0" w:color="000000"/>
              <w:left w:val="single" w:sz="5" w:space="0" w:color="000000"/>
              <w:bottom w:val="single" w:sz="5" w:space="0" w:color="000000"/>
              <w:right w:val="single" w:sz="5" w:space="0" w:color="000000"/>
            </w:tcBorders>
          </w:tcPr>
          <w:p w14:paraId="377A98D3"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5</w:t>
            </w:r>
          </w:p>
        </w:tc>
      </w:tr>
    </w:tbl>
    <w:tbl>
      <w:tblPr>
        <w:tblpPr w:leftFromText="141" w:rightFromText="141" w:vertAnchor="text" w:horzAnchor="margin" w:tblpY="4"/>
        <w:tblW w:w="9072" w:type="dxa"/>
        <w:tblBorders>
          <w:top w:val="nil"/>
          <w:left w:val="nil"/>
          <w:bottom w:val="nil"/>
          <w:right w:val="nil"/>
        </w:tblBorders>
        <w:tblLook w:val="0000" w:firstRow="0" w:lastRow="0" w:firstColumn="0" w:lastColumn="0" w:noHBand="0" w:noVBand="0"/>
      </w:tblPr>
      <w:tblGrid>
        <w:gridCol w:w="1589"/>
        <w:gridCol w:w="456"/>
        <w:gridCol w:w="6027"/>
        <w:gridCol w:w="1000"/>
      </w:tblGrid>
      <w:tr w:rsidR="00F478FF" w:rsidRPr="00F478FF" w14:paraId="5D399F45" w14:textId="77777777" w:rsidTr="001263A3">
        <w:trPr>
          <w:trHeight w:val="575"/>
        </w:trPr>
        <w:tc>
          <w:tcPr>
            <w:tcW w:w="1384" w:type="dxa"/>
            <w:tcBorders>
              <w:top w:val="double" w:sz="5" w:space="0" w:color="000000"/>
              <w:left w:val="single" w:sz="5" w:space="0" w:color="000000"/>
              <w:bottom w:val="single" w:sz="5" w:space="0" w:color="000000"/>
              <w:right w:val="single" w:sz="5" w:space="0" w:color="000000"/>
            </w:tcBorders>
          </w:tcPr>
          <w:p w14:paraId="0BF2B612"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Risk of bias across studies </w:t>
            </w:r>
          </w:p>
        </w:tc>
        <w:tc>
          <w:tcPr>
            <w:tcW w:w="425" w:type="dxa"/>
            <w:tcBorders>
              <w:top w:val="double" w:sz="5" w:space="0" w:color="000000"/>
              <w:left w:val="single" w:sz="5" w:space="0" w:color="000000"/>
              <w:bottom w:val="single" w:sz="5" w:space="0" w:color="000000"/>
              <w:right w:val="single" w:sz="5" w:space="0" w:color="000000"/>
            </w:tcBorders>
          </w:tcPr>
          <w:p w14:paraId="793F95B2"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15</w:t>
            </w:r>
          </w:p>
        </w:tc>
        <w:tc>
          <w:tcPr>
            <w:tcW w:w="6237" w:type="dxa"/>
            <w:tcBorders>
              <w:top w:val="double" w:sz="5" w:space="0" w:color="000000"/>
              <w:left w:val="single" w:sz="5" w:space="0" w:color="000000"/>
              <w:bottom w:val="single" w:sz="5" w:space="0" w:color="000000"/>
              <w:right w:val="single" w:sz="5" w:space="0" w:color="000000"/>
            </w:tcBorders>
          </w:tcPr>
          <w:p w14:paraId="175EC09B"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Specify any assessment of risk of bias that may affect the cumulative evidence (e.g., publication bias, selective reporting within studies). </w:t>
            </w:r>
          </w:p>
        </w:tc>
        <w:tc>
          <w:tcPr>
            <w:tcW w:w="1026" w:type="dxa"/>
            <w:tcBorders>
              <w:top w:val="double" w:sz="5" w:space="0" w:color="000000"/>
              <w:left w:val="single" w:sz="5" w:space="0" w:color="000000"/>
              <w:bottom w:val="single" w:sz="5" w:space="0" w:color="000000"/>
              <w:right w:val="single" w:sz="5" w:space="0" w:color="000000"/>
            </w:tcBorders>
          </w:tcPr>
          <w:p w14:paraId="290FC65D"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5</w:t>
            </w:r>
          </w:p>
        </w:tc>
      </w:tr>
      <w:tr w:rsidR="00F478FF" w:rsidRPr="00F478FF" w14:paraId="1391838A" w14:textId="77777777" w:rsidTr="001263A3">
        <w:trPr>
          <w:trHeight w:val="568"/>
        </w:trPr>
        <w:tc>
          <w:tcPr>
            <w:tcW w:w="1384" w:type="dxa"/>
            <w:tcBorders>
              <w:top w:val="single" w:sz="5" w:space="0" w:color="000000"/>
              <w:left w:val="single" w:sz="5" w:space="0" w:color="000000"/>
              <w:bottom w:val="double" w:sz="2" w:space="0" w:color="FFFFCC"/>
              <w:right w:val="single" w:sz="5" w:space="0" w:color="000000"/>
            </w:tcBorders>
          </w:tcPr>
          <w:p w14:paraId="06A010D5"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Additional analyses </w:t>
            </w:r>
          </w:p>
        </w:tc>
        <w:tc>
          <w:tcPr>
            <w:tcW w:w="425" w:type="dxa"/>
            <w:tcBorders>
              <w:top w:val="single" w:sz="5" w:space="0" w:color="000000"/>
              <w:left w:val="single" w:sz="5" w:space="0" w:color="000000"/>
              <w:bottom w:val="double" w:sz="2" w:space="0" w:color="FFFFCC"/>
              <w:right w:val="single" w:sz="5" w:space="0" w:color="000000"/>
            </w:tcBorders>
          </w:tcPr>
          <w:p w14:paraId="45B26B09"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16</w:t>
            </w:r>
          </w:p>
        </w:tc>
        <w:tc>
          <w:tcPr>
            <w:tcW w:w="6237" w:type="dxa"/>
            <w:tcBorders>
              <w:top w:val="single" w:sz="5" w:space="0" w:color="000000"/>
              <w:left w:val="single" w:sz="5" w:space="0" w:color="000000"/>
              <w:bottom w:val="double" w:sz="5" w:space="0" w:color="000000"/>
              <w:right w:val="single" w:sz="5" w:space="0" w:color="000000"/>
            </w:tcBorders>
          </w:tcPr>
          <w:p w14:paraId="68C0FFD3"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Describe methods of additional analyses (e.g., sensitivity or subgroup analyses, meta-regression), if done, indicating which were pre-specified. </w:t>
            </w:r>
          </w:p>
        </w:tc>
        <w:tc>
          <w:tcPr>
            <w:tcW w:w="1026" w:type="dxa"/>
            <w:tcBorders>
              <w:top w:val="single" w:sz="5" w:space="0" w:color="000000"/>
              <w:left w:val="single" w:sz="5" w:space="0" w:color="000000"/>
              <w:bottom w:val="double" w:sz="5" w:space="0" w:color="000000"/>
              <w:right w:val="single" w:sz="5" w:space="0" w:color="000000"/>
            </w:tcBorders>
          </w:tcPr>
          <w:p w14:paraId="4F232D66"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5</w:t>
            </w:r>
          </w:p>
        </w:tc>
      </w:tr>
      <w:tr w:rsidR="00F478FF" w:rsidRPr="00F478FF" w14:paraId="0AF683C2" w14:textId="77777777" w:rsidTr="001263A3">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7004AC" w14:textId="77777777" w:rsidR="00F478FF" w:rsidRPr="00F478FF" w:rsidRDefault="00F478FF" w:rsidP="00F478FF">
            <w:pPr>
              <w:pStyle w:val="Default"/>
              <w:rPr>
                <w:rFonts w:ascii="Times New Roman" w:hAnsi="Times New Roman" w:cs="Times New Roman"/>
              </w:rPr>
            </w:pPr>
            <w:r w:rsidRPr="00F478FF">
              <w:rPr>
                <w:rFonts w:ascii="Times New Roman" w:hAnsi="Times New Roman" w:cs="Times New Roman"/>
                <w:b/>
                <w:bCs/>
              </w:rPr>
              <w:t xml:space="preserve">RESULTS </w:t>
            </w:r>
          </w:p>
        </w:tc>
        <w:tc>
          <w:tcPr>
            <w:tcW w:w="1026" w:type="dxa"/>
            <w:tcBorders>
              <w:top w:val="double" w:sz="5" w:space="0" w:color="000000"/>
              <w:left w:val="single" w:sz="5" w:space="0" w:color="000000"/>
              <w:bottom w:val="single" w:sz="5" w:space="0" w:color="000000"/>
              <w:right w:val="single" w:sz="5" w:space="0" w:color="000000"/>
            </w:tcBorders>
            <w:shd w:val="clear" w:color="auto" w:fill="FFFFCC"/>
          </w:tcPr>
          <w:p w14:paraId="74701585" w14:textId="77777777" w:rsidR="00F478FF" w:rsidRPr="00F478FF" w:rsidRDefault="00F478FF" w:rsidP="00F478FF">
            <w:pPr>
              <w:pStyle w:val="Default"/>
              <w:jc w:val="center"/>
              <w:rPr>
                <w:rFonts w:ascii="Times New Roman" w:hAnsi="Times New Roman" w:cs="Times New Roman"/>
                <w:color w:val="auto"/>
              </w:rPr>
            </w:pPr>
          </w:p>
        </w:tc>
      </w:tr>
      <w:tr w:rsidR="00F478FF" w:rsidRPr="00F478FF" w14:paraId="0CF52590" w14:textId="77777777" w:rsidTr="001263A3">
        <w:trPr>
          <w:trHeight w:val="578"/>
        </w:trPr>
        <w:tc>
          <w:tcPr>
            <w:tcW w:w="1384" w:type="dxa"/>
            <w:tcBorders>
              <w:top w:val="single" w:sz="5" w:space="0" w:color="000000"/>
              <w:left w:val="single" w:sz="5" w:space="0" w:color="000000"/>
              <w:bottom w:val="single" w:sz="5" w:space="0" w:color="000000"/>
              <w:right w:val="single" w:sz="5" w:space="0" w:color="000000"/>
            </w:tcBorders>
          </w:tcPr>
          <w:p w14:paraId="2E296772"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tcPr>
          <w:p w14:paraId="05723C36"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17</w:t>
            </w:r>
          </w:p>
        </w:tc>
        <w:tc>
          <w:tcPr>
            <w:tcW w:w="6237" w:type="dxa"/>
            <w:tcBorders>
              <w:top w:val="single" w:sz="5" w:space="0" w:color="000000"/>
              <w:left w:val="single" w:sz="5" w:space="0" w:color="000000"/>
              <w:bottom w:val="single" w:sz="5" w:space="0" w:color="000000"/>
              <w:right w:val="single" w:sz="5" w:space="0" w:color="000000"/>
            </w:tcBorders>
          </w:tcPr>
          <w:p w14:paraId="0A7C9526"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Give numbers of studies screened, assessed for eligibility, and included in the review, with reasons for exclusions at each stage, ideally with a flow diagram. </w:t>
            </w:r>
          </w:p>
        </w:tc>
        <w:tc>
          <w:tcPr>
            <w:tcW w:w="1026" w:type="dxa"/>
            <w:tcBorders>
              <w:top w:val="single" w:sz="5" w:space="0" w:color="000000"/>
              <w:left w:val="single" w:sz="5" w:space="0" w:color="000000"/>
              <w:bottom w:val="single" w:sz="5" w:space="0" w:color="000000"/>
              <w:right w:val="single" w:sz="5" w:space="0" w:color="000000"/>
            </w:tcBorders>
          </w:tcPr>
          <w:p w14:paraId="687288C0"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6</w:t>
            </w:r>
          </w:p>
        </w:tc>
      </w:tr>
      <w:tr w:rsidR="00F478FF" w:rsidRPr="00F478FF" w14:paraId="6D316A5F" w14:textId="77777777" w:rsidTr="001263A3">
        <w:trPr>
          <w:trHeight w:val="578"/>
        </w:trPr>
        <w:tc>
          <w:tcPr>
            <w:tcW w:w="1384" w:type="dxa"/>
            <w:tcBorders>
              <w:top w:val="single" w:sz="5" w:space="0" w:color="000000"/>
              <w:left w:val="single" w:sz="5" w:space="0" w:color="000000"/>
              <w:bottom w:val="single" w:sz="5" w:space="0" w:color="000000"/>
              <w:right w:val="single" w:sz="5" w:space="0" w:color="000000"/>
            </w:tcBorders>
          </w:tcPr>
          <w:p w14:paraId="33AEC9CC"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Study characteristics </w:t>
            </w:r>
          </w:p>
        </w:tc>
        <w:tc>
          <w:tcPr>
            <w:tcW w:w="425" w:type="dxa"/>
            <w:tcBorders>
              <w:top w:val="single" w:sz="5" w:space="0" w:color="000000"/>
              <w:left w:val="single" w:sz="5" w:space="0" w:color="000000"/>
              <w:bottom w:val="single" w:sz="5" w:space="0" w:color="000000"/>
              <w:right w:val="single" w:sz="5" w:space="0" w:color="000000"/>
            </w:tcBorders>
          </w:tcPr>
          <w:p w14:paraId="538071B2"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18</w:t>
            </w:r>
          </w:p>
        </w:tc>
        <w:tc>
          <w:tcPr>
            <w:tcW w:w="6237" w:type="dxa"/>
            <w:tcBorders>
              <w:top w:val="single" w:sz="5" w:space="0" w:color="000000"/>
              <w:left w:val="single" w:sz="5" w:space="0" w:color="000000"/>
              <w:bottom w:val="single" w:sz="5" w:space="0" w:color="000000"/>
              <w:right w:val="single" w:sz="5" w:space="0" w:color="000000"/>
            </w:tcBorders>
          </w:tcPr>
          <w:p w14:paraId="0196AAA9"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For each study, present characteristics for which data were extracted (e.g., study size, PICOS, follow-up period) and provide the citations. </w:t>
            </w:r>
          </w:p>
        </w:tc>
        <w:tc>
          <w:tcPr>
            <w:tcW w:w="1026" w:type="dxa"/>
            <w:tcBorders>
              <w:top w:val="single" w:sz="5" w:space="0" w:color="000000"/>
              <w:left w:val="single" w:sz="5" w:space="0" w:color="000000"/>
              <w:bottom w:val="single" w:sz="5" w:space="0" w:color="000000"/>
              <w:right w:val="single" w:sz="5" w:space="0" w:color="000000"/>
            </w:tcBorders>
          </w:tcPr>
          <w:p w14:paraId="0C1DC594"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6</w:t>
            </w:r>
          </w:p>
        </w:tc>
      </w:tr>
      <w:tr w:rsidR="00F478FF" w:rsidRPr="00F478FF" w14:paraId="349E6ABF" w14:textId="77777777" w:rsidTr="001263A3">
        <w:trPr>
          <w:trHeight w:val="333"/>
        </w:trPr>
        <w:tc>
          <w:tcPr>
            <w:tcW w:w="1384" w:type="dxa"/>
            <w:tcBorders>
              <w:top w:val="single" w:sz="5" w:space="0" w:color="000000"/>
              <w:left w:val="single" w:sz="5" w:space="0" w:color="000000"/>
              <w:bottom w:val="single" w:sz="5" w:space="0" w:color="000000"/>
              <w:right w:val="single" w:sz="5" w:space="0" w:color="000000"/>
            </w:tcBorders>
          </w:tcPr>
          <w:p w14:paraId="1BCABF47"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Risk of bias within studies </w:t>
            </w:r>
          </w:p>
        </w:tc>
        <w:tc>
          <w:tcPr>
            <w:tcW w:w="425" w:type="dxa"/>
            <w:tcBorders>
              <w:top w:val="single" w:sz="5" w:space="0" w:color="000000"/>
              <w:left w:val="single" w:sz="5" w:space="0" w:color="000000"/>
              <w:bottom w:val="single" w:sz="5" w:space="0" w:color="000000"/>
              <w:right w:val="single" w:sz="5" w:space="0" w:color="000000"/>
            </w:tcBorders>
          </w:tcPr>
          <w:p w14:paraId="4C18D34B"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19</w:t>
            </w:r>
          </w:p>
        </w:tc>
        <w:tc>
          <w:tcPr>
            <w:tcW w:w="6237" w:type="dxa"/>
            <w:tcBorders>
              <w:top w:val="single" w:sz="5" w:space="0" w:color="000000"/>
              <w:left w:val="single" w:sz="5" w:space="0" w:color="000000"/>
              <w:bottom w:val="single" w:sz="5" w:space="0" w:color="000000"/>
              <w:right w:val="single" w:sz="5" w:space="0" w:color="000000"/>
            </w:tcBorders>
          </w:tcPr>
          <w:p w14:paraId="6F6ECF8A"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Present data on risk of bias of each study and, if available, any outcome level assessment (see item 12). </w:t>
            </w:r>
          </w:p>
        </w:tc>
        <w:tc>
          <w:tcPr>
            <w:tcW w:w="1026" w:type="dxa"/>
            <w:tcBorders>
              <w:top w:val="single" w:sz="5" w:space="0" w:color="000000"/>
              <w:left w:val="single" w:sz="5" w:space="0" w:color="000000"/>
              <w:bottom w:val="single" w:sz="5" w:space="0" w:color="000000"/>
              <w:right w:val="single" w:sz="5" w:space="0" w:color="000000"/>
            </w:tcBorders>
          </w:tcPr>
          <w:p w14:paraId="091CE589"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7</w:t>
            </w:r>
          </w:p>
        </w:tc>
      </w:tr>
      <w:tr w:rsidR="00F478FF" w:rsidRPr="00F478FF" w14:paraId="55593533" w14:textId="77777777" w:rsidTr="001263A3">
        <w:trPr>
          <w:trHeight w:val="578"/>
        </w:trPr>
        <w:tc>
          <w:tcPr>
            <w:tcW w:w="1384" w:type="dxa"/>
            <w:tcBorders>
              <w:top w:val="single" w:sz="5" w:space="0" w:color="000000"/>
              <w:left w:val="single" w:sz="5" w:space="0" w:color="000000"/>
              <w:bottom w:val="single" w:sz="5" w:space="0" w:color="000000"/>
              <w:right w:val="single" w:sz="5" w:space="0" w:color="000000"/>
            </w:tcBorders>
          </w:tcPr>
          <w:p w14:paraId="3C720125"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Results of individual studies </w:t>
            </w:r>
          </w:p>
        </w:tc>
        <w:tc>
          <w:tcPr>
            <w:tcW w:w="425" w:type="dxa"/>
            <w:tcBorders>
              <w:top w:val="single" w:sz="5" w:space="0" w:color="000000"/>
              <w:left w:val="single" w:sz="5" w:space="0" w:color="000000"/>
              <w:bottom w:val="single" w:sz="5" w:space="0" w:color="000000"/>
              <w:right w:val="single" w:sz="5" w:space="0" w:color="000000"/>
            </w:tcBorders>
          </w:tcPr>
          <w:p w14:paraId="7CA2C786"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20</w:t>
            </w:r>
          </w:p>
        </w:tc>
        <w:tc>
          <w:tcPr>
            <w:tcW w:w="6237" w:type="dxa"/>
            <w:tcBorders>
              <w:top w:val="single" w:sz="5" w:space="0" w:color="000000"/>
              <w:left w:val="single" w:sz="5" w:space="0" w:color="000000"/>
              <w:bottom w:val="single" w:sz="5" w:space="0" w:color="000000"/>
              <w:right w:val="single" w:sz="5" w:space="0" w:color="000000"/>
            </w:tcBorders>
          </w:tcPr>
          <w:p w14:paraId="0BCD4CC7"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For all outcomes considered (benefits or harms), present, for each study: (a) simple summary data for each intervention group (b) effect estimates and confidence intervals, ideally with a forest plot. </w:t>
            </w:r>
          </w:p>
        </w:tc>
        <w:tc>
          <w:tcPr>
            <w:tcW w:w="1026" w:type="dxa"/>
            <w:tcBorders>
              <w:top w:val="single" w:sz="5" w:space="0" w:color="000000"/>
              <w:left w:val="single" w:sz="5" w:space="0" w:color="000000"/>
              <w:bottom w:val="single" w:sz="5" w:space="0" w:color="000000"/>
              <w:right w:val="single" w:sz="5" w:space="0" w:color="000000"/>
            </w:tcBorders>
          </w:tcPr>
          <w:p w14:paraId="5E0733C0"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6-7</w:t>
            </w:r>
          </w:p>
        </w:tc>
      </w:tr>
      <w:tr w:rsidR="00F478FF" w:rsidRPr="00F478FF" w14:paraId="10C2898F" w14:textId="77777777" w:rsidTr="001263A3">
        <w:trPr>
          <w:trHeight w:val="335"/>
        </w:trPr>
        <w:tc>
          <w:tcPr>
            <w:tcW w:w="1384" w:type="dxa"/>
            <w:tcBorders>
              <w:top w:val="single" w:sz="5" w:space="0" w:color="000000"/>
              <w:left w:val="single" w:sz="5" w:space="0" w:color="000000"/>
              <w:bottom w:val="single" w:sz="5" w:space="0" w:color="000000"/>
              <w:right w:val="single" w:sz="5" w:space="0" w:color="000000"/>
            </w:tcBorders>
          </w:tcPr>
          <w:p w14:paraId="5A5AC74F"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Synthesis of results </w:t>
            </w:r>
          </w:p>
        </w:tc>
        <w:tc>
          <w:tcPr>
            <w:tcW w:w="425" w:type="dxa"/>
            <w:tcBorders>
              <w:top w:val="single" w:sz="5" w:space="0" w:color="000000"/>
              <w:left w:val="single" w:sz="5" w:space="0" w:color="000000"/>
              <w:bottom w:val="single" w:sz="5" w:space="0" w:color="000000"/>
              <w:right w:val="single" w:sz="5" w:space="0" w:color="000000"/>
            </w:tcBorders>
          </w:tcPr>
          <w:p w14:paraId="679CFD1C"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21</w:t>
            </w:r>
          </w:p>
        </w:tc>
        <w:tc>
          <w:tcPr>
            <w:tcW w:w="6237" w:type="dxa"/>
            <w:tcBorders>
              <w:top w:val="single" w:sz="5" w:space="0" w:color="000000"/>
              <w:left w:val="single" w:sz="5" w:space="0" w:color="000000"/>
              <w:bottom w:val="single" w:sz="5" w:space="0" w:color="000000"/>
              <w:right w:val="single" w:sz="5" w:space="0" w:color="000000"/>
            </w:tcBorders>
          </w:tcPr>
          <w:p w14:paraId="0CA70C18"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Present results of each meta-analysis done, including confidence intervals and measures of consistency. </w:t>
            </w:r>
          </w:p>
        </w:tc>
        <w:tc>
          <w:tcPr>
            <w:tcW w:w="1026" w:type="dxa"/>
            <w:tcBorders>
              <w:top w:val="single" w:sz="5" w:space="0" w:color="000000"/>
              <w:left w:val="single" w:sz="5" w:space="0" w:color="000000"/>
              <w:bottom w:val="single" w:sz="5" w:space="0" w:color="000000"/>
              <w:right w:val="single" w:sz="5" w:space="0" w:color="000000"/>
            </w:tcBorders>
          </w:tcPr>
          <w:p w14:paraId="7F879DED"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6-7</w:t>
            </w:r>
          </w:p>
        </w:tc>
      </w:tr>
      <w:tr w:rsidR="00F478FF" w:rsidRPr="00F478FF" w14:paraId="3B3B1756" w14:textId="77777777" w:rsidTr="001263A3">
        <w:trPr>
          <w:trHeight w:val="333"/>
        </w:trPr>
        <w:tc>
          <w:tcPr>
            <w:tcW w:w="1384" w:type="dxa"/>
            <w:tcBorders>
              <w:top w:val="single" w:sz="5" w:space="0" w:color="000000"/>
              <w:left w:val="single" w:sz="5" w:space="0" w:color="000000"/>
              <w:bottom w:val="single" w:sz="5" w:space="0" w:color="000000"/>
              <w:right w:val="single" w:sz="5" w:space="0" w:color="000000"/>
            </w:tcBorders>
          </w:tcPr>
          <w:p w14:paraId="1223DB30"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Risk of bias across studies </w:t>
            </w:r>
          </w:p>
        </w:tc>
        <w:tc>
          <w:tcPr>
            <w:tcW w:w="425" w:type="dxa"/>
            <w:tcBorders>
              <w:top w:val="single" w:sz="5" w:space="0" w:color="000000"/>
              <w:left w:val="single" w:sz="5" w:space="0" w:color="000000"/>
              <w:bottom w:val="single" w:sz="5" w:space="0" w:color="000000"/>
              <w:right w:val="single" w:sz="5" w:space="0" w:color="000000"/>
            </w:tcBorders>
          </w:tcPr>
          <w:p w14:paraId="049C88AC"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22</w:t>
            </w:r>
          </w:p>
        </w:tc>
        <w:tc>
          <w:tcPr>
            <w:tcW w:w="6237" w:type="dxa"/>
            <w:tcBorders>
              <w:top w:val="single" w:sz="5" w:space="0" w:color="000000"/>
              <w:left w:val="single" w:sz="5" w:space="0" w:color="000000"/>
              <w:bottom w:val="single" w:sz="5" w:space="0" w:color="000000"/>
              <w:right w:val="single" w:sz="5" w:space="0" w:color="000000"/>
            </w:tcBorders>
          </w:tcPr>
          <w:p w14:paraId="0433E5DC"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Present results of any assessment of risk of bias across studies (see Item 15). </w:t>
            </w:r>
          </w:p>
        </w:tc>
        <w:tc>
          <w:tcPr>
            <w:tcW w:w="1026" w:type="dxa"/>
            <w:tcBorders>
              <w:top w:val="single" w:sz="5" w:space="0" w:color="000000"/>
              <w:left w:val="single" w:sz="5" w:space="0" w:color="000000"/>
              <w:bottom w:val="single" w:sz="5" w:space="0" w:color="000000"/>
              <w:right w:val="single" w:sz="5" w:space="0" w:color="000000"/>
            </w:tcBorders>
          </w:tcPr>
          <w:p w14:paraId="5605E550"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6-7</w:t>
            </w:r>
          </w:p>
        </w:tc>
      </w:tr>
      <w:tr w:rsidR="00F478FF" w:rsidRPr="00F478FF" w14:paraId="551BC096" w14:textId="77777777" w:rsidTr="001263A3">
        <w:trPr>
          <w:trHeight w:val="393"/>
        </w:trPr>
        <w:tc>
          <w:tcPr>
            <w:tcW w:w="1384" w:type="dxa"/>
            <w:tcBorders>
              <w:top w:val="single" w:sz="5" w:space="0" w:color="000000"/>
              <w:left w:val="single" w:sz="5" w:space="0" w:color="000000"/>
              <w:bottom w:val="double" w:sz="2" w:space="0" w:color="FFFFCC"/>
              <w:right w:val="single" w:sz="5" w:space="0" w:color="000000"/>
            </w:tcBorders>
          </w:tcPr>
          <w:p w14:paraId="64FB1FF2"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Additional analysis </w:t>
            </w:r>
          </w:p>
        </w:tc>
        <w:tc>
          <w:tcPr>
            <w:tcW w:w="425" w:type="dxa"/>
            <w:tcBorders>
              <w:top w:val="single" w:sz="5" w:space="0" w:color="000000"/>
              <w:left w:val="single" w:sz="5" w:space="0" w:color="000000"/>
              <w:bottom w:val="double" w:sz="2" w:space="0" w:color="FFFFCC"/>
              <w:right w:val="single" w:sz="5" w:space="0" w:color="000000"/>
            </w:tcBorders>
          </w:tcPr>
          <w:p w14:paraId="110581BA"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23</w:t>
            </w:r>
          </w:p>
        </w:tc>
        <w:tc>
          <w:tcPr>
            <w:tcW w:w="6237" w:type="dxa"/>
            <w:tcBorders>
              <w:top w:val="single" w:sz="5" w:space="0" w:color="000000"/>
              <w:left w:val="single" w:sz="5" w:space="0" w:color="000000"/>
              <w:bottom w:val="double" w:sz="5" w:space="0" w:color="000000"/>
              <w:right w:val="single" w:sz="5" w:space="0" w:color="000000"/>
            </w:tcBorders>
          </w:tcPr>
          <w:p w14:paraId="1B4E64E2"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Give results of additional analyses, if done (e.g., sensitivity or subgroup analyses, meta-regression [see Item 16]). </w:t>
            </w:r>
          </w:p>
        </w:tc>
        <w:tc>
          <w:tcPr>
            <w:tcW w:w="1026" w:type="dxa"/>
            <w:tcBorders>
              <w:top w:val="single" w:sz="5" w:space="0" w:color="000000"/>
              <w:left w:val="single" w:sz="5" w:space="0" w:color="000000"/>
              <w:bottom w:val="double" w:sz="5" w:space="0" w:color="000000"/>
              <w:right w:val="single" w:sz="5" w:space="0" w:color="000000"/>
            </w:tcBorders>
          </w:tcPr>
          <w:p w14:paraId="2981014D"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7</w:t>
            </w:r>
          </w:p>
        </w:tc>
      </w:tr>
      <w:tr w:rsidR="00F478FF" w:rsidRPr="00F478FF" w14:paraId="4FE58F0E" w14:textId="77777777" w:rsidTr="001263A3">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4B81DA0" w14:textId="77777777" w:rsidR="00F478FF" w:rsidRPr="00F478FF" w:rsidRDefault="00F478FF" w:rsidP="00F478FF">
            <w:pPr>
              <w:pStyle w:val="Default"/>
              <w:rPr>
                <w:rFonts w:ascii="Times New Roman" w:hAnsi="Times New Roman" w:cs="Times New Roman"/>
              </w:rPr>
            </w:pPr>
            <w:r w:rsidRPr="00F478FF">
              <w:rPr>
                <w:rFonts w:ascii="Times New Roman" w:hAnsi="Times New Roman" w:cs="Times New Roman"/>
                <w:b/>
                <w:bCs/>
              </w:rPr>
              <w:t xml:space="preserve">DISCUSSION </w:t>
            </w:r>
          </w:p>
        </w:tc>
        <w:tc>
          <w:tcPr>
            <w:tcW w:w="1026" w:type="dxa"/>
            <w:tcBorders>
              <w:top w:val="double" w:sz="5" w:space="0" w:color="000000"/>
              <w:left w:val="single" w:sz="5" w:space="0" w:color="000000"/>
              <w:bottom w:val="single" w:sz="5" w:space="0" w:color="000000"/>
              <w:right w:val="single" w:sz="5" w:space="0" w:color="000000"/>
            </w:tcBorders>
            <w:shd w:val="clear" w:color="auto" w:fill="FFFFCC"/>
          </w:tcPr>
          <w:p w14:paraId="46554284" w14:textId="77777777" w:rsidR="00F478FF" w:rsidRPr="00F478FF" w:rsidRDefault="00F478FF" w:rsidP="00F478FF">
            <w:pPr>
              <w:pStyle w:val="Default"/>
              <w:jc w:val="center"/>
              <w:rPr>
                <w:rFonts w:ascii="Times New Roman" w:hAnsi="Times New Roman" w:cs="Times New Roman"/>
                <w:color w:val="auto"/>
              </w:rPr>
            </w:pPr>
          </w:p>
        </w:tc>
      </w:tr>
      <w:tr w:rsidR="00F478FF" w:rsidRPr="00F478FF" w14:paraId="4E67D5D8" w14:textId="77777777" w:rsidTr="001263A3">
        <w:trPr>
          <w:trHeight w:val="578"/>
        </w:trPr>
        <w:tc>
          <w:tcPr>
            <w:tcW w:w="1384" w:type="dxa"/>
            <w:tcBorders>
              <w:top w:val="single" w:sz="5" w:space="0" w:color="000000"/>
              <w:left w:val="single" w:sz="5" w:space="0" w:color="000000"/>
              <w:bottom w:val="single" w:sz="5" w:space="0" w:color="000000"/>
              <w:right w:val="single" w:sz="5" w:space="0" w:color="000000"/>
            </w:tcBorders>
          </w:tcPr>
          <w:p w14:paraId="34ADE268"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Summary of evidence </w:t>
            </w:r>
          </w:p>
        </w:tc>
        <w:tc>
          <w:tcPr>
            <w:tcW w:w="425" w:type="dxa"/>
            <w:tcBorders>
              <w:top w:val="single" w:sz="5" w:space="0" w:color="000000"/>
              <w:left w:val="single" w:sz="5" w:space="0" w:color="000000"/>
              <w:bottom w:val="single" w:sz="5" w:space="0" w:color="000000"/>
              <w:right w:val="single" w:sz="5" w:space="0" w:color="000000"/>
            </w:tcBorders>
          </w:tcPr>
          <w:p w14:paraId="0DD36CDA"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24</w:t>
            </w:r>
          </w:p>
        </w:tc>
        <w:tc>
          <w:tcPr>
            <w:tcW w:w="6237" w:type="dxa"/>
            <w:tcBorders>
              <w:top w:val="single" w:sz="5" w:space="0" w:color="000000"/>
              <w:left w:val="single" w:sz="5" w:space="0" w:color="000000"/>
              <w:bottom w:val="single" w:sz="5" w:space="0" w:color="000000"/>
              <w:right w:val="single" w:sz="5" w:space="0" w:color="000000"/>
            </w:tcBorders>
          </w:tcPr>
          <w:p w14:paraId="03039C19"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Summarize the main findings including the strength of evidence for each main outcome; consider their relevance to key groups (e.g., healthcare providers, users, and policy makers). </w:t>
            </w:r>
          </w:p>
        </w:tc>
        <w:tc>
          <w:tcPr>
            <w:tcW w:w="1026" w:type="dxa"/>
            <w:tcBorders>
              <w:top w:val="single" w:sz="5" w:space="0" w:color="000000"/>
              <w:left w:val="single" w:sz="5" w:space="0" w:color="000000"/>
              <w:bottom w:val="single" w:sz="5" w:space="0" w:color="000000"/>
              <w:right w:val="single" w:sz="5" w:space="0" w:color="000000"/>
            </w:tcBorders>
          </w:tcPr>
          <w:p w14:paraId="3C8827B3"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8</w:t>
            </w:r>
          </w:p>
        </w:tc>
      </w:tr>
      <w:tr w:rsidR="00F478FF" w:rsidRPr="00F478FF" w14:paraId="1EBAD98D" w14:textId="77777777" w:rsidTr="001263A3">
        <w:trPr>
          <w:trHeight w:val="578"/>
        </w:trPr>
        <w:tc>
          <w:tcPr>
            <w:tcW w:w="1384" w:type="dxa"/>
            <w:tcBorders>
              <w:top w:val="single" w:sz="5" w:space="0" w:color="000000"/>
              <w:left w:val="single" w:sz="5" w:space="0" w:color="000000"/>
              <w:bottom w:val="single" w:sz="5" w:space="0" w:color="000000"/>
              <w:right w:val="single" w:sz="5" w:space="0" w:color="000000"/>
            </w:tcBorders>
          </w:tcPr>
          <w:p w14:paraId="0083ABD2"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lastRenderedPageBreak/>
              <w:t xml:space="preserve">Limitations </w:t>
            </w:r>
          </w:p>
        </w:tc>
        <w:tc>
          <w:tcPr>
            <w:tcW w:w="425" w:type="dxa"/>
            <w:tcBorders>
              <w:top w:val="single" w:sz="5" w:space="0" w:color="000000"/>
              <w:left w:val="single" w:sz="5" w:space="0" w:color="000000"/>
              <w:bottom w:val="single" w:sz="5" w:space="0" w:color="000000"/>
              <w:right w:val="single" w:sz="5" w:space="0" w:color="000000"/>
            </w:tcBorders>
          </w:tcPr>
          <w:p w14:paraId="56633D6D"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25</w:t>
            </w:r>
          </w:p>
        </w:tc>
        <w:tc>
          <w:tcPr>
            <w:tcW w:w="6237" w:type="dxa"/>
            <w:tcBorders>
              <w:top w:val="single" w:sz="5" w:space="0" w:color="000000"/>
              <w:left w:val="single" w:sz="5" w:space="0" w:color="000000"/>
              <w:bottom w:val="single" w:sz="5" w:space="0" w:color="000000"/>
              <w:right w:val="single" w:sz="5" w:space="0" w:color="000000"/>
            </w:tcBorders>
          </w:tcPr>
          <w:p w14:paraId="383869E6"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Discuss limitations at study and outcome level (e.g., risk of bias), and at review-level (e.g., incomplete retrieval of identified research, reporting bias). </w:t>
            </w:r>
          </w:p>
        </w:tc>
        <w:tc>
          <w:tcPr>
            <w:tcW w:w="1026" w:type="dxa"/>
            <w:tcBorders>
              <w:top w:val="single" w:sz="5" w:space="0" w:color="000000"/>
              <w:left w:val="single" w:sz="5" w:space="0" w:color="000000"/>
              <w:bottom w:val="single" w:sz="5" w:space="0" w:color="000000"/>
              <w:right w:val="single" w:sz="5" w:space="0" w:color="000000"/>
            </w:tcBorders>
          </w:tcPr>
          <w:p w14:paraId="67435FB0"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10</w:t>
            </w:r>
          </w:p>
        </w:tc>
      </w:tr>
      <w:tr w:rsidR="00F478FF" w:rsidRPr="00F478FF" w14:paraId="643FE564" w14:textId="77777777" w:rsidTr="001263A3">
        <w:trPr>
          <w:trHeight w:val="420"/>
        </w:trPr>
        <w:tc>
          <w:tcPr>
            <w:tcW w:w="1384" w:type="dxa"/>
            <w:tcBorders>
              <w:top w:val="single" w:sz="5" w:space="0" w:color="000000"/>
              <w:left w:val="single" w:sz="5" w:space="0" w:color="000000"/>
              <w:bottom w:val="double" w:sz="2" w:space="0" w:color="FFFFCC"/>
              <w:right w:val="single" w:sz="5" w:space="0" w:color="000000"/>
            </w:tcBorders>
          </w:tcPr>
          <w:p w14:paraId="0138BE4F"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Conclusions </w:t>
            </w:r>
          </w:p>
        </w:tc>
        <w:tc>
          <w:tcPr>
            <w:tcW w:w="425" w:type="dxa"/>
            <w:tcBorders>
              <w:top w:val="single" w:sz="5" w:space="0" w:color="000000"/>
              <w:left w:val="single" w:sz="5" w:space="0" w:color="000000"/>
              <w:bottom w:val="double" w:sz="2" w:space="0" w:color="FFFFCC"/>
              <w:right w:val="single" w:sz="5" w:space="0" w:color="000000"/>
            </w:tcBorders>
          </w:tcPr>
          <w:p w14:paraId="78E98622"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26</w:t>
            </w:r>
          </w:p>
        </w:tc>
        <w:tc>
          <w:tcPr>
            <w:tcW w:w="6237" w:type="dxa"/>
            <w:tcBorders>
              <w:top w:val="single" w:sz="5" w:space="0" w:color="000000"/>
              <w:left w:val="single" w:sz="5" w:space="0" w:color="000000"/>
              <w:bottom w:val="double" w:sz="5" w:space="0" w:color="000000"/>
              <w:right w:val="single" w:sz="5" w:space="0" w:color="000000"/>
            </w:tcBorders>
          </w:tcPr>
          <w:p w14:paraId="31CBB15A"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 xml:space="preserve">Provide a general interpretation of the results in the context of other evidence, and implications for future research. </w:t>
            </w:r>
          </w:p>
        </w:tc>
        <w:tc>
          <w:tcPr>
            <w:tcW w:w="1026" w:type="dxa"/>
            <w:tcBorders>
              <w:top w:val="single" w:sz="5" w:space="0" w:color="000000"/>
              <w:left w:val="single" w:sz="5" w:space="0" w:color="000000"/>
              <w:bottom w:val="double" w:sz="5" w:space="0" w:color="000000"/>
              <w:right w:val="single" w:sz="5" w:space="0" w:color="000000"/>
            </w:tcBorders>
          </w:tcPr>
          <w:p w14:paraId="6E5F9765"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11</w:t>
            </w:r>
          </w:p>
        </w:tc>
      </w:tr>
      <w:tr w:rsidR="00F478FF" w:rsidRPr="00F478FF" w14:paraId="130CA6C6" w14:textId="77777777" w:rsidTr="001263A3">
        <w:trPr>
          <w:trHeight w:val="333"/>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2501628" w14:textId="77777777" w:rsidR="00F478FF" w:rsidRPr="00F478FF" w:rsidRDefault="00F478FF" w:rsidP="00F478FF">
            <w:pPr>
              <w:pStyle w:val="Default"/>
              <w:rPr>
                <w:rFonts w:ascii="Times New Roman" w:hAnsi="Times New Roman" w:cs="Times New Roman"/>
              </w:rPr>
            </w:pPr>
            <w:r w:rsidRPr="00F478FF">
              <w:rPr>
                <w:rFonts w:ascii="Times New Roman" w:hAnsi="Times New Roman" w:cs="Times New Roman"/>
                <w:b/>
                <w:bCs/>
              </w:rPr>
              <w:t xml:space="preserve">FUNDING </w:t>
            </w:r>
          </w:p>
        </w:tc>
        <w:tc>
          <w:tcPr>
            <w:tcW w:w="1026" w:type="dxa"/>
            <w:tcBorders>
              <w:top w:val="double" w:sz="5" w:space="0" w:color="000000"/>
              <w:left w:val="single" w:sz="5" w:space="0" w:color="000000"/>
              <w:bottom w:val="single" w:sz="5" w:space="0" w:color="000000"/>
              <w:right w:val="single" w:sz="5" w:space="0" w:color="000000"/>
            </w:tcBorders>
            <w:shd w:val="clear" w:color="auto" w:fill="FFFFCC"/>
          </w:tcPr>
          <w:p w14:paraId="556EB46D" w14:textId="77777777" w:rsidR="00F478FF" w:rsidRPr="00F478FF" w:rsidRDefault="00F478FF" w:rsidP="00F478FF">
            <w:pPr>
              <w:pStyle w:val="Default"/>
              <w:jc w:val="center"/>
              <w:rPr>
                <w:rFonts w:ascii="Times New Roman" w:hAnsi="Times New Roman" w:cs="Times New Roman"/>
                <w:color w:val="auto"/>
              </w:rPr>
            </w:pPr>
          </w:p>
        </w:tc>
      </w:tr>
      <w:tr w:rsidR="00F478FF" w:rsidRPr="00F478FF" w14:paraId="4C5867D6" w14:textId="77777777" w:rsidTr="001263A3">
        <w:trPr>
          <w:trHeight w:val="570"/>
        </w:trPr>
        <w:tc>
          <w:tcPr>
            <w:tcW w:w="1384" w:type="dxa"/>
            <w:tcBorders>
              <w:top w:val="single" w:sz="5" w:space="0" w:color="000000"/>
              <w:left w:val="single" w:sz="5" w:space="0" w:color="000000"/>
              <w:bottom w:val="double" w:sz="5" w:space="0" w:color="000000"/>
              <w:right w:val="single" w:sz="5" w:space="0" w:color="000000"/>
            </w:tcBorders>
          </w:tcPr>
          <w:p w14:paraId="6766B6FF" w14:textId="77777777" w:rsidR="00F478FF" w:rsidRPr="00F478FF" w:rsidRDefault="00F478FF" w:rsidP="00F478FF">
            <w:pPr>
              <w:pStyle w:val="Default"/>
              <w:spacing w:before="40" w:after="40"/>
              <w:rPr>
                <w:rFonts w:ascii="Times New Roman" w:hAnsi="Times New Roman" w:cs="Times New Roman"/>
              </w:rPr>
            </w:pPr>
            <w:r w:rsidRPr="00F478FF">
              <w:rPr>
                <w:rFonts w:ascii="Times New Roman" w:hAnsi="Times New Roman" w:cs="Times New Roman"/>
              </w:rPr>
              <w:t xml:space="preserve">Funding </w:t>
            </w:r>
          </w:p>
        </w:tc>
        <w:tc>
          <w:tcPr>
            <w:tcW w:w="425" w:type="dxa"/>
            <w:tcBorders>
              <w:top w:val="single" w:sz="5" w:space="0" w:color="000000"/>
              <w:left w:val="single" w:sz="5" w:space="0" w:color="000000"/>
              <w:bottom w:val="double" w:sz="5" w:space="0" w:color="000000"/>
              <w:right w:val="single" w:sz="5" w:space="0" w:color="000000"/>
            </w:tcBorders>
          </w:tcPr>
          <w:p w14:paraId="6A872FE6" w14:textId="77777777" w:rsidR="00F478FF" w:rsidRPr="00F478FF" w:rsidRDefault="00F478FF" w:rsidP="00F478FF">
            <w:pPr>
              <w:pStyle w:val="Default"/>
              <w:spacing w:before="40" w:after="40"/>
              <w:jc w:val="right"/>
              <w:rPr>
                <w:rFonts w:ascii="Times New Roman" w:hAnsi="Times New Roman" w:cs="Times New Roman"/>
              </w:rPr>
            </w:pPr>
            <w:r w:rsidRPr="00F478FF">
              <w:rPr>
                <w:rFonts w:ascii="Times New Roman" w:hAnsi="Times New Roman" w:cs="Times New Roman"/>
              </w:rPr>
              <w:t>27</w:t>
            </w:r>
          </w:p>
        </w:tc>
        <w:tc>
          <w:tcPr>
            <w:tcW w:w="6237" w:type="dxa"/>
            <w:tcBorders>
              <w:top w:val="single" w:sz="5" w:space="0" w:color="000000"/>
              <w:left w:val="single" w:sz="5" w:space="0" w:color="000000"/>
              <w:bottom w:val="double" w:sz="5" w:space="0" w:color="000000"/>
              <w:right w:val="single" w:sz="5" w:space="0" w:color="000000"/>
            </w:tcBorders>
          </w:tcPr>
          <w:p w14:paraId="5F456D89" w14:textId="77777777" w:rsidR="00F478FF" w:rsidRPr="00F478FF" w:rsidRDefault="00F478FF" w:rsidP="00F478FF">
            <w:pPr>
              <w:pStyle w:val="Default"/>
              <w:spacing w:before="40" w:after="40"/>
              <w:jc w:val="both"/>
              <w:rPr>
                <w:rFonts w:ascii="Times New Roman" w:hAnsi="Times New Roman" w:cs="Times New Roman"/>
              </w:rPr>
            </w:pPr>
            <w:r w:rsidRPr="00F478FF">
              <w:rPr>
                <w:rFonts w:ascii="Times New Roman" w:hAnsi="Times New Roman" w:cs="Times New Roman"/>
              </w:rPr>
              <w:t>Describe sources of funding for the systematic review and other support (e.g., supply of data)</w:t>
            </w:r>
            <w:proofErr w:type="gramStart"/>
            <w:r w:rsidRPr="00F478FF">
              <w:rPr>
                <w:rFonts w:ascii="Times New Roman" w:hAnsi="Times New Roman" w:cs="Times New Roman"/>
              </w:rPr>
              <w:t>;</w:t>
            </w:r>
            <w:proofErr w:type="gramEnd"/>
            <w:r w:rsidRPr="00F478FF">
              <w:rPr>
                <w:rFonts w:ascii="Times New Roman" w:hAnsi="Times New Roman" w:cs="Times New Roman"/>
              </w:rPr>
              <w:t xml:space="preserve"> role of funders for the systematic review. </w:t>
            </w:r>
          </w:p>
        </w:tc>
        <w:tc>
          <w:tcPr>
            <w:tcW w:w="1026" w:type="dxa"/>
            <w:tcBorders>
              <w:top w:val="single" w:sz="5" w:space="0" w:color="000000"/>
              <w:left w:val="single" w:sz="5" w:space="0" w:color="000000"/>
              <w:bottom w:val="double" w:sz="5" w:space="0" w:color="000000"/>
              <w:right w:val="single" w:sz="5" w:space="0" w:color="000000"/>
            </w:tcBorders>
          </w:tcPr>
          <w:p w14:paraId="0587F897" w14:textId="77777777" w:rsidR="00F478FF" w:rsidRPr="00F478FF" w:rsidRDefault="00F478FF" w:rsidP="00F478FF">
            <w:pPr>
              <w:pStyle w:val="Default"/>
              <w:spacing w:before="40" w:after="40"/>
              <w:jc w:val="center"/>
              <w:rPr>
                <w:rFonts w:ascii="Times New Roman" w:hAnsi="Times New Roman" w:cs="Times New Roman"/>
                <w:color w:val="auto"/>
              </w:rPr>
            </w:pPr>
            <w:r w:rsidRPr="00F478FF">
              <w:rPr>
                <w:rFonts w:ascii="Times New Roman" w:hAnsi="Times New Roman" w:cs="Times New Roman"/>
                <w:color w:val="auto"/>
              </w:rPr>
              <w:t>11</w:t>
            </w:r>
          </w:p>
        </w:tc>
      </w:tr>
    </w:tbl>
    <w:p w14:paraId="6C85DF79" w14:textId="77777777" w:rsidR="00F478FF" w:rsidRDefault="00F478FF" w:rsidP="00F478FF">
      <w:pPr>
        <w:ind w:left="-113" w:right="-454"/>
        <w:jc w:val="both"/>
        <w:rPr>
          <w:rFonts w:cs="Times New Roman"/>
          <w:szCs w:val="24"/>
        </w:rPr>
      </w:pPr>
      <w:r w:rsidRPr="00F478FF">
        <w:rPr>
          <w:rFonts w:cs="Times New Roman"/>
          <w:b/>
          <w:szCs w:val="24"/>
        </w:rPr>
        <w:br/>
      </w:r>
    </w:p>
    <w:p w14:paraId="7C5933D0" w14:textId="77777777" w:rsidR="00F478FF" w:rsidRDefault="00F478FF" w:rsidP="00F478FF">
      <w:pPr>
        <w:ind w:left="-113" w:right="-454"/>
        <w:jc w:val="both"/>
        <w:rPr>
          <w:rFonts w:cs="Times New Roman"/>
          <w:szCs w:val="24"/>
        </w:rPr>
      </w:pPr>
    </w:p>
    <w:p w14:paraId="2A1D0F65" w14:textId="77777777" w:rsidR="00F478FF" w:rsidRDefault="00F478FF" w:rsidP="00F478FF">
      <w:pPr>
        <w:ind w:left="-113" w:right="-454"/>
        <w:jc w:val="both"/>
        <w:rPr>
          <w:rFonts w:cs="Times New Roman"/>
          <w:szCs w:val="24"/>
        </w:rPr>
      </w:pPr>
    </w:p>
    <w:p w14:paraId="37E44FB0" w14:textId="77777777" w:rsidR="00F478FF" w:rsidRDefault="00F478FF" w:rsidP="00F478FF">
      <w:pPr>
        <w:ind w:left="-113" w:right="-454"/>
        <w:jc w:val="both"/>
        <w:rPr>
          <w:rFonts w:cs="Times New Roman"/>
          <w:szCs w:val="24"/>
        </w:rPr>
      </w:pPr>
    </w:p>
    <w:p w14:paraId="4CD1DD0B" w14:textId="77777777" w:rsidR="00F478FF" w:rsidRDefault="00F478FF" w:rsidP="00F478FF">
      <w:pPr>
        <w:ind w:left="-113" w:right="-454"/>
        <w:jc w:val="both"/>
        <w:rPr>
          <w:rFonts w:cs="Times New Roman"/>
          <w:szCs w:val="24"/>
        </w:rPr>
      </w:pPr>
    </w:p>
    <w:p w14:paraId="2A19BB20" w14:textId="77777777" w:rsidR="00F478FF" w:rsidRDefault="00F478FF" w:rsidP="00F478FF">
      <w:pPr>
        <w:ind w:left="-113" w:right="-454"/>
        <w:jc w:val="both"/>
        <w:rPr>
          <w:rFonts w:cs="Times New Roman"/>
          <w:szCs w:val="24"/>
        </w:rPr>
      </w:pPr>
    </w:p>
    <w:p w14:paraId="7694524F" w14:textId="66DB0B9B" w:rsidR="00F478FF" w:rsidRPr="00F478FF" w:rsidRDefault="00F478FF" w:rsidP="00F478FF">
      <w:pPr>
        <w:ind w:left="-57" w:right="680"/>
        <w:jc w:val="both"/>
        <w:rPr>
          <w:rFonts w:cs="Times New Roman"/>
          <w:szCs w:val="24"/>
        </w:rPr>
      </w:pPr>
      <w:r w:rsidRPr="00F478FF">
        <w:rPr>
          <w:rFonts w:cs="Times New Roman"/>
          <w:szCs w:val="24"/>
        </w:rPr>
        <w:t xml:space="preserve">From:  Moher D, </w:t>
      </w:r>
      <w:proofErr w:type="spellStart"/>
      <w:r w:rsidRPr="00F478FF">
        <w:rPr>
          <w:rFonts w:cs="Times New Roman"/>
          <w:szCs w:val="24"/>
        </w:rPr>
        <w:t>Liberati</w:t>
      </w:r>
      <w:proofErr w:type="spellEnd"/>
      <w:r w:rsidRPr="00F478FF">
        <w:rPr>
          <w:rFonts w:cs="Times New Roman"/>
          <w:szCs w:val="24"/>
        </w:rPr>
        <w:t xml:space="preserve"> A, </w:t>
      </w:r>
      <w:proofErr w:type="spellStart"/>
      <w:r w:rsidRPr="00F478FF">
        <w:rPr>
          <w:rFonts w:cs="Times New Roman"/>
          <w:szCs w:val="24"/>
        </w:rPr>
        <w:t>Tetzlaff</w:t>
      </w:r>
      <w:proofErr w:type="spellEnd"/>
      <w:r w:rsidRPr="00F478FF">
        <w:rPr>
          <w:rFonts w:cs="Times New Roman"/>
          <w:szCs w:val="24"/>
        </w:rPr>
        <w:t xml:space="preserve"> J, Altman DG, </w:t>
      </w:r>
      <w:proofErr w:type="gramStart"/>
      <w:r w:rsidRPr="00F478FF">
        <w:rPr>
          <w:rFonts w:cs="Times New Roman"/>
          <w:szCs w:val="24"/>
        </w:rPr>
        <w:t>The</w:t>
      </w:r>
      <w:proofErr w:type="gramEnd"/>
      <w:r w:rsidRPr="00F478FF">
        <w:rPr>
          <w:rFonts w:cs="Times New Roman"/>
          <w:szCs w:val="24"/>
        </w:rPr>
        <w:t xml:space="preserve"> PRISMA Group (2009). Preferred Reporting Items for Systematic Reviews and Meta-Analyses: The PRISMA Statement. </w:t>
      </w:r>
      <w:proofErr w:type="spellStart"/>
      <w:r w:rsidRPr="00F478FF">
        <w:rPr>
          <w:rFonts w:cs="Times New Roman"/>
          <w:szCs w:val="24"/>
        </w:rPr>
        <w:t>PLoS</w:t>
      </w:r>
      <w:proofErr w:type="spellEnd"/>
      <w:r w:rsidRPr="00F478FF">
        <w:rPr>
          <w:rFonts w:cs="Times New Roman"/>
          <w:szCs w:val="24"/>
        </w:rPr>
        <w:t xml:space="preserve"> Med 6(6): e1000097. doi:10.1371/journal.pmed1000097. For more information, visit: www.prisma-statement.org.</w:t>
      </w:r>
    </w:p>
    <w:p w14:paraId="33268B2C" w14:textId="77777777" w:rsidR="00F478FF" w:rsidRPr="00F478FF" w:rsidRDefault="00F478FF" w:rsidP="00F478FF">
      <w:pPr>
        <w:ind w:right="-283"/>
        <w:jc w:val="both"/>
        <w:rPr>
          <w:rFonts w:cs="Times New Roman"/>
          <w:b/>
          <w:color w:val="000000" w:themeColor="text1"/>
          <w:szCs w:val="24"/>
        </w:rPr>
      </w:pPr>
    </w:p>
    <w:p w14:paraId="68B5F52B" w14:textId="77777777" w:rsidR="00F478FF" w:rsidRDefault="00F478FF" w:rsidP="00F478FF">
      <w:pPr>
        <w:spacing w:line="480" w:lineRule="auto"/>
        <w:ind w:right="-283"/>
        <w:jc w:val="both"/>
        <w:rPr>
          <w:rFonts w:cs="Times New Roman"/>
          <w:b/>
          <w:color w:val="000000" w:themeColor="text1"/>
          <w:sz w:val="20"/>
          <w:szCs w:val="20"/>
        </w:rPr>
      </w:pPr>
    </w:p>
    <w:p w14:paraId="278B58D3" w14:textId="77777777" w:rsidR="00F478FF" w:rsidRPr="00264E4F" w:rsidRDefault="00F478FF" w:rsidP="00F478FF">
      <w:pPr>
        <w:spacing w:line="480" w:lineRule="auto"/>
        <w:ind w:right="-283"/>
        <w:jc w:val="both"/>
        <w:rPr>
          <w:rFonts w:cs="Times New Roman"/>
          <w:b/>
          <w:color w:val="000000" w:themeColor="text1"/>
          <w:sz w:val="20"/>
          <w:szCs w:val="20"/>
        </w:rPr>
      </w:pPr>
    </w:p>
    <w:p w14:paraId="27DB6734" w14:textId="77777777" w:rsidR="00F478FF" w:rsidRPr="00264E4F" w:rsidRDefault="00F478FF" w:rsidP="00F478FF">
      <w:pPr>
        <w:spacing w:line="480" w:lineRule="auto"/>
        <w:ind w:right="-283"/>
        <w:jc w:val="both"/>
        <w:rPr>
          <w:rFonts w:cs="Times New Roman"/>
          <w:b/>
          <w:color w:val="000000" w:themeColor="text1"/>
          <w:sz w:val="20"/>
          <w:szCs w:val="20"/>
        </w:rPr>
      </w:pPr>
    </w:p>
    <w:p w14:paraId="2712F37C" w14:textId="77777777" w:rsidR="00F478FF" w:rsidRPr="00264E4F" w:rsidRDefault="00F478FF" w:rsidP="00F478FF">
      <w:pPr>
        <w:spacing w:line="480" w:lineRule="auto"/>
        <w:ind w:right="-283"/>
        <w:jc w:val="both"/>
        <w:rPr>
          <w:rFonts w:cs="Times New Roman"/>
          <w:b/>
          <w:color w:val="000000" w:themeColor="text1"/>
          <w:sz w:val="20"/>
          <w:szCs w:val="20"/>
        </w:rPr>
      </w:pPr>
    </w:p>
    <w:p w14:paraId="1D139B5D" w14:textId="77777777" w:rsidR="00F478FF" w:rsidRDefault="00F478FF" w:rsidP="00F478FF">
      <w:pPr>
        <w:spacing w:line="480" w:lineRule="auto"/>
        <w:ind w:right="-283"/>
        <w:jc w:val="both"/>
        <w:rPr>
          <w:rFonts w:cs="Times New Roman"/>
          <w:b/>
          <w:color w:val="000000" w:themeColor="text1"/>
          <w:sz w:val="20"/>
          <w:szCs w:val="20"/>
        </w:rPr>
      </w:pPr>
    </w:p>
    <w:p w14:paraId="122DFC31" w14:textId="77777777" w:rsidR="00F478FF" w:rsidRDefault="00F478FF" w:rsidP="00F478FF">
      <w:pPr>
        <w:spacing w:line="480" w:lineRule="auto"/>
        <w:ind w:right="-283"/>
        <w:jc w:val="both"/>
        <w:rPr>
          <w:rFonts w:cs="Times New Roman"/>
          <w:b/>
          <w:color w:val="000000" w:themeColor="text1"/>
          <w:sz w:val="20"/>
          <w:szCs w:val="20"/>
        </w:rPr>
      </w:pPr>
    </w:p>
    <w:p w14:paraId="0930A37E" w14:textId="77777777" w:rsidR="00F478FF" w:rsidRDefault="00F478FF" w:rsidP="00F478FF">
      <w:pPr>
        <w:spacing w:line="480" w:lineRule="auto"/>
        <w:ind w:right="-283"/>
        <w:jc w:val="both"/>
        <w:rPr>
          <w:rFonts w:cs="Times New Roman"/>
          <w:b/>
          <w:color w:val="000000" w:themeColor="text1"/>
          <w:sz w:val="20"/>
          <w:szCs w:val="20"/>
        </w:rPr>
      </w:pPr>
    </w:p>
    <w:p w14:paraId="29FCDB63" w14:textId="77777777" w:rsidR="00F478FF" w:rsidRDefault="00F478FF" w:rsidP="00F478FF">
      <w:pPr>
        <w:spacing w:line="480" w:lineRule="auto"/>
        <w:ind w:right="-283"/>
        <w:jc w:val="both"/>
        <w:rPr>
          <w:rFonts w:cs="Times New Roman"/>
          <w:b/>
          <w:color w:val="000000" w:themeColor="text1"/>
          <w:sz w:val="20"/>
          <w:szCs w:val="20"/>
        </w:rPr>
      </w:pPr>
    </w:p>
    <w:p w14:paraId="64792ACC" w14:textId="77777777" w:rsidR="00F478FF" w:rsidRDefault="00F478FF" w:rsidP="00F478FF">
      <w:pPr>
        <w:spacing w:line="480" w:lineRule="auto"/>
        <w:ind w:right="-283"/>
        <w:jc w:val="both"/>
        <w:rPr>
          <w:rFonts w:cs="Times New Roman"/>
          <w:b/>
          <w:color w:val="000000" w:themeColor="text1"/>
          <w:sz w:val="20"/>
          <w:szCs w:val="20"/>
        </w:rPr>
      </w:pPr>
    </w:p>
    <w:p w14:paraId="176BB90A" w14:textId="77777777" w:rsidR="00F478FF" w:rsidRDefault="00F478FF" w:rsidP="00F478FF">
      <w:pPr>
        <w:spacing w:line="480" w:lineRule="auto"/>
        <w:ind w:right="-283"/>
        <w:jc w:val="both"/>
        <w:rPr>
          <w:rFonts w:cs="Times New Roman"/>
          <w:b/>
          <w:color w:val="000000" w:themeColor="text1"/>
          <w:sz w:val="20"/>
          <w:szCs w:val="20"/>
        </w:rPr>
      </w:pPr>
    </w:p>
    <w:p w14:paraId="1AA681D0" w14:textId="77777777" w:rsidR="00F478FF" w:rsidRDefault="00F478FF" w:rsidP="00F478FF">
      <w:pPr>
        <w:spacing w:line="480" w:lineRule="auto"/>
        <w:ind w:right="-283"/>
        <w:jc w:val="both"/>
        <w:rPr>
          <w:rFonts w:cs="Times New Roman"/>
          <w:b/>
          <w:color w:val="000000" w:themeColor="text1"/>
          <w:sz w:val="20"/>
          <w:szCs w:val="20"/>
        </w:rPr>
      </w:pPr>
    </w:p>
    <w:p w14:paraId="143C04EC" w14:textId="77777777" w:rsidR="00F478FF" w:rsidRPr="00F478FF" w:rsidRDefault="00F478FF" w:rsidP="00F478FF">
      <w:pPr>
        <w:jc w:val="both"/>
        <w:rPr>
          <w:rFonts w:eastAsia="Times New Roman" w:cs="Times New Roman"/>
          <w:iCs/>
          <w:szCs w:val="24"/>
        </w:rPr>
      </w:pPr>
      <w:bookmarkStart w:id="0" w:name="_GoBack"/>
      <w:bookmarkEnd w:id="0"/>
      <w:r w:rsidRPr="00F478FF">
        <w:rPr>
          <w:rFonts w:cs="Times New Roman"/>
          <w:b/>
          <w:color w:val="000000" w:themeColor="text1"/>
          <w:szCs w:val="24"/>
        </w:rPr>
        <w:lastRenderedPageBreak/>
        <w:t xml:space="preserve">File 2. </w:t>
      </w:r>
      <w:r w:rsidRPr="00F478FF">
        <w:rPr>
          <w:rFonts w:cs="Times New Roman"/>
          <w:szCs w:val="24"/>
        </w:rPr>
        <w:t xml:space="preserve">Search Strategy, Eligibility Criteria, </w:t>
      </w:r>
      <w:r w:rsidRPr="00F478FF">
        <w:rPr>
          <w:rFonts w:cs="Times New Roman"/>
          <w:iCs/>
          <w:szCs w:val="24"/>
        </w:rPr>
        <w:t xml:space="preserve">Risk of Bias and </w:t>
      </w:r>
      <w:r w:rsidRPr="00F478FF">
        <w:rPr>
          <w:rFonts w:eastAsia="Times New Roman" w:cs="Times New Roman"/>
          <w:iCs/>
          <w:szCs w:val="24"/>
        </w:rPr>
        <w:t>Certainty in the evidence and strength of recommendations</w:t>
      </w:r>
    </w:p>
    <w:p w14:paraId="5D9585CF" w14:textId="77777777" w:rsidR="00F478FF" w:rsidRPr="00F478FF" w:rsidRDefault="00F478FF" w:rsidP="00F478FF">
      <w:pPr>
        <w:ind w:firstLine="708"/>
        <w:jc w:val="both"/>
        <w:rPr>
          <w:rFonts w:eastAsia="Times New Roman" w:cs="Times New Roman"/>
          <w:b/>
          <w:iCs/>
          <w:szCs w:val="24"/>
        </w:rPr>
      </w:pPr>
      <w:r w:rsidRPr="00F478FF">
        <w:rPr>
          <w:rFonts w:cs="Times New Roman"/>
          <w:b/>
          <w:szCs w:val="24"/>
        </w:rPr>
        <w:t>Search Strategy</w:t>
      </w:r>
    </w:p>
    <w:p w14:paraId="4C3B3941" w14:textId="77777777" w:rsidR="00F478FF" w:rsidRPr="00F478FF" w:rsidRDefault="00F478FF" w:rsidP="00F478FF">
      <w:pPr>
        <w:ind w:firstLine="708"/>
        <w:jc w:val="both"/>
        <w:rPr>
          <w:rFonts w:eastAsia="Times New Roman" w:cs="Times New Roman"/>
          <w:szCs w:val="24"/>
        </w:rPr>
      </w:pPr>
      <w:r w:rsidRPr="00F478FF">
        <w:rPr>
          <w:rFonts w:cs="Times New Roman"/>
          <w:szCs w:val="24"/>
        </w:rPr>
        <w:t xml:space="preserve">We searched PubMed and LILACS, MEDLINE, </w:t>
      </w:r>
      <w:proofErr w:type="spellStart"/>
      <w:r w:rsidRPr="00F478FF">
        <w:rPr>
          <w:rFonts w:cs="Times New Roman"/>
          <w:szCs w:val="24"/>
        </w:rPr>
        <w:t>SciELO</w:t>
      </w:r>
      <w:proofErr w:type="spellEnd"/>
      <w:r w:rsidRPr="00F478FF">
        <w:rPr>
          <w:rFonts w:cs="Times New Roman"/>
          <w:szCs w:val="24"/>
        </w:rPr>
        <w:t xml:space="preserve">, and Cochrane Library (November 2020 – December 2020), updating from 2010 to 2020. For additional data collection, we also reviewed sites of the pharmaceutical industries and the lists of references of the selected publications. </w:t>
      </w:r>
      <w:r w:rsidRPr="00F478FF">
        <w:rPr>
          <w:rFonts w:eastAsia="Times New Roman" w:cs="Times New Roman"/>
          <w:szCs w:val="24"/>
        </w:rPr>
        <w:t xml:space="preserve">A data extraction form was prepared for the retrieval of information, such as: year of publication, authors, </w:t>
      </w:r>
      <w:r w:rsidRPr="00F478FF">
        <w:rPr>
          <w:rFonts w:cs="Times New Roman"/>
          <w:szCs w:val="24"/>
        </w:rPr>
        <w:t>type of RCTs</w:t>
      </w:r>
      <w:r w:rsidRPr="00F478FF">
        <w:rPr>
          <w:rFonts w:eastAsia="Times New Roman" w:cs="Times New Roman"/>
          <w:szCs w:val="24"/>
        </w:rPr>
        <w:t xml:space="preserve">, main characteristics of the population involved, types of VHD included and excluded in the study, type of administered DOAC and doses, </w:t>
      </w:r>
      <w:r w:rsidRPr="00F478FF">
        <w:rPr>
          <w:rFonts w:cs="Times New Roman"/>
          <w:szCs w:val="24"/>
        </w:rPr>
        <w:t>outcomes (total efficacy rate and safety),</w:t>
      </w:r>
      <w:r w:rsidRPr="00F478FF">
        <w:rPr>
          <w:rFonts w:eastAsia="Times New Roman" w:cs="Times New Roman"/>
          <w:szCs w:val="24"/>
        </w:rPr>
        <w:t xml:space="preserve"> and follow-up time. The data </w:t>
      </w:r>
      <w:proofErr w:type="gramStart"/>
      <w:r w:rsidRPr="00F478FF">
        <w:rPr>
          <w:rFonts w:eastAsia="Times New Roman" w:cs="Times New Roman"/>
          <w:szCs w:val="24"/>
        </w:rPr>
        <w:t>was extracted and summarized by the authors, independently</w:t>
      </w:r>
      <w:proofErr w:type="gramEnd"/>
      <w:r w:rsidRPr="00F478FF">
        <w:rPr>
          <w:rFonts w:eastAsia="Times New Roman" w:cs="Times New Roman"/>
          <w:szCs w:val="24"/>
        </w:rPr>
        <w:t>.</w:t>
      </w:r>
    </w:p>
    <w:p w14:paraId="17105167" w14:textId="77777777" w:rsidR="00F478FF" w:rsidRPr="00F478FF" w:rsidRDefault="00F478FF" w:rsidP="00F478FF">
      <w:pPr>
        <w:ind w:right="-283" w:firstLine="708"/>
        <w:jc w:val="both"/>
        <w:rPr>
          <w:rFonts w:cs="Times New Roman"/>
          <w:szCs w:val="24"/>
        </w:rPr>
      </w:pPr>
      <w:r w:rsidRPr="00F478FF">
        <w:rPr>
          <w:rFonts w:cs="Times New Roman"/>
          <w:szCs w:val="24"/>
        </w:rPr>
        <w:t xml:space="preserve">Electronic searches were carried out with Boolean operators (AND </w:t>
      </w:r>
      <w:proofErr w:type="spellStart"/>
      <w:r w:rsidRPr="00F478FF">
        <w:rPr>
          <w:rFonts w:cs="Times New Roman"/>
          <w:szCs w:val="24"/>
        </w:rPr>
        <w:t>and</w:t>
      </w:r>
      <w:proofErr w:type="spellEnd"/>
      <w:r w:rsidRPr="00F478FF">
        <w:rPr>
          <w:rFonts w:cs="Times New Roman"/>
          <w:szCs w:val="24"/>
        </w:rPr>
        <w:t xml:space="preserve"> OR) and keywords defined by </w:t>
      </w:r>
      <w:proofErr w:type="spellStart"/>
      <w:r w:rsidRPr="00F478FF">
        <w:rPr>
          <w:rFonts w:cs="Times New Roman"/>
          <w:szCs w:val="24"/>
        </w:rPr>
        <w:t>MeSH</w:t>
      </w:r>
      <w:proofErr w:type="spellEnd"/>
      <w:r w:rsidRPr="00F478FF">
        <w:rPr>
          <w:rFonts w:cs="Times New Roman"/>
          <w:szCs w:val="24"/>
        </w:rPr>
        <w:t xml:space="preserve"> (Medical Subject Headings Terms) and other words suggested by the authors. </w:t>
      </w:r>
      <w:proofErr w:type="gramStart"/>
      <w:r w:rsidRPr="00F478FF">
        <w:rPr>
          <w:rFonts w:cs="Times New Roman"/>
          <w:szCs w:val="24"/>
        </w:rPr>
        <w:t>The following search terms were used: "NOACS" [Author's terms], "DOACS" [Author's terms], "NVKA" [Author's terms], "</w:t>
      </w:r>
      <w:proofErr w:type="spellStart"/>
      <w:r w:rsidRPr="00F478FF">
        <w:rPr>
          <w:rFonts w:cs="Times New Roman"/>
          <w:szCs w:val="24"/>
        </w:rPr>
        <w:t>Apixaban</w:t>
      </w:r>
      <w:proofErr w:type="spellEnd"/>
      <w:r w:rsidRPr="00F478FF">
        <w:rPr>
          <w:rFonts w:cs="Times New Roman"/>
          <w:szCs w:val="24"/>
        </w:rPr>
        <w:t>" [Mesh terms], "Rivaroxaban" [Mesh terms], "Dabigatran" [Mesh terms], "</w:t>
      </w:r>
      <w:proofErr w:type="spellStart"/>
      <w:r w:rsidRPr="00F478FF">
        <w:rPr>
          <w:rFonts w:cs="Times New Roman"/>
          <w:szCs w:val="24"/>
        </w:rPr>
        <w:t>Edoxaban</w:t>
      </w:r>
      <w:proofErr w:type="spellEnd"/>
      <w:r w:rsidRPr="00F478FF">
        <w:rPr>
          <w:rFonts w:cs="Times New Roman"/>
          <w:szCs w:val="24"/>
        </w:rPr>
        <w:t>" [Mesh terms], "</w:t>
      </w:r>
      <w:proofErr w:type="spellStart"/>
      <w:r w:rsidRPr="00F478FF">
        <w:rPr>
          <w:rFonts w:cs="Times New Roman"/>
          <w:szCs w:val="24"/>
        </w:rPr>
        <w:t>Betrixaban</w:t>
      </w:r>
      <w:proofErr w:type="spellEnd"/>
      <w:r w:rsidRPr="00F478FF">
        <w:rPr>
          <w:rFonts w:cs="Times New Roman"/>
          <w:szCs w:val="24"/>
        </w:rPr>
        <w:t>" [Mesh terms], "Warfarin" [Mesh terms], “VKA” [Author's terms], “anticoagulants” [Mesh terms], “drug therapy” [Mesh terms], “treatment outcome” [Mesh terms], “</w:t>
      </w:r>
      <w:proofErr w:type="spellStart"/>
      <w:r w:rsidRPr="00F478FF">
        <w:rPr>
          <w:rFonts w:cs="Times New Roman"/>
          <w:szCs w:val="24"/>
        </w:rPr>
        <w:t>valvular</w:t>
      </w:r>
      <w:proofErr w:type="spellEnd"/>
      <w:r w:rsidRPr="00F478FF">
        <w:rPr>
          <w:rFonts w:cs="Times New Roman"/>
          <w:szCs w:val="24"/>
        </w:rPr>
        <w:t xml:space="preserve"> heart disease” [Mesh terms], “VHD” [Author's terms], “heart valve disease” [Mesh terms], “</w:t>
      </w:r>
      <w:proofErr w:type="spellStart"/>
      <w:r w:rsidRPr="00F478FF">
        <w:rPr>
          <w:rFonts w:cs="Times New Roman"/>
          <w:szCs w:val="24"/>
        </w:rPr>
        <w:t>valvular</w:t>
      </w:r>
      <w:proofErr w:type="spellEnd"/>
      <w:r w:rsidRPr="00F478FF">
        <w:rPr>
          <w:rFonts w:cs="Times New Roman"/>
          <w:szCs w:val="24"/>
        </w:rPr>
        <w:t xml:space="preserve"> atrial fibrillation” [Author's terms], “atrial fibrillation" [Mesh terms], "</w:t>
      </w:r>
      <w:proofErr w:type="spellStart"/>
      <w:r w:rsidRPr="00F478FF">
        <w:rPr>
          <w:rFonts w:cs="Times New Roman"/>
          <w:szCs w:val="24"/>
        </w:rPr>
        <w:t>bioprothesis</w:t>
      </w:r>
      <w:proofErr w:type="spellEnd"/>
      <w:r w:rsidRPr="00F478FF">
        <w:rPr>
          <w:rFonts w:cs="Times New Roman"/>
          <w:szCs w:val="24"/>
        </w:rPr>
        <w:t>" [Author's terms], "heart valve prostheses" [Mesh terms], "mechanical heart valves" [Author's terms] and "stroke” [Mesh terms].</w:t>
      </w:r>
      <w:proofErr w:type="gramEnd"/>
      <w:r w:rsidRPr="00F478FF">
        <w:rPr>
          <w:rFonts w:cs="Times New Roman"/>
          <w:szCs w:val="24"/>
        </w:rPr>
        <w:t xml:space="preserve"> </w:t>
      </w:r>
    </w:p>
    <w:p w14:paraId="680F8746" w14:textId="77777777" w:rsidR="00F478FF" w:rsidRPr="00F478FF" w:rsidRDefault="00F478FF" w:rsidP="00F478FF">
      <w:pPr>
        <w:ind w:right="-283" w:firstLine="708"/>
        <w:jc w:val="both"/>
        <w:rPr>
          <w:rFonts w:cs="Times New Roman"/>
          <w:szCs w:val="24"/>
        </w:rPr>
      </w:pPr>
      <w:r w:rsidRPr="00F478FF">
        <w:rPr>
          <w:rFonts w:cs="Times New Roman"/>
          <w:szCs w:val="24"/>
        </w:rPr>
        <w:t>For the refinement of the search, we combined the descriptors. Example search in PUBMED: 1) (((</w:t>
      </w:r>
      <w:proofErr w:type="spellStart"/>
      <w:r w:rsidRPr="00F478FF">
        <w:rPr>
          <w:rFonts w:cs="Times New Roman"/>
          <w:szCs w:val="24"/>
        </w:rPr>
        <w:t>apixaban</w:t>
      </w:r>
      <w:proofErr w:type="spellEnd"/>
      <w:r w:rsidRPr="00F478FF">
        <w:rPr>
          <w:rFonts w:cs="Times New Roman"/>
          <w:szCs w:val="24"/>
        </w:rPr>
        <w:t>) AND (warfarin)) AND (mechanical heart valves)) OR (</w:t>
      </w:r>
      <w:proofErr w:type="spellStart"/>
      <w:r w:rsidRPr="00F478FF">
        <w:rPr>
          <w:rFonts w:cs="Times New Roman"/>
          <w:szCs w:val="24"/>
        </w:rPr>
        <w:t>bioprostheses</w:t>
      </w:r>
      <w:proofErr w:type="spellEnd"/>
      <w:r w:rsidRPr="00F478FF">
        <w:rPr>
          <w:rFonts w:cs="Times New Roman"/>
          <w:szCs w:val="24"/>
        </w:rPr>
        <w:t>); (((dabigatran) AND (warfarin)) AND (mechanical heart valves)) OR (</w:t>
      </w:r>
      <w:proofErr w:type="spellStart"/>
      <w:r w:rsidRPr="00F478FF">
        <w:rPr>
          <w:rFonts w:cs="Times New Roman"/>
          <w:szCs w:val="24"/>
        </w:rPr>
        <w:t>bioprostheses</w:t>
      </w:r>
      <w:proofErr w:type="spellEnd"/>
      <w:r w:rsidRPr="00F478FF">
        <w:rPr>
          <w:rFonts w:cs="Times New Roman"/>
          <w:szCs w:val="24"/>
        </w:rPr>
        <w:t>); (((</w:t>
      </w:r>
      <w:proofErr w:type="spellStart"/>
      <w:r w:rsidRPr="00F478FF">
        <w:rPr>
          <w:rFonts w:cs="Times New Roman"/>
          <w:szCs w:val="24"/>
        </w:rPr>
        <w:t>edoxaban</w:t>
      </w:r>
      <w:proofErr w:type="spellEnd"/>
      <w:r w:rsidRPr="00F478FF">
        <w:rPr>
          <w:rFonts w:cs="Times New Roman"/>
          <w:szCs w:val="24"/>
        </w:rPr>
        <w:t>) AND (warfarin)) AND (mechanical heart valves)) OR (</w:t>
      </w:r>
      <w:proofErr w:type="spellStart"/>
      <w:r w:rsidRPr="00F478FF">
        <w:rPr>
          <w:rFonts w:cs="Times New Roman"/>
          <w:szCs w:val="24"/>
        </w:rPr>
        <w:t>bioprostheses</w:t>
      </w:r>
      <w:proofErr w:type="spellEnd"/>
      <w:r w:rsidRPr="00F478FF">
        <w:rPr>
          <w:rFonts w:cs="Times New Roman"/>
          <w:szCs w:val="24"/>
        </w:rPr>
        <w:t>); (((rivaroxaban) AND (warfarin)) AND (mechanical heart valves)) OR (</w:t>
      </w:r>
      <w:proofErr w:type="spellStart"/>
      <w:r w:rsidRPr="00F478FF">
        <w:rPr>
          <w:rFonts w:cs="Times New Roman"/>
          <w:szCs w:val="24"/>
        </w:rPr>
        <w:t>bioprostheses</w:t>
      </w:r>
      <w:proofErr w:type="spellEnd"/>
      <w:r w:rsidRPr="00F478FF">
        <w:rPr>
          <w:rFonts w:cs="Times New Roman"/>
          <w:szCs w:val="24"/>
        </w:rPr>
        <w:t xml:space="preserve">), and others. Language was not restricted. </w:t>
      </w:r>
    </w:p>
    <w:p w14:paraId="36C584BD" w14:textId="77777777" w:rsidR="00F478FF" w:rsidRPr="00F478FF" w:rsidRDefault="00F478FF" w:rsidP="00F478FF">
      <w:pPr>
        <w:ind w:right="-283" w:firstLine="708"/>
        <w:jc w:val="both"/>
        <w:rPr>
          <w:rFonts w:cs="Times New Roman"/>
          <w:szCs w:val="24"/>
        </w:rPr>
      </w:pPr>
      <w:r w:rsidRPr="00F478FF">
        <w:rPr>
          <w:rFonts w:cs="Times New Roman"/>
          <w:szCs w:val="24"/>
        </w:rPr>
        <w:t xml:space="preserve">All the search results </w:t>
      </w:r>
      <w:proofErr w:type="gramStart"/>
      <w:r w:rsidRPr="00F478FF">
        <w:rPr>
          <w:rFonts w:cs="Times New Roman"/>
          <w:szCs w:val="24"/>
        </w:rPr>
        <w:t>were downloaded</w:t>
      </w:r>
      <w:proofErr w:type="gramEnd"/>
      <w:r w:rsidRPr="00F478FF">
        <w:rPr>
          <w:rFonts w:cs="Times New Roman"/>
          <w:szCs w:val="24"/>
        </w:rPr>
        <w:t xml:space="preserve"> for further evaluation. Two of the authors (Bitar, Y. and </w:t>
      </w:r>
      <w:proofErr w:type="spellStart"/>
      <w:r w:rsidRPr="00F478FF">
        <w:rPr>
          <w:rFonts w:cs="Times New Roman"/>
          <w:szCs w:val="24"/>
        </w:rPr>
        <w:t>Duraes</w:t>
      </w:r>
      <w:proofErr w:type="spellEnd"/>
      <w:r w:rsidRPr="00F478FF">
        <w:rPr>
          <w:rFonts w:cs="Times New Roman"/>
          <w:szCs w:val="24"/>
        </w:rPr>
        <w:t xml:space="preserve">, A) performed the screening of titles and abstracts - a table with the English translation of all the titles and the English abstracts was reviewed. Both authors reviewed full-text articles, and determined their eligibility to access the trials for inclusion. The divergences </w:t>
      </w:r>
      <w:proofErr w:type="gramStart"/>
      <w:r w:rsidRPr="00F478FF">
        <w:rPr>
          <w:rFonts w:cs="Times New Roman"/>
          <w:szCs w:val="24"/>
        </w:rPr>
        <w:t>were resolved</w:t>
      </w:r>
      <w:proofErr w:type="gramEnd"/>
      <w:r w:rsidRPr="00F478FF">
        <w:rPr>
          <w:rFonts w:cs="Times New Roman"/>
          <w:szCs w:val="24"/>
        </w:rPr>
        <w:t xml:space="preserve"> by consensus discussion with a third author (</w:t>
      </w:r>
      <w:proofErr w:type="spellStart"/>
      <w:r w:rsidRPr="00F478FF">
        <w:rPr>
          <w:rFonts w:cs="Times New Roman"/>
          <w:szCs w:val="24"/>
        </w:rPr>
        <w:t>Neto</w:t>
      </w:r>
      <w:proofErr w:type="spellEnd"/>
      <w:r w:rsidRPr="00F478FF">
        <w:rPr>
          <w:rFonts w:cs="Times New Roman"/>
          <w:szCs w:val="24"/>
        </w:rPr>
        <w:t xml:space="preserve">, M). </w:t>
      </w:r>
    </w:p>
    <w:p w14:paraId="5282073F" w14:textId="77777777" w:rsidR="00F478FF" w:rsidRPr="00F478FF" w:rsidRDefault="00F478FF" w:rsidP="00F478FF">
      <w:pPr>
        <w:ind w:right="-283" w:firstLine="708"/>
        <w:jc w:val="both"/>
        <w:rPr>
          <w:rFonts w:cs="Times New Roman"/>
          <w:b/>
          <w:szCs w:val="24"/>
        </w:rPr>
      </w:pPr>
      <w:r w:rsidRPr="00F478FF">
        <w:rPr>
          <w:rFonts w:cs="Times New Roman"/>
          <w:b/>
          <w:szCs w:val="24"/>
        </w:rPr>
        <w:t>Eligibility Criteria</w:t>
      </w:r>
    </w:p>
    <w:p w14:paraId="615CEBC1" w14:textId="77777777" w:rsidR="00F478FF" w:rsidRPr="00F478FF" w:rsidRDefault="00F478FF" w:rsidP="00F478FF">
      <w:pPr>
        <w:ind w:right="-283" w:firstLine="708"/>
        <w:jc w:val="both"/>
        <w:rPr>
          <w:rFonts w:eastAsia="Times New Roman" w:cs="Times New Roman"/>
          <w:szCs w:val="24"/>
        </w:rPr>
      </w:pPr>
      <w:proofErr w:type="gramStart"/>
      <w:r w:rsidRPr="00F478FF">
        <w:rPr>
          <w:rFonts w:eastAsia="Times New Roman" w:cs="Times New Roman"/>
          <w:szCs w:val="24"/>
        </w:rPr>
        <w:t xml:space="preserve">The inclusion criteria were randomized clinical trials that analyzed the effects on efficacy - in the reduction of stroke and ES events - and safety - in reducing major bleeding rates and intracranial hemorrhage -, regarding the use of DOACs (Dabigatran, Rivaroxaban, </w:t>
      </w:r>
      <w:proofErr w:type="spellStart"/>
      <w:r w:rsidRPr="00F478FF">
        <w:rPr>
          <w:rFonts w:eastAsia="Times New Roman" w:cs="Times New Roman"/>
          <w:szCs w:val="24"/>
        </w:rPr>
        <w:t>Apixaban</w:t>
      </w:r>
      <w:proofErr w:type="spellEnd"/>
      <w:r w:rsidRPr="00F478FF">
        <w:rPr>
          <w:rFonts w:eastAsia="Times New Roman" w:cs="Times New Roman"/>
          <w:szCs w:val="24"/>
        </w:rPr>
        <w:t xml:space="preserve">, </w:t>
      </w:r>
      <w:proofErr w:type="spellStart"/>
      <w:r w:rsidRPr="00F478FF">
        <w:rPr>
          <w:rFonts w:eastAsia="Times New Roman" w:cs="Times New Roman"/>
          <w:szCs w:val="24"/>
        </w:rPr>
        <w:t>Edoxaban</w:t>
      </w:r>
      <w:proofErr w:type="spellEnd"/>
      <w:r w:rsidRPr="00F478FF">
        <w:rPr>
          <w:rFonts w:eastAsia="Times New Roman" w:cs="Times New Roman"/>
          <w:szCs w:val="24"/>
        </w:rPr>
        <w:t xml:space="preserve">, </w:t>
      </w:r>
      <w:proofErr w:type="spellStart"/>
      <w:r w:rsidRPr="00F478FF">
        <w:rPr>
          <w:rFonts w:eastAsia="Times New Roman" w:cs="Times New Roman"/>
          <w:szCs w:val="24"/>
        </w:rPr>
        <w:t>Betrixaban</w:t>
      </w:r>
      <w:proofErr w:type="spellEnd"/>
      <w:r w:rsidRPr="00F478FF">
        <w:rPr>
          <w:rFonts w:eastAsia="Times New Roman" w:cs="Times New Roman"/>
          <w:szCs w:val="24"/>
        </w:rPr>
        <w:t xml:space="preserve">), in comparison to the Warfarin in adult humans with AF and VHD (including MHV - with ≥ three months postoperatively - and </w:t>
      </w:r>
      <w:proofErr w:type="spellStart"/>
      <w:r w:rsidRPr="00F478FF">
        <w:rPr>
          <w:rFonts w:eastAsia="Times New Roman" w:cs="Times New Roman"/>
          <w:szCs w:val="24"/>
        </w:rPr>
        <w:t>bioprostheses</w:t>
      </w:r>
      <w:proofErr w:type="spellEnd"/>
      <w:r w:rsidRPr="00F478FF">
        <w:rPr>
          <w:rFonts w:eastAsia="Times New Roman" w:cs="Times New Roman"/>
          <w:szCs w:val="24"/>
        </w:rPr>
        <w:t>).</w:t>
      </w:r>
      <w:proofErr w:type="gramEnd"/>
    </w:p>
    <w:p w14:paraId="44CD2C38" w14:textId="77777777" w:rsidR="00F478FF" w:rsidRPr="00F478FF" w:rsidRDefault="00F478FF" w:rsidP="00F478FF">
      <w:pPr>
        <w:ind w:right="-283" w:firstLine="708"/>
        <w:jc w:val="both"/>
        <w:rPr>
          <w:rFonts w:eastAsia="Times New Roman" w:cs="Times New Roman"/>
          <w:szCs w:val="24"/>
        </w:rPr>
      </w:pPr>
      <w:r w:rsidRPr="00F478FF">
        <w:rPr>
          <w:rFonts w:cs="Times New Roman"/>
          <w:b/>
          <w:iCs/>
          <w:szCs w:val="24"/>
        </w:rPr>
        <w:t>Risk of Bias in Individual Studies</w:t>
      </w:r>
    </w:p>
    <w:p w14:paraId="0E2649C5" w14:textId="77777777" w:rsidR="00F478FF" w:rsidRPr="00F478FF" w:rsidRDefault="00F478FF" w:rsidP="00F478FF">
      <w:pPr>
        <w:autoSpaceDE w:val="0"/>
        <w:autoSpaceDN w:val="0"/>
        <w:adjustRightInd w:val="0"/>
        <w:spacing w:after="0"/>
        <w:ind w:firstLine="708"/>
        <w:jc w:val="both"/>
        <w:rPr>
          <w:rFonts w:cs="Times New Roman"/>
          <w:szCs w:val="24"/>
        </w:rPr>
      </w:pPr>
      <w:r w:rsidRPr="00F478FF">
        <w:rPr>
          <w:rFonts w:cs="Times New Roman"/>
          <w:szCs w:val="24"/>
        </w:rPr>
        <w:t>The modified Cochrane risk‐of‐bias tool evaluated the risk of bias and methodological quality assessment of included trials.</w:t>
      </w:r>
      <w:r w:rsidRPr="00F478FF">
        <w:rPr>
          <w:rFonts w:cs="Times New Roman"/>
          <w:b/>
          <w:szCs w:val="24"/>
        </w:rPr>
        <w:t xml:space="preserve"> </w:t>
      </w:r>
      <w:r w:rsidRPr="00F478FF">
        <w:rPr>
          <w:rFonts w:cs="Times New Roman"/>
          <w:szCs w:val="24"/>
        </w:rPr>
        <w:t>The following domains were evaluated:</w:t>
      </w:r>
      <w:r w:rsidRPr="00F478FF">
        <w:rPr>
          <w:rFonts w:cs="Times New Roman"/>
          <w:b/>
          <w:szCs w:val="24"/>
        </w:rPr>
        <w:t xml:space="preserve"> selection bias (</w:t>
      </w:r>
      <w:r w:rsidRPr="00F478FF">
        <w:rPr>
          <w:rFonts w:cs="Times New Roman"/>
          <w:szCs w:val="24"/>
        </w:rPr>
        <w:t xml:space="preserve">random sequence generation method and allocation concealment); </w:t>
      </w:r>
      <w:r w:rsidRPr="00F478FF">
        <w:rPr>
          <w:rFonts w:cs="Times New Roman"/>
          <w:b/>
          <w:szCs w:val="24"/>
        </w:rPr>
        <w:t>performance bias</w:t>
      </w:r>
      <w:r w:rsidRPr="00F478FF">
        <w:rPr>
          <w:rFonts w:cs="Times New Roman"/>
          <w:szCs w:val="24"/>
        </w:rPr>
        <w:t xml:space="preserve"> (blinding of participants and </w:t>
      </w:r>
      <w:r w:rsidRPr="00F478FF">
        <w:rPr>
          <w:rFonts w:cs="Times New Roman"/>
          <w:szCs w:val="24"/>
        </w:rPr>
        <w:lastRenderedPageBreak/>
        <w:t xml:space="preserve">personnel); </w:t>
      </w:r>
      <w:r w:rsidRPr="00F478FF">
        <w:rPr>
          <w:rFonts w:cs="Times New Roman"/>
          <w:b/>
          <w:szCs w:val="24"/>
        </w:rPr>
        <w:t>detection bias</w:t>
      </w:r>
      <w:r w:rsidRPr="00F478FF">
        <w:rPr>
          <w:rFonts w:cs="Times New Roman"/>
          <w:szCs w:val="24"/>
        </w:rPr>
        <w:t xml:space="preserve"> (blinding of outcome assessment); </w:t>
      </w:r>
      <w:r w:rsidRPr="00F478FF">
        <w:rPr>
          <w:rFonts w:cs="Times New Roman"/>
          <w:b/>
          <w:szCs w:val="24"/>
        </w:rPr>
        <w:t>attrition bias</w:t>
      </w:r>
      <w:r w:rsidRPr="00F478FF">
        <w:rPr>
          <w:rFonts w:cs="Times New Roman"/>
          <w:szCs w:val="24"/>
        </w:rPr>
        <w:t xml:space="preserve"> (incomplete outcome data); and </w:t>
      </w:r>
      <w:r w:rsidRPr="00F478FF">
        <w:rPr>
          <w:rFonts w:cs="Times New Roman"/>
          <w:b/>
          <w:szCs w:val="24"/>
        </w:rPr>
        <w:t>reporting bias</w:t>
      </w:r>
      <w:r w:rsidRPr="00F478FF">
        <w:rPr>
          <w:rFonts w:cs="Times New Roman"/>
          <w:szCs w:val="24"/>
        </w:rPr>
        <w:t xml:space="preserve"> (selective reporting).</w:t>
      </w:r>
      <w:r w:rsidRPr="00F478FF">
        <w:rPr>
          <w:rFonts w:cs="Times New Roman"/>
          <w:b/>
          <w:szCs w:val="24"/>
        </w:rPr>
        <w:fldChar w:fldCharType="begin" w:fldLock="1"/>
      </w:r>
      <w:r w:rsidRPr="00F478FF">
        <w:rPr>
          <w:rFonts w:cs="Times New Roman"/>
          <w:b/>
          <w:szCs w:val="24"/>
        </w:rPr>
        <w:instrText>ADDIN CSL_CITATION {"citationItems":[{"id":"ITEM-1","itemData":{"PMID":"22008217","author":[{"dropping-particle":"","family":"Higgins","given":"J","non-dropping-particle":"","parse-names":false,"suffix":""},{"dropping-particle":"","family":"Altman","given":"D","non-dropping-particle":"","parse-names":false,"suffix":""},{"dropping-particle":"","family":"Gotzsche","given":"P","non-dropping-particle":"","parse-names":false,"suffix":""},{"dropping-particle":"","family":"Juni","given":"P","non-dropping-particle":"","parse-names":false,"suffix":""},{"dropping-particle":"","family":"Moher","given":"D","non-dropping-particle":"","parse-names":false,"suffix":""},{"dropping-particle":"","family":"Oxman","given":"A","non-dropping-particle":"","parse-names":false,"suffix":""},{"dropping-particle":"","family":"Savovic","given":"J","non-dropping-particle":"","parse-names":false,"suffix":""},{"dropping-particle":"","family":"Schulz","given":"K","non-dropping-particle":"","parse-names":false,"suffix":""},{"dropping-particle":"","family":"Weeks","given":"L","non-dropping-particle":"","parse-names":false,"suffix":""},{"dropping-particle":"","family":"Sterne","given":"J","non-dropping-particle":"","parse-names":false,"suffix":""}],"container-title":"The Cochrane Collaboration","id":"ITEM-1","issued":{"date-parts":[["2011"]]},"publisher":"BMJ Publishing Group","title":"Chapter 8: Assessing Risk of Bias in Included Studies. Cochrane Handbook for Systematic Reviews of Interventions Version 5.1.0","type":"article-journal"},"uris":["http://www.mendeley.com/documents/?uuid=2630ed2d-b2a7-33c9-ad4f-0703ed5def7f"]}],"mendeley":{"formattedCitation":"(1)","plainTextFormattedCitation":"(1)","previouslyFormattedCitation":"(1)"},"properties":{"noteIndex":0},"schema":"https://github.com/citation-style-language/schema/raw/master/csl-citation.json"}</w:instrText>
      </w:r>
      <w:r w:rsidRPr="00F478FF">
        <w:rPr>
          <w:rFonts w:cs="Times New Roman"/>
          <w:b/>
          <w:szCs w:val="24"/>
        </w:rPr>
        <w:fldChar w:fldCharType="separate"/>
      </w:r>
      <w:r w:rsidRPr="00F478FF">
        <w:rPr>
          <w:rFonts w:cs="Times New Roman"/>
          <w:noProof/>
          <w:szCs w:val="24"/>
        </w:rPr>
        <w:t>(1)</w:t>
      </w:r>
      <w:r w:rsidRPr="00F478FF">
        <w:rPr>
          <w:rFonts w:cs="Times New Roman"/>
          <w:b/>
          <w:szCs w:val="24"/>
        </w:rPr>
        <w:fldChar w:fldCharType="end"/>
      </w:r>
      <w:r w:rsidRPr="00F478FF">
        <w:rPr>
          <w:rFonts w:cs="Times New Roman"/>
          <w:b/>
          <w:szCs w:val="24"/>
        </w:rPr>
        <w:t xml:space="preserve"> </w:t>
      </w:r>
      <w:r w:rsidRPr="00F478FF">
        <w:rPr>
          <w:rFonts w:cs="Times New Roman"/>
          <w:szCs w:val="24"/>
        </w:rPr>
        <w:t>The quality of each item was classified using a nominal scale: “Yes” (low risk of bias), “No” (high risk of bias) or “Unclear” (unclear risk of bias).</w:t>
      </w:r>
    </w:p>
    <w:p w14:paraId="6DE8D3D8" w14:textId="77777777" w:rsidR="00F478FF" w:rsidRPr="00F478FF" w:rsidRDefault="00F478FF" w:rsidP="00F478FF">
      <w:pPr>
        <w:autoSpaceDE w:val="0"/>
        <w:autoSpaceDN w:val="0"/>
        <w:adjustRightInd w:val="0"/>
        <w:spacing w:after="0"/>
        <w:ind w:firstLine="708"/>
        <w:jc w:val="both"/>
        <w:rPr>
          <w:rFonts w:cs="Times New Roman"/>
          <w:szCs w:val="24"/>
        </w:rPr>
      </w:pPr>
    </w:p>
    <w:p w14:paraId="1813F809" w14:textId="77777777" w:rsidR="00F478FF" w:rsidRPr="00F478FF" w:rsidRDefault="00F478FF" w:rsidP="00F478FF">
      <w:pPr>
        <w:autoSpaceDE w:val="0"/>
        <w:autoSpaceDN w:val="0"/>
        <w:adjustRightInd w:val="0"/>
        <w:spacing w:after="0"/>
        <w:ind w:firstLine="708"/>
        <w:jc w:val="both"/>
        <w:rPr>
          <w:rFonts w:cs="Times New Roman"/>
          <w:szCs w:val="24"/>
        </w:rPr>
      </w:pPr>
      <w:r w:rsidRPr="00F478FF">
        <w:rPr>
          <w:rFonts w:eastAsia="Times New Roman" w:cs="Times New Roman"/>
          <w:b/>
          <w:iCs/>
          <w:szCs w:val="24"/>
        </w:rPr>
        <w:t>Certainty in the evidence and strength of recommendations</w:t>
      </w:r>
    </w:p>
    <w:p w14:paraId="511F40C5" w14:textId="77777777" w:rsidR="00F478FF" w:rsidRPr="00F478FF" w:rsidRDefault="00F478FF" w:rsidP="00F478FF">
      <w:pPr>
        <w:ind w:firstLine="708"/>
        <w:jc w:val="both"/>
        <w:rPr>
          <w:rFonts w:cs="Times New Roman"/>
          <w:szCs w:val="24"/>
        </w:rPr>
      </w:pPr>
      <w:r w:rsidRPr="00F478FF">
        <w:rPr>
          <w:rFonts w:eastAsia="Times New Roman" w:cs="Times New Roman"/>
          <w:szCs w:val="24"/>
        </w:rPr>
        <w:t xml:space="preserve">In our meta-analysis, we assessed the certainty of evidence and strength of recommendations for the outcomes of stroke and SE composition, the presence of major bleeding and intracranial hemorrhage after the use of DOACs and Warfarin by using the </w:t>
      </w:r>
      <w:proofErr w:type="spellStart"/>
      <w:r w:rsidRPr="00F478FF">
        <w:rPr>
          <w:rFonts w:eastAsia="Times New Roman" w:cs="Times New Roman"/>
          <w:szCs w:val="24"/>
        </w:rPr>
        <w:t>GRADEpro</w:t>
      </w:r>
      <w:proofErr w:type="spellEnd"/>
      <w:r w:rsidRPr="00F478FF">
        <w:rPr>
          <w:rFonts w:eastAsia="Times New Roman" w:cs="Times New Roman"/>
          <w:szCs w:val="24"/>
        </w:rPr>
        <w:t xml:space="preserve"> (Grading of Recommendations, Assessment, Development and Evaluation profiler) software.</w:t>
      </w:r>
      <w:r w:rsidRPr="00F478FF">
        <w:rPr>
          <w:rFonts w:eastAsia="Times New Roman" w:cs="Times New Roman"/>
          <w:szCs w:val="24"/>
        </w:rPr>
        <w:fldChar w:fldCharType="begin" w:fldLock="1"/>
      </w:r>
      <w:r w:rsidRPr="00F478FF">
        <w:rPr>
          <w:rFonts w:eastAsia="Times New Roman" w:cs="Times New Roman"/>
          <w:szCs w:val="24"/>
        </w:rPr>
        <w:instrText>ADDIN CSL_CITATION {"citationItems":[{"id":"ITEM-1","itemData":{"DOI":"10.1136/bmj.39500.677199.AE","PMID":"18483053","author":[{"dropping-particle":"","family":"Schünemann","given":"Holger J","non-dropping-particle":"","parse-names":false,"suffix":""},{"dropping-particle":"","family":"Schünemann","given":"A Holger J","non-dropping-particle":"","parse-names":false,"suffix":""},{"dropping-particle":"","family":"Oxman","given":"Andrew D","non-dropping-particle":"","parse-names":false,"suffix":""},{"dropping-particle":"","family":"Brozek","given":"Jan","non-dropping-particle":"","parse-names":false,"suffix":""},{"dropping-particle":"","family":"Glasziou","given":"Paul","non-dropping-particle":"","parse-names":false,"suffix":""},{"dropping-particle":"","family":"Jaeschke","given":"Roman","non-dropping-particle":"","parse-names":false,"suffix":""},{"dropping-particle":"","family":"Vist","given":"Gunn E","non-dropping-particle":"","parse-names":false,"suffix":""},{"dropping-particle":"","family":"Williams","given":"John W","non-dropping-particle":"","parse-names":false,"suffix":""},{"dropping-particle":"","family":"Kunz","given":"Regina","non-dropping-particle":"","parse-names":false,"suffix":""},{"dropping-particle":"","family":"Craig","given":"Jonathan","non-dropping-particle":"","parse-names":false,"suffix":""},{"dropping-particle":"","family":"Montori","given":"Victor M","non-dropping-particle":"","parse-names":false,"suffix":""},{"dropping-particle":"","family":"Bossuyt","given":"Patrick","non-dropping-particle":"","parse-names":false,"suffix":""},{"dropping-particle":"","family":"Guyatt","given":"Gordon H","non-dropping-particle":"","parse-names":false,"suffix":""},{"dropping-particle":"","family":"GRADE Working Group","given":"","non-dropping-particle":"","parse-names":false,"suffix":""}],"container-title":"BMJ (Clinical research ed.)","id":"ITEM-1","issue":"7653","issued":{"date-parts":[["2008","5","17"]]},"page":"1106-10","publisher":"BMJ Publishing Group","title":"Grading quality of evidence and strength of recommendations for diagnostic tests and strategies.","type":"article-journal","volume":"336"},"uris":["http://www.mendeley.com/documents/?uuid=76f511d8-e2aa-375a-81f3-c919432ab4e3"]}],"mendeley":{"formattedCitation":"(2)","plainTextFormattedCitation":"(2)","previouslyFormattedCitation":"(2)"},"properties":{"noteIndex":0},"schema":"https://github.com/citation-style-language/schema/raw/master/csl-citation.json"}</w:instrText>
      </w:r>
      <w:r w:rsidRPr="00F478FF">
        <w:rPr>
          <w:rFonts w:eastAsia="Times New Roman" w:cs="Times New Roman"/>
          <w:szCs w:val="24"/>
        </w:rPr>
        <w:fldChar w:fldCharType="separate"/>
      </w:r>
      <w:r w:rsidRPr="00F478FF">
        <w:rPr>
          <w:rFonts w:eastAsia="Times New Roman" w:cs="Times New Roman"/>
          <w:noProof/>
          <w:szCs w:val="24"/>
        </w:rPr>
        <w:t>(2)</w:t>
      </w:r>
      <w:r w:rsidRPr="00F478FF">
        <w:rPr>
          <w:rFonts w:eastAsia="Times New Roman" w:cs="Times New Roman"/>
          <w:szCs w:val="24"/>
        </w:rPr>
        <w:fldChar w:fldCharType="end"/>
      </w:r>
      <w:r w:rsidRPr="00F478FF">
        <w:rPr>
          <w:rFonts w:eastAsia="Times New Roman" w:cs="Times New Roman"/>
          <w:szCs w:val="24"/>
        </w:rPr>
        <w:t xml:space="preserve"> T</w:t>
      </w:r>
      <w:r w:rsidRPr="00F478FF">
        <w:rPr>
          <w:rFonts w:cs="Times New Roman"/>
          <w:szCs w:val="24"/>
        </w:rPr>
        <w:t>he GRADE approach classifies evidence as high, moderate, low, or very low quality based on the following considerations: risk of bias, consistency, directness, precision, and publication bias.</w:t>
      </w:r>
      <w:r w:rsidRPr="00F478FF">
        <w:rPr>
          <w:rFonts w:cs="Times New Roman"/>
          <w:szCs w:val="24"/>
        </w:rPr>
        <w:fldChar w:fldCharType="begin" w:fldLock="1"/>
      </w:r>
      <w:r w:rsidRPr="00F478FF">
        <w:rPr>
          <w:rFonts w:cs="Times New Roman"/>
          <w:szCs w:val="24"/>
        </w:rPr>
        <w:instrText>ADDIN CSL_CITATION {"citationItems":[{"id":"ITEM-1","itemData":{"DOI":"10.1136/bmj.39493.646875.AE","PMID":"18467413","author":[{"dropping-particle":"","family":"Guyatt","given":"Gordon H","non-dropping-particle":"","parse-names":false,"suffix":""},{"dropping-particle":"","family":"Oxman","given":"Andrew D","non-dropping-particle":"","parse-names":false,"suffix":""},{"dropping-particle":"","family":"Kunz","given":"Regina","non-dropping-particle":"","parse-names":false,"suffix":""},{"dropping-particle":"","family":"Falck-Ytter","given":"Yngve","non-dropping-particle":"","parse-names":false,"suffix":""},{"dropping-particle":"","family":"Vist","given":"Gunn E","non-dropping-particle":"","parse-names":false,"suffix":""},{"dropping-particle":"","family":"Liberati","given":"Alessandro","non-dropping-particle":"","parse-names":false,"suffix":""},{"dropping-particle":"","family":"Schünemann","given":"Holger J","non-dropping-particle":"","parse-names":false,"suffix":""},{"dropping-particle":"","family":"GRADE Working Group","given":"","non-dropping-particle":"","parse-names":false,"suffix":""}],"container-title":"BMJ (Clinical research ed.)","id":"ITEM-1","issue":"7652","issued":{"date-parts":[["2008","5","10"]]},"page":"1049-51","publisher":"BMJ Publishing Group","title":"Going from evidence to recommendations.","type":"article-journal","volume":"336"},"uris":["http://www.mendeley.com/documents/?uuid=cd8f49d9-1dd5-39de-b53e-709fa0c0bda1"]}],"mendeley":{"formattedCitation":"(3)","plainTextFormattedCitation":"(3)","previouslyFormattedCitation":"(3)"},"properties":{"noteIndex":0},"schema":"https://github.com/citation-style-language/schema/raw/master/csl-citation.json"}</w:instrText>
      </w:r>
      <w:r w:rsidRPr="00F478FF">
        <w:rPr>
          <w:rFonts w:cs="Times New Roman"/>
          <w:szCs w:val="24"/>
        </w:rPr>
        <w:fldChar w:fldCharType="separate"/>
      </w:r>
      <w:r w:rsidRPr="00F478FF">
        <w:rPr>
          <w:rFonts w:cs="Times New Roman"/>
          <w:noProof/>
          <w:szCs w:val="24"/>
        </w:rPr>
        <w:t>(3)</w:t>
      </w:r>
      <w:r w:rsidRPr="00F478FF">
        <w:rPr>
          <w:rFonts w:cs="Times New Roman"/>
          <w:szCs w:val="24"/>
        </w:rPr>
        <w:fldChar w:fldCharType="end"/>
      </w:r>
      <w:r w:rsidRPr="00F478FF">
        <w:rPr>
          <w:rFonts w:cs="Times New Roman"/>
          <w:szCs w:val="24"/>
        </w:rPr>
        <w:t xml:space="preserve"> </w:t>
      </w:r>
      <w:r w:rsidRPr="00F478FF">
        <w:rPr>
          <w:rFonts w:eastAsia="Times New Roman" w:cs="Times New Roman"/>
          <w:szCs w:val="24"/>
        </w:rPr>
        <w:t xml:space="preserve"> The quality of evidence </w:t>
      </w:r>
      <w:proofErr w:type="gramStart"/>
      <w:r w:rsidRPr="00F478FF">
        <w:rPr>
          <w:rFonts w:eastAsia="Times New Roman" w:cs="Times New Roman"/>
          <w:szCs w:val="24"/>
        </w:rPr>
        <w:t>was interpreted</w:t>
      </w:r>
      <w:proofErr w:type="gramEnd"/>
      <w:r w:rsidRPr="00F478FF">
        <w:rPr>
          <w:rFonts w:eastAsia="Times New Roman" w:cs="Times New Roman"/>
          <w:szCs w:val="24"/>
        </w:rPr>
        <w:t xml:space="preserve"> as high quality, moderate quality, low quality or very low quality. </w:t>
      </w:r>
    </w:p>
    <w:p w14:paraId="370494B1" w14:textId="77777777" w:rsidR="00F478FF" w:rsidRPr="00F478FF" w:rsidRDefault="00F478FF" w:rsidP="00F478FF">
      <w:pPr>
        <w:autoSpaceDE w:val="0"/>
        <w:autoSpaceDN w:val="0"/>
        <w:adjustRightInd w:val="0"/>
        <w:spacing w:after="0"/>
        <w:jc w:val="both"/>
        <w:rPr>
          <w:rFonts w:cs="Times New Roman"/>
          <w:b/>
          <w:szCs w:val="24"/>
        </w:rPr>
      </w:pPr>
    </w:p>
    <w:p w14:paraId="45C91CF2" w14:textId="77777777" w:rsidR="00F478FF" w:rsidRDefault="00F478FF" w:rsidP="00F478FF">
      <w:pPr>
        <w:ind w:right="-283" w:firstLine="708"/>
        <w:jc w:val="both"/>
        <w:rPr>
          <w:rFonts w:cs="Times New Roman"/>
          <w:szCs w:val="24"/>
        </w:rPr>
      </w:pPr>
    </w:p>
    <w:p w14:paraId="3AE373DF" w14:textId="77777777" w:rsidR="00F478FF" w:rsidRDefault="00F478FF" w:rsidP="00F478FF">
      <w:pPr>
        <w:ind w:right="-283" w:firstLine="708"/>
        <w:jc w:val="both"/>
        <w:rPr>
          <w:rFonts w:cs="Times New Roman"/>
          <w:szCs w:val="24"/>
        </w:rPr>
      </w:pPr>
    </w:p>
    <w:p w14:paraId="42E100AD" w14:textId="77777777" w:rsidR="00F478FF" w:rsidRDefault="00F478FF" w:rsidP="00F478FF">
      <w:pPr>
        <w:ind w:right="-283" w:firstLine="708"/>
        <w:jc w:val="both"/>
        <w:rPr>
          <w:rFonts w:cs="Times New Roman"/>
          <w:szCs w:val="24"/>
        </w:rPr>
      </w:pPr>
    </w:p>
    <w:p w14:paraId="4CE3D320" w14:textId="77777777" w:rsidR="00F478FF" w:rsidRDefault="00F478FF" w:rsidP="00F478FF">
      <w:pPr>
        <w:ind w:right="-283" w:firstLine="708"/>
        <w:jc w:val="both"/>
        <w:rPr>
          <w:rFonts w:cs="Times New Roman"/>
          <w:szCs w:val="24"/>
        </w:rPr>
      </w:pPr>
    </w:p>
    <w:p w14:paraId="5B274A24" w14:textId="77777777" w:rsidR="00F478FF" w:rsidRDefault="00F478FF" w:rsidP="00F478FF">
      <w:pPr>
        <w:ind w:right="-283" w:firstLine="708"/>
        <w:jc w:val="both"/>
        <w:rPr>
          <w:rFonts w:cs="Times New Roman"/>
          <w:szCs w:val="24"/>
        </w:rPr>
      </w:pPr>
    </w:p>
    <w:p w14:paraId="0D5426EA" w14:textId="77777777" w:rsidR="00F478FF" w:rsidRDefault="00F478FF" w:rsidP="00F478FF">
      <w:pPr>
        <w:ind w:right="-283" w:firstLine="708"/>
        <w:jc w:val="both"/>
        <w:rPr>
          <w:rFonts w:cs="Times New Roman"/>
          <w:szCs w:val="24"/>
        </w:rPr>
      </w:pPr>
    </w:p>
    <w:p w14:paraId="70659EB2" w14:textId="77777777" w:rsidR="00F478FF" w:rsidRDefault="00F478FF" w:rsidP="00F478FF">
      <w:pPr>
        <w:ind w:right="-283" w:firstLine="708"/>
        <w:jc w:val="both"/>
        <w:rPr>
          <w:rFonts w:cs="Times New Roman"/>
          <w:szCs w:val="24"/>
        </w:rPr>
      </w:pPr>
    </w:p>
    <w:p w14:paraId="0585FBA4" w14:textId="77777777" w:rsidR="00F478FF" w:rsidRDefault="00F478FF" w:rsidP="00F478FF">
      <w:pPr>
        <w:ind w:right="-283" w:firstLine="708"/>
        <w:jc w:val="both"/>
        <w:rPr>
          <w:rFonts w:cs="Times New Roman"/>
          <w:szCs w:val="24"/>
        </w:rPr>
      </w:pPr>
    </w:p>
    <w:p w14:paraId="0013887E" w14:textId="77777777" w:rsidR="00F478FF" w:rsidRDefault="00F478FF" w:rsidP="00F478FF">
      <w:pPr>
        <w:ind w:right="-283" w:firstLine="708"/>
        <w:jc w:val="both"/>
        <w:rPr>
          <w:rFonts w:cs="Times New Roman"/>
          <w:szCs w:val="24"/>
        </w:rPr>
      </w:pPr>
    </w:p>
    <w:p w14:paraId="0867E8F3" w14:textId="77777777" w:rsidR="00F478FF" w:rsidRDefault="00F478FF" w:rsidP="00F478FF">
      <w:pPr>
        <w:ind w:right="-283" w:firstLine="708"/>
        <w:jc w:val="both"/>
        <w:rPr>
          <w:rFonts w:cs="Times New Roman"/>
          <w:szCs w:val="24"/>
        </w:rPr>
      </w:pPr>
    </w:p>
    <w:p w14:paraId="156054F9" w14:textId="77777777" w:rsidR="00F478FF" w:rsidRDefault="00F478FF" w:rsidP="00F478FF">
      <w:pPr>
        <w:ind w:right="-283" w:firstLine="708"/>
        <w:jc w:val="both"/>
        <w:rPr>
          <w:rFonts w:cs="Times New Roman"/>
          <w:szCs w:val="24"/>
        </w:rPr>
      </w:pPr>
    </w:p>
    <w:p w14:paraId="2BA89969" w14:textId="77777777" w:rsidR="00F478FF" w:rsidRDefault="00F478FF" w:rsidP="00F478FF">
      <w:pPr>
        <w:ind w:right="-283" w:firstLine="708"/>
        <w:jc w:val="both"/>
        <w:rPr>
          <w:rFonts w:cs="Times New Roman"/>
          <w:szCs w:val="24"/>
        </w:rPr>
      </w:pPr>
    </w:p>
    <w:p w14:paraId="7E122754" w14:textId="77777777" w:rsidR="00F478FF" w:rsidRDefault="00F478FF" w:rsidP="00F478FF">
      <w:pPr>
        <w:ind w:right="-283" w:firstLine="708"/>
        <w:jc w:val="both"/>
        <w:rPr>
          <w:rFonts w:cs="Times New Roman"/>
          <w:szCs w:val="24"/>
        </w:rPr>
      </w:pPr>
    </w:p>
    <w:p w14:paraId="197BB582" w14:textId="77777777" w:rsidR="00F478FF" w:rsidRDefault="00F478FF" w:rsidP="00F478FF">
      <w:pPr>
        <w:ind w:right="-283" w:firstLine="708"/>
        <w:jc w:val="both"/>
        <w:rPr>
          <w:rFonts w:cs="Times New Roman"/>
          <w:szCs w:val="24"/>
        </w:rPr>
      </w:pPr>
    </w:p>
    <w:p w14:paraId="39EEF699" w14:textId="77777777" w:rsidR="00F478FF" w:rsidRPr="00F478FF" w:rsidRDefault="00F478FF" w:rsidP="00F478FF">
      <w:pPr>
        <w:ind w:right="-283" w:firstLine="708"/>
        <w:jc w:val="both"/>
        <w:rPr>
          <w:rFonts w:cs="Times New Roman"/>
          <w:szCs w:val="24"/>
        </w:rPr>
      </w:pPr>
    </w:p>
    <w:p w14:paraId="4F68572A" w14:textId="77777777" w:rsidR="00F478FF" w:rsidRDefault="00F478FF" w:rsidP="00F478FF">
      <w:pPr>
        <w:ind w:right="-283" w:firstLine="708"/>
        <w:jc w:val="both"/>
        <w:rPr>
          <w:rFonts w:cs="Times New Roman"/>
          <w:szCs w:val="24"/>
        </w:rPr>
      </w:pPr>
    </w:p>
    <w:p w14:paraId="1F77122B" w14:textId="77777777" w:rsidR="00F478FF" w:rsidRPr="00F478FF" w:rsidRDefault="00F478FF" w:rsidP="00F478FF">
      <w:pPr>
        <w:ind w:right="-283" w:firstLine="708"/>
        <w:jc w:val="both"/>
        <w:rPr>
          <w:rFonts w:cs="Times New Roman"/>
          <w:szCs w:val="24"/>
        </w:rPr>
      </w:pPr>
    </w:p>
    <w:p w14:paraId="70E4CBA2" w14:textId="77777777" w:rsidR="00F478FF" w:rsidRPr="00F478FF" w:rsidRDefault="00F478FF" w:rsidP="00F478FF">
      <w:pPr>
        <w:ind w:left="-454" w:right="-397"/>
        <w:jc w:val="both"/>
        <w:rPr>
          <w:rFonts w:cs="Times New Roman"/>
          <w:szCs w:val="24"/>
        </w:rPr>
      </w:pPr>
      <w:r w:rsidRPr="00F478FF">
        <w:rPr>
          <w:rFonts w:cs="Times New Roman"/>
          <w:b/>
          <w:szCs w:val="24"/>
        </w:rPr>
        <w:lastRenderedPageBreak/>
        <w:t xml:space="preserve">File </w:t>
      </w:r>
      <w:proofErr w:type="gramStart"/>
      <w:r w:rsidRPr="00F478FF">
        <w:rPr>
          <w:rFonts w:cs="Times New Roman"/>
          <w:b/>
          <w:szCs w:val="24"/>
        </w:rPr>
        <w:t>3</w:t>
      </w:r>
      <w:proofErr w:type="gramEnd"/>
      <w:r w:rsidRPr="00F478FF">
        <w:rPr>
          <w:rFonts w:cs="Times New Roman"/>
          <w:b/>
          <w:szCs w:val="24"/>
        </w:rPr>
        <w:t xml:space="preserve">. Table E1. </w:t>
      </w:r>
      <w:r w:rsidRPr="00F478FF">
        <w:rPr>
          <w:rFonts w:cs="Times New Roman"/>
          <w:szCs w:val="24"/>
        </w:rPr>
        <w:t>Summary of the main characteristics of studies involving the use of DOACs in patients with AF and VHD included in the present systematic review. (n = 8)</w:t>
      </w:r>
    </w:p>
    <w:tbl>
      <w:tblPr>
        <w:tblStyle w:val="SombreamentoClaro1"/>
        <w:tblW w:w="5438" w:type="pct"/>
        <w:tblInd w:w="-426" w:type="dxa"/>
        <w:tblLayout w:type="fixed"/>
        <w:tblLook w:val="04A0" w:firstRow="1" w:lastRow="0" w:firstColumn="1" w:lastColumn="0" w:noHBand="0" w:noVBand="1"/>
      </w:tblPr>
      <w:tblGrid>
        <w:gridCol w:w="1533"/>
        <w:gridCol w:w="2118"/>
        <w:gridCol w:w="2767"/>
        <w:gridCol w:w="2773"/>
        <w:gridCol w:w="1442"/>
      </w:tblGrid>
      <w:tr w:rsidR="00F478FF" w:rsidRPr="00902108" w14:paraId="536E7EB0" w14:textId="77777777" w:rsidTr="00F478FF">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721" w:type="pct"/>
            <w:shd w:val="clear" w:color="auto" w:fill="4A442A" w:themeFill="background2" w:themeFillShade="40"/>
            <w:noWrap/>
          </w:tcPr>
          <w:p w14:paraId="1464FCD7" w14:textId="77777777" w:rsidR="00F478FF" w:rsidRPr="00F478FF" w:rsidRDefault="00F478FF" w:rsidP="001263A3">
            <w:pPr>
              <w:jc w:val="center"/>
              <w:rPr>
                <w:rFonts w:eastAsiaTheme="minorEastAsia" w:cs="Times New Roman"/>
                <w:color w:val="FFFFFF" w:themeColor="background1"/>
                <w:sz w:val="20"/>
                <w:szCs w:val="20"/>
                <w:lang w:val="en-US"/>
              </w:rPr>
            </w:pPr>
            <w:r w:rsidRPr="00F478FF">
              <w:rPr>
                <w:rFonts w:eastAsiaTheme="minorEastAsia" w:cs="Times New Roman"/>
                <w:color w:val="FFFFFF" w:themeColor="background1"/>
                <w:sz w:val="20"/>
                <w:szCs w:val="20"/>
                <w:lang w:val="en-US"/>
              </w:rPr>
              <w:t>Reference</w:t>
            </w:r>
          </w:p>
        </w:tc>
        <w:tc>
          <w:tcPr>
            <w:tcW w:w="996" w:type="pct"/>
            <w:shd w:val="clear" w:color="auto" w:fill="4A442A" w:themeFill="background2" w:themeFillShade="40"/>
          </w:tcPr>
          <w:p w14:paraId="014488AB" w14:textId="77777777" w:rsidR="00F478FF" w:rsidRPr="00F478FF" w:rsidRDefault="00F478FF" w:rsidP="001263A3">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color w:val="FFFFFF" w:themeColor="background1"/>
                <w:sz w:val="20"/>
                <w:szCs w:val="20"/>
                <w:lang w:val="en-US"/>
              </w:rPr>
            </w:pPr>
            <w:r w:rsidRPr="00F478FF">
              <w:rPr>
                <w:rFonts w:eastAsiaTheme="minorEastAsia" w:cs="Times New Roman"/>
                <w:color w:val="FFFFFF" w:themeColor="background1"/>
                <w:sz w:val="20"/>
                <w:szCs w:val="20"/>
                <w:lang w:val="en-US"/>
              </w:rPr>
              <w:t>Study Design</w:t>
            </w:r>
          </w:p>
        </w:tc>
        <w:tc>
          <w:tcPr>
            <w:tcW w:w="1301" w:type="pct"/>
            <w:shd w:val="clear" w:color="auto" w:fill="4A442A" w:themeFill="background2" w:themeFillShade="40"/>
          </w:tcPr>
          <w:p w14:paraId="3D3BC351" w14:textId="77777777" w:rsidR="00F478FF" w:rsidRPr="00F478FF" w:rsidRDefault="00F478FF" w:rsidP="001263A3">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color w:val="FFFFFF" w:themeColor="background1"/>
                <w:sz w:val="20"/>
                <w:szCs w:val="20"/>
                <w:lang w:val="en-US"/>
              </w:rPr>
            </w:pPr>
            <w:r w:rsidRPr="00F478FF">
              <w:rPr>
                <w:rFonts w:eastAsiaTheme="minorEastAsia" w:cs="Times New Roman"/>
                <w:color w:val="FFFFFF" w:themeColor="background1"/>
                <w:sz w:val="20"/>
                <w:szCs w:val="20"/>
                <w:lang w:val="en-US"/>
              </w:rPr>
              <w:t>Intervention</w:t>
            </w:r>
          </w:p>
        </w:tc>
        <w:tc>
          <w:tcPr>
            <w:tcW w:w="1304" w:type="pct"/>
            <w:shd w:val="clear" w:color="auto" w:fill="4A442A" w:themeFill="background2" w:themeFillShade="40"/>
          </w:tcPr>
          <w:p w14:paraId="38C0C0EF" w14:textId="77777777" w:rsidR="00F478FF" w:rsidRPr="00F478FF" w:rsidRDefault="00F478FF" w:rsidP="001263A3">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color w:val="FFFFFF" w:themeColor="background1"/>
                <w:sz w:val="20"/>
                <w:szCs w:val="20"/>
                <w:lang w:val="en-US"/>
              </w:rPr>
            </w:pPr>
            <w:r w:rsidRPr="00F478FF">
              <w:rPr>
                <w:rFonts w:eastAsiaTheme="minorEastAsia" w:cs="Times New Roman"/>
                <w:color w:val="FFFFFF" w:themeColor="background1"/>
                <w:sz w:val="20"/>
                <w:szCs w:val="20"/>
                <w:lang w:val="en-US"/>
              </w:rPr>
              <w:t>Sample / Randomization</w:t>
            </w:r>
          </w:p>
        </w:tc>
        <w:tc>
          <w:tcPr>
            <w:tcW w:w="678" w:type="pct"/>
            <w:shd w:val="clear" w:color="auto" w:fill="4A442A" w:themeFill="background2" w:themeFillShade="40"/>
          </w:tcPr>
          <w:p w14:paraId="55B67334" w14:textId="77777777" w:rsidR="00F478FF" w:rsidRPr="00F478FF" w:rsidRDefault="00F478FF" w:rsidP="001263A3">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color w:val="FFFFFF" w:themeColor="background1"/>
                <w:sz w:val="20"/>
                <w:szCs w:val="20"/>
                <w:lang w:val="en-US"/>
              </w:rPr>
            </w:pPr>
            <w:r w:rsidRPr="00F478FF">
              <w:rPr>
                <w:rFonts w:eastAsiaTheme="minorEastAsia" w:cs="Times New Roman"/>
                <w:color w:val="FFFFFF" w:themeColor="background1"/>
                <w:sz w:val="20"/>
                <w:szCs w:val="20"/>
                <w:lang w:val="en-US"/>
              </w:rPr>
              <w:t>VHD</w:t>
            </w:r>
          </w:p>
        </w:tc>
      </w:tr>
      <w:tr w:rsidR="00F478FF" w:rsidRPr="00DE6F90" w14:paraId="3E3A279F" w14:textId="77777777" w:rsidTr="00F478FF">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721" w:type="pct"/>
            <w:tcBorders>
              <w:bottom w:val="nil"/>
            </w:tcBorders>
            <w:shd w:val="clear" w:color="auto" w:fill="F2F2F2" w:themeFill="background1" w:themeFillShade="F2"/>
            <w:noWrap/>
          </w:tcPr>
          <w:p w14:paraId="50FEF5E3" w14:textId="77777777" w:rsidR="00F478FF" w:rsidRDefault="00F478FF" w:rsidP="001263A3">
            <w:pPr>
              <w:jc w:val="center"/>
              <w:rPr>
                <w:rFonts w:eastAsiaTheme="minorEastAsia" w:cs="Times New Roman"/>
                <w:sz w:val="20"/>
                <w:szCs w:val="20"/>
                <w:lang w:val="en-US"/>
              </w:rPr>
            </w:pPr>
            <w:r w:rsidRPr="00D04E53">
              <w:rPr>
                <w:rFonts w:eastAsiaTheme="minorEastAsia" w:cs="Times New Roman"/>
                <w:color w:val="auto"/>
                <w:sz w:val="20"/>
                <w:szCs w:val="20"/>
                <w:lang w:val="en-US"/>
              </w:rPr>
              <w:br/>
            </w:r>
            <w:proofErr w:type="spellStart"/>
            <w:r w:rsidRPr="00D04E53">
              <w:rPr>
                <w:rFonts w:eastAsiaTheme="minorEastAsia" w:cs="Times New Roman"/>
                <w:color w:val="auto"/>
                <w:sz w:val="20"/>
                <w:szCs w:val="20"/>
                <w:lang w:val="en-US"/>
              </w:rPr>
              <w:t>Eikelboom</w:t>
            </w:r>
            <w:proofErr w:type="spellEnd"/>
            <w:r w:rsidRPr="00D04E53">
              <w:rPr>
                <w:rFonts w:eastAsiaTheme="minorEastAsia" w:cs="Times New Roman"/>
                <w:color w:val="auto"/>
                <w:sz w:val="20"/>
                <w:szCs w:val="20"/>
                <w:lang w:val="en-US"/>
              </w:rPr>
              <w:t xml:space="preserve"> et al.2013</w:t>
            </w:r>
            <w:r w:rsidRPr="00D04E53">
              <w:rPr>
                <w:rFonts w:eastAsiaTheme="minorEastAsia" w:cs="Times New Roman"/>
                <w:sz w:val="20"/>
                <w:szCs w:val="20"/>
                <w:lang w:val="en-US"/>
              </w:rPr>
              <w:fldChar w:fldCharType="begin" w:fldLock="1"/>
            </w:r>
            <w:r>
              <w:rPr>
                <w:rFonts w:eastAsiaTheme="minorEastAsia" w:cs="Times New Roman"/>
                <w:color w:val="auto"/>
                <w:sz w:val="20"/>
                <w:szCs w:val="20"/>
                <w:lang w:val="en-US"/>
              </w:rPr>
              <w:instrText>ADDIN CSL_CITATION {"citationItems":[{"id":"ITEM-1","itemData":{"DOI":"10.1056/NEJMoa1300615","ISSN":"15334406","PMID":"23991661","abstract":"BACKGROUND: Dabigatran is an oral direct thrombin inhibitor that has been shown to be an effective alternative to warfarin in patients with atrial fibrillation. We evaluated the use of dabigatran in patients with mechanical heart valves. METHODS: In this phase 2 dose-validation study, we studied two populations of patients: those who had undergone aortic- or mitral-valve replacement within the past 7 days and those who had undergone such replacement at least 3 months earlier. Patients were randomly assigned in a 2:1 ratio to receive either dabigatran or warfarin. The selection of the initial dabigatran dose (150, 220, or 300 mg twice daily) was based on kidney function. Doses were adjusted to obtain a trough plasma level of at least 50 ng per milliliter. The warfarin dose was adjusted to obtain an international normalized ratio of 2 to 3 or 2.5 to 3.5 on the basis of thromboembolic risk. The primary end point was the trough plasma level of dabigatran. RESULTS: The trial was terminated prematurely after the enrollment of 252 patients because of an excess of thromboembolic and bleeding events among patients in the dabigatran group. In the as-treated analysis, dose adjustment or discontinuation of dabigatran was required in 52 of 162 patients (32%). Ischemic or unspecified stroke occurred in 9 patients (5%) in the dabigatran group and in no patients in the warfarin group; major bleeding occurred in 7 patients (4%) and 2 patients (2%), respectively. All patients with major bleeding had pericardial bleeding. CONCLUSIONS: The use of dabigatran in patients with mechanical heart valves was associated with increased rates of thromboembolic and bleeding complications, as compared with warfarin, thus showing no benefit and an excess risk. Copyright © 2013 Massachusetts Medical Society.","author":[{"dropping-particle":"","family":"Eikelboom","given":"John W.","non-dropping-particle":"","parse-names":false,"suffix":""},{"dropping-particle":"","family":"Connolly","given":"Stuart J.","non-dropping-particle":"","parse-names":false,"suffix":""},{"dropping-particle":"","family":"Brueckmann","given":"Martina","non-dropping-particle":"","parse-names":false,"suffix":""},{"dropping-particle":"","family":"Granger","given":"Christopher B.","non-dropping-particle":"","parse-names":false,"suffix":""},{"dropping-particle":"","family":"Kappetein","given":"Arie P.","non-dropping-particle":"","parse-names":false,"suffix":""},{"dropping-particle":"","family":"Mack","given":"Michael J.","non-dropping-particle":"","parse-names":false,"suffix":""},{"dropping-particle":"","family":"Blatchford","given":"Jon","non-dropping-particle":"","parse-names":false,"suffix":""},{"dropping-particle":"","family":"Devenny","given":"Kevin","non-dropping-particle":"","parse-names":false,"suffix":""},{"dropping-particle":"","family":"Friedman","given":"Jeffrey","non-dropping-particle":"","parse-names":false,"suffix":""},{"dropping-particle":"","family":"Guiver","given":"Kelly","non-dropping-particle":"","parse-names":false,"suffix":""},{"dropping-particle":"","family":"Harper","given":"Ruth","non-dropping-particle":"","parse-names":false,"suffix":""},{"dropping-particle":"","family":"Khder","given":"Yasser","non-dropping-particle":"","parse-names":false,"suffix":""},{"dropping-particle":"","family":"Lobmeyer","given":"Maximilian T.","non-dropping-particle":"","parse-names":false,"suffix":""},{"dropping-particle":"","family":"Maas","given":"Hugo","non-dropping-particle":"","parse-names":false,"suffix":""},{"dropping-particle":"","family":"Voigt","given":"Jens Uwe","non-dropping-particle":"","parse-names":false,"suffix":""},{"dropping-particle":"","family":"Simoons","given":"Maarten L.","non-dropping-particle":"","parse-names":false,"suffix":""},{"dropping-particle":"","family":"Werf","given":"Frans","non-dropping-particle":"Van De","parse-names":false,"suffix":""}],"container-title":"New England Journal of Medicine","id":"ITEM-1","issue":"13","issued":{"date-parts":[["2013","9","26"]]},"page":"1206-1214","publisher":"Massachusetts Medical Society","title":"Dabigatran versus warfarin in patients with mechanical heart valves","type":"article-journal","volume":"369"},"uris":["http://www.mendeley.com/documents/?uuid=b85aa7e4-cd1a-3bc8-90f4-8d6f2f61e7a6"]}],"mendeley":{"formattedCitation":"(4)","plainTextFormattedCitation":"(4)","previouslyFormattedCitation":"(4)"},"properties":{"noteIndex":0},"schema":"https://github.com/citation-style-language/schema/raw/master/csl-citation.json"}</w:instrText>
            </w:r>
            <w:r w:rsidRPr="00D04E53">
              <w:rPr>
                <w:rFonts w:eastAsiaTheme="minorEastAsia" w:cs="Times New Roman"/>
                <w:sz w:val="20"/>
                <w:szCs w:val="20"/>
                <w:lang w:val="en-US"/>
              </w:rPr>
              <w:fldChar w:fldCharType="separate"/>
            </w:r>
            <w:r w:rsidRPr="00DE6F90">
              <w:rPr>
                <w:rFonts w:eastAsiaTheme="minorEastAsia" w:cs="Times New Roman"/>
                <w:b w:val="0"/>
                <w:noProof/>
                <w:color w:val="auto"/>
                <w:sz w:val="20"/>
                <w:szCs w:val="20"/>
                <w:lang w:val="en-US"/>
              </w:rPr>
              <w:t>(4)</w:t>
            </w:r>
            <w:r w:rsidRPr="00D04E53">
              <w:rPr>
                <w:rFonts w:eastAsiaTheme="minorEastAsia" w:cs="Times New Roman"/>
                <w:sz w:val="20"/>
                <w:szCs w:val="20"/>
                <w:lang w:val="en-US"/>
              </w:rPr>
              <w:fldChar w:fldCharType="end"/>
            </w:r>
          </w:p>
          <w:p w14:paraId="602BD809" w14:textId="77777777" w:rsidR="00F478FF" w:rsidRPr="00D04E53" w:rsidRDefault="00F478FF" w:rsidP="001263A3">
            <w:pPr>
              <w:jc w:val="center"/>
              <w:rPr>
                <w:rFonts w:eastAsiaTheme="minorEastAsia" w:cs="Times New Roman"/>
                <w:b w:val="0"/>
                <w:color w:val="auto"/>
                <w:sz w:val="20"/>
                <w:szCs w:val="20"/>
                <w:lang w:val="en-US"/>
              </w:rPr>
            </w:pPr>
            <w:r w:rsidRPr="00D04E53">
              <w:rPr>
                <w:rFonts w:eastAsiaTheme="minorEastAsia" w:cs="Times New Roman"/>
                <w:color w:val="auto"/>
                <w:sz w:val="20"/>
                <w:szCs w:val="20"/>
                <w:lang w:val="en-US"/>
              </w:rPr>
              <w:t>(RE-ALIGN)</w:t>
            </w:r>
          </w:p>
        </w:tc>
        <w:tc>
          <w:tcPr>
            <w:tcW w:w="996" w:type="pct"/>
            <w:tcBorders>
              <w:bottom w:val="nil"/>
            </w:tcBorders>
            <w:shd w:val="clear" w:color="auto" w:fill="F2F2F2" w:themeFill="background1" w:themeFillShade="F2"/>
          </w:tcPr>
          <w:p w14:paraId="0D0BB18E" w14:textId="77777777" w:rsidR="00F478FF"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RCT Phase II clinical trial, dose-validation, prospective, open-label.</w:t>
            </w:r>
          </w:p>
          <w:p w14:paraId="14A757BA"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94228C">
              <w:rPr>
                <w:rFonts w:eastAsiaTheme="minorEastAsia" w:cs="Times New Roman"/>
                <w:b/>
                <w:color w:val="auto"/>
                <w:sz w:val="20"/>
                <w:szCs w:val="20"/>
                <w:lang w:val="en-US"/>
              </w:rPr>
              <w:t>Follow-up</w:t>
            </w:r>
            <w:r>
              <w:rPr>
                <w:rFonts w:eastAsiaTheme="minorEastAsia" w:cs="Times New Roman"/>
                <w:b/>
                <w:color w:val="auto"/>
                <w:sz w:val="20"/>
                <w:szCs w:val="20"/>
                <w:lang w:val="en-US"/>
              </w:rPr>
              <w:t>: 12 weeks</w:t>
            </w:r>
          </w:p>
        </w:tc>
        <w:tc>
          <w:tcPr>
            <w:tcW w:w="1301" w:type="pct"/>
            <w:tcBorders>
              <w:bottom w:val="nil"/>
            </w:tcBorders>
            <w:shd w:val="clear" w:color="auto" w:fill="F2F2F2" w:themeFill="background1" w:themeFillShade="F2"/>
          </w:tcPr>
          <w:p w14:paraId="72DD2474"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Dabigatran 150, 2</w:t>
            </w:r>
            <w:r>
              <w:rPr>
                <w:rFonts w:eastAsiaTheme="minorEastAsia" w:cs="Times New Roman"/>
                <w:color w:val="auto"/>
                <w:sz w:val="20"/>
                <w:szCs w:val="20"/>
                <w:lang w:val="en-US"/>
              </w:rPr>
              <w:t xml:space="preserve">20 or 300 mg </w:t>
            </w:r>
            <w:r w:rsidRPr="00D04E53">
              <w:rPr>
                <w:rFonts w:eastAsiaTheme="minorEastAsia" w:cs="Times New Roman"/>
                <w:color w:val="auto"/>
                <w:sz w:val="20"/>
                <w:szCs w:val="20"/>
                <w:lang w:val="en-US"/>
              </w:rPr>
              <w:t>BID</w:t>
            </w:r>
            <w:r>
              <w:rPr>
                <w:rFonts w:eastAsiaTheme="minorEastAsia" w:cs="Times New Roman"/>
                <w:color w:val="auto"/>
                <w:sz w:val="20"/>
                <w:szCs w:val="20"/>
                <w:lang w:val="en-US"/>
              </w:rPr>
              <w:t xml:space="preserve"> (according to </w:t>
            </w:r>
            <w:proofErr w:type="spellStart"/>
            <w:r>
              <w:rPr>
                <w:rFonts w:eastAsiaTheme="minorEastAsia" w:cs="Times New Roman"/>
                <w:color w:val="auto"/>
                <w:sz w:val="20"/>
                <w:szCs w:val="20"/>
                <w:lang w:val="en-US"/>
              </w:rPr>
              <w:t>CrCl</w:t>
            </w:r>
            <w:proofErr w:type="spellEnd"/>
            <w:r w:rsidRPr="00D04E53">
              <w:rPr>
                <w:rFonts w:eastAsiaTheme="minorEastAsia" w:cs="Times New Roman"/>
                <w:color w:val="auto"/>
                <w:sz w:val="20"/>
                <w:szCs w:val="20"/>
                <w:lang w:val="en-US"/>
              </w:rPr>
              <w:t>), with adjusted doses to obtain plasma levels higher than at least 50ng per milliliter; or Warfarin adjusted by INR.</w:t>
            </w:r>
          </w:p>
        </w:tc>
        <w:tc>
          <w:tcPr>
            <w:tcW w:w="1304" w:type="pct"/>
            <w:tcBorders>
              <w:bottom w:val="nil"/>
            </w:tcBorders>
            <w:shd w:val="clear" w:color="auto" w:fill="F2F2F2" w:themeFill="background1" w:themeFillShade="F2"/>
          </w:tcPr>
          <w:p w14:paraId="28CC6496"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 xml:space="preserve">252 patients; </w:t>
            </w:r>
            <w:proofErr w:type="gramStart"/>
            <w:r w:rsidRPr="00D04E53">
              <w:rPr>
                <w:rFonts w:eastAsiaTheme="minorEastAsia" w:cs="Times New Roman"/>
                <w:color w:val="auto"/>
                <w:sz w:val="20"/>
                <w:szCs w:val="20"/>
                <w:lang w:val="en-US"/>
              </w:rPr>
              <w:t>168 used</w:t>
            </w:r>
            <w:proofErr w:type="gramEnd"/>
            <w:r w:rsidRPr="00D04E53">
              <w:rPr>
                <w:rFonts w:eastAsiaTheme="minorEastAsia" w:cs="Times New Roman"/>
                <w:color w:val="auto"/>
                <w:sz w:val="20"/>
                <w:szCs w:val="20"/>
                <w:lang w:val="en-US"/>
              </w:rPr>
              <w:t xml:space="preserve"> Dabigatran and 84 Warfarin. Population A = 199 patients, in</w:t>
            </w:r>
            <w:r>
              <w:rPr>
                <w:rFonts w:eastAsiaTheme="minorEastAsia" w:cs="Times New Roman"/>
                <w:color w:val="auto"/>
                <w:sz w:val="20"/>
                <w:szCs w:val="20"/>
                <w:lang w:val="en-US"/>
              </w:rPr>
              <w:t xml:space="preserve"> early postoperatively (133 in </w:t>
            </w:r>
            <w:r w:rsidRPr="00D04E53">
              <w:rPr>
                <w:rFonts w:eastAsiaTheme="minorEastAsia" w:cs="Times New Roman"/>
                <w:color w:val="auto"/>
                <w:sz w:val="20"/>
                <w:szCs w:val="20"/>
                <w:lang w:val="en-US"/>
              </w:rPr>
              <w:t>D</w:t>
            </w:r>
            <w:r>
              <w:rPr>
                <w:rFonts w:eastAsiaTheme="minorEastAsia" w:cs="Times New Roman"/>
                <w:color w:val="auto"/>
                <w:sz w:val="20"/>
                <w:szCs w:val="20"/>
                <w:lang w:val="en-US"/>
              </w:rPr>
              <w:t xml:space="preserve">G and 66 in </w:t>
            </w:r>
            <w:r w:rsidRPr="00D04E53">
              <w:rPr>
                <w:rFonts w:eastAsiaTheme="minorEastAsia" w:cs="Times New Roman"/>
                <w:color w:val="auto"/>
                <w:sz w:val="20"/>
                <w:szCs w:val="20"/>
                <w:lang w:val="en-US"/>
              </w:rPr>
              <w:t>V</w:t>
            </w:r>
            <w:r>
              <w:rPr>
                <w:rFonts w:eastAsiaTheme="minorEastAsia" w:cs="Times New Roman"/>
                <w:color w:val="auto"/>
                <w:sz w:val="20"/>
                <w:szCs w:val="20"/>
                <w:lang w:val="en-US"/>
              </w:rPr>
              <w:t>G</w:t>
            </w:r>
            <w:r w:rsidRPr="00D04E53">
              <w:rPr>
                <w:rFonts w:eastAsiaTheme="minorEastAsia" w:cs="Times New Roman"/>
                <w:color w:val="auto"/>
                <w:sz w:val="20"/>
                <w:szCs w:val="20"/>
                <w:lang w:val="en-US"/>
              </w:rPr>
              <w:t>), and population B = 53 patients in t</w:t>
            </w:r>
            <w:r>
              <w:rPr>
                <w:rFonts w:eastAsiaTheme="minorEastAsia" w:cs="Times New Roman"/>
                <w:color w:val="auto"/>
                <w:sz w:val="20"/>
                <w:szCs w:val="20"/>
                <w:lang w:val="en-US"/>
              </w:rPr>
              <w:t xml:space="preserve">he late postoperatively (35 in </w:t>
            </w:r>
            <w:r w:rsidRPr="00D04E53">
              <w:rPr>
                <w:rFonts w:eastAsiaTheme="minorEastAsia" w:cs="Times New Roman"/>
                <w:color w:val="auto"/>
                <w:sz w:val="20"/>
                <w:szCs w:val="20"/>
                <w:lang w:val="en-US"/>
              </w:rPr>
              <w:t>D</w:t>
            </w:r>
            <w:r>
              <w:rPr>
                <w:rFonts w:eastAsiaTheme="minorEastAsia" w:cs="Times New Roman"/>
                <w:color w:val="auto"/>
                <w:sz w:val="20"/>
                <w:szCs w:val="20"/>
                <w:lang w:val="en-US"/>
              </w:rPr>
              <w:t>G</w:t>
            </w:r>
            <w:r w:rsidRPr="00D04E53">
              <w:rPr>
                <w:rFonts w:eastAsiaTheme="minorEastAsia" w:cs="Times New Roman"/>
                <w:color w:val="auto"/>
                <w:sz w:val="20"/>
                <w:szCs w:val="20"/>
                <w:lang w:val="en-US"/>
              </w:rPr>
              <w:t xml:space="preserve"> and 18 GV).</w:t>
            </w:r>
          </w:p>
        </w:tc>
        <w:tc>
          <w:tcPr>
            <w:tcW w:w="678" w:type="pct"/>
            <w:tcBorders>
              <w:bottom w:val="nil"/>
            </w:tcBorders>
            <w:shd w:val="clear" w:color="auto" w:fill="F2F2F2" w:themeFill="background1" w:themeFillShade="F2"/>
          </w:tcPr>
          <w:p w14:paraId="443B9E71"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252 MHV</w:t>
            </w:r>
            <w:proofErr w:type="gramStart"/>
            <w:r w:rsidRPr="00D04E53">
              <w:rPr>
                <w:rFonts w:eastAsiaTheme="minorEastAsia" w:cs="Times New Roman"/>
                <w:color w:val="auto"/>
                <w:sz w:val="20"/>
                <w:szCs w:val="20"/>
                <w:lang w:val="en-US"/>
              </w:rPr>
              <w:t>;</w:t>
            </w:r>
            <w:proofErr w:type="gramEnd"/>
            <w:r w:rsidRPr="00D04E53">
              <w:rPr>
                <w:rFonts w:eastAsiaTheme="minorEastAsia" w:cs="Times New Roman"/>
                <w:color w:val="auto"/>
                <w:sz w:val="20"/>
                <w:szCs w:val="20"/>
                <w:lang w:val="en-US"/>
              </w:rPr>
              <w:t xml:space="preserve"> in aortic position in 172 patients (68%), mitral in 71 (28%), in both 9 (4%).</w:t>
            </w:r>
          </w:p>
        </w:tc>
      </w:tr>
      <w:tr w:rsidR="00F478FF" w:rsidRPr="00DE6F90" w14:paraId="6E3DF38F" w14:textId="77777777" w:rsidTr="00F478FF">
        <w:trPr>
          <w:trHeight w:val="1688"/>
        </w:trPr>
        <w:tc>
          <w:tcPr>
            <w:cnfStyle w:val="001000000000" w:firstRow="0" w:lastRow="0" w:firstColumn="1" w:lastColumn="0" w:oddVBand="0" w:evenVBand="0" w:oddHBand="0" w:evenHBand="0" w:firstRowFirstColumn="0" w:firstRowLastColumn="0" w:lastRowFirstColumn="0" w:lastRowLastColumn="0"/>
            <w:tcW w:w="721" w:type="pct"/>
            <w:tcBorders>
              <w:top w:val="nil"/>
              <w:bottom w:val="nil"/>
            </w:tcBorders>
            <w:noWrap/>
          </w:tcPr>
          <w:p w14:paraId="580EDF0B" w14:textId="77777777" w:rsidR="00F478FF" w:rsidRDefault="00F478FF" w:rsidP="001263A3">
            <w:pPr>
              <w:jc w:val="center"/>
              <w:rPr>
                <w:rFonts w:eastAsiaTheme="minorEastAsia" w:cs="Times New Roman"/>
                <w:sz w:val="20"/>
                <w:szCs w:val="20"/>
                <w:lang w:val="en-US"/>
              </w:rPr>
            </w:pPr>
            <w:proofErr w:type="spellStart"/>
            <w:r w:rsidRPr="00D04E53">
              <w:rPr>
                <w:rFonts w:eastAsiaTheme="minorEastAsia" w:cs="Times New Roman"/>
                <w:color w:val="auto"/>
                <w:sz w:val="20"/>
                <w:szCs w:val="20"/>
                <w:lang w:val="en-US"/>
              </w:rPr>
              <w:t>Breithardt</w:t>
            </w:r>
            <w:proofErr w:type="spellEnd"/>
            <w:r w:rsidRPr="00D04E53">
              <w:rPr>
                <w:rFonts w:eastAsiaTheme="minorEastAsia" w:cs="Times New Roman"/>
                <w:color w:val="auto"/>
                <w:sz w:val="20"/>
                <w:szCs w:val="20"/>
                <w:lang w:val="en-US"/>
              </w:rPr>
              <w:t xml:space="preserve"> et al.2014</w:t>
            </w:r>
            <w:r w:rsidRPr="00D04E53">
              <w:rPr>
                <w:rFonts w:eastAsiaTheme="minorEastAsia" w:cs="Times New Roman"/>
                <w:sz w:val="20"/>
                <w:szCs w:val="20"/>
                <w:lang w:val="en-US"/>
              </w:rPr>
              <w:fldChar w:fldCharType="begin" w:fldLock="1"/>
            </w:r>
            <w:r>
              <w:rPr>
                <w:rFonts w:eastAsiaTheme="minorEastAsia" w:cs="Times New Roman"/>
                <w:color w:val="auto"/>
                <w:sz w:val="20"/>
                <w:szCs w:val="20"/>
                <w:lang w:val="en-US"/>
              </w:rPr>
              <w:instrText>ADDIN CSL_CITATION {"citationItems":[{"id":"ITEM-1","itemData":{"DOI":"10.1093/eurheartj/ehu305","ISSN":"0195-668X","PMID":"25148838","abstract":"AIMS We investigated clinical characteristics and outcomes of patients with significant valvular disease (SVD) in the Rivaroxaban Once Daily Oral Direct Factor Xa Inhibition Compared with Vitamin K Antagonism for Prevention of Stroke and Embolism Trial in Atrial Fibrillation (ROCKET AF) trial. METHODS AND RESULTS ROCKET AF excluded patients with mitral stenosis or artificial valve prostheses. We used Cox regression to adjust comparisons for potential confounders. Among 14 171 patients, 2003 (14.1%) had SVD; they were older and had more comorbidities than patients without SVD. The rate of stroke or systemic embolism with rivaroxaban vs. warfarin was consistent among patients with SVD [2.01 vs. 2.43%; hazard ratio (HR) 0.83, 95% confidence interval (CI) 0.55-1.27] and without SVD (1.96 vs. 2.22%; HR 0.89, 95% CI 0.75-1.07; interaction P = 0.76). However, rates of major and non-major clinically relevant bleeding with rivaroxaban vs. warfarin were higher in patients with SVD (19.8% rivaroxaban vs. 16.8% warfarin; HR 1.25, 95% CI 1.05-1.49) vs. those without (14.2% rivaroxaban vs. 14.1% warfarin; HR 1.01, 95% CI 0.94-1.10; interaction P = 0.034), even when controlling for risk factors and potential confounders. In intracranial haemorrhage, there was no interaction between patients with and without SVD where the overall rate was lower among those randomized to rivaroxaban. CONCLUSIONS Many patients with 'non-valvular atrial fibrillation' have significant valve lesions. Their risk of stroke is similar to that of patients without SVD after controlling for stroke risk factors. Efficacy of rivaroxaban vs. warfarin was similar in patients with and without SVD; however, the observed risk of bleeding was higher with rivaroxaban in patients with SVD but was the same among those without SVD. Atrial fibrillation patients with and without SVD experience the same stroke-preventive benefit of oral anticoagulants.","author":[{"dropping-particle":"","family":"Breithardt","given":"Günter","non-dropping-particle":"","parse-names":false,"suffix":""},{"dropping-particle":"","family":"Baumgartner","given":"Helmut","non-dropping-particle":"","parse-names":false,"suffix":""},{"dropping-particle":"","family":"Berkowitz","given":"Scott D.","non-dropping-particle":"","parse-names":false,"suffix":""},{"dropping-particle":"","family":"Hellkamp","given":"Anne S.","non-dropping-particle":"","parse-names":false,"suffix":""},{"dropping-particle":"","family":"Piccini","given":"Jonathan P.","non-dropping-particle":"","parse-names":false,"suffix":""},{"dropping-particle":"","family":"Stevens","given":"Susanna R.","non-dropping-particle":"","parse-names":false,"suffix":""},{"dropping-particle":"","family":"Lokhnygina","given":"Yuliya","non-dropping-particle":"","parse-names":false,"suffix":""},{"dropping-particle":"","family":"Patel","given":"Manesh R.","non-dropping-particle":"","parse-names":false,"suffix":""},{"dropping-particle":"","family":"Halperin","given":"Jonathan L.","non-dropping-particle":"","parse-names":false,"suffix":""},{"dropping-particle":"","family":"Singer","given":"Daniel E.","non-dropping-particle":"","parse-names":false,"suffix":""},{"dropping-particle":"","family":"Hankey","given":"Graeme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C.","non-dropping-particle":"","parse-names":false,"suffix":""},{"dropping-particle":"","family":"Nessel","given":"Christopher C.","non-dropping-particle":"","parse-names":false,"suffix":""},{"dropping-particle":"","family":"Mahaffey","given":"Kenneth W.","non-dropping-particle":"","parse-names":false,"suffix":""},{"dropping-particle":"","family":"Fox","given":"Keith A. A.","non-dropping-particle":"","parse-names":false,"suffix":""},{"dropping-particle":"","family":"Califf","given":"Robert M.","non-dropping-particle":"","parse-names":false,"suffix":""},{"dropping-particle":"","family":"ROCKET AF Steering Committee &amp; Investigators","given":"","non-dropping-particle":"","parse-names":false,"suffix":""}],"container-title":"European Heart Journal","id":"ITEM-1","issue":"47","issued":{"date-parts":[["2014","12","14"]]},"page":"3377-3385","title":"Clinical characteristics and outcomes with rivaroxaban vs. warfarin in patients with non-valvular atrial fibrillation but underlying native mitral and aortic valve disease participating in the ROCKET AF trial","type":"article-journal","volume":"35"},"uris":["http://www.mendeley.com/documents/?uuid=c0b49bf4-090b-329a-a57a-cbd83eb28668"]}],"mendeley":{"formattedCitation":"(5)","plainTextFormattedCitation":"(5)","previouslyFormattedCitation":"(5)"},"properties":{"noteIndex":0},"schema":"https://github.com/citation-style-language/schema/raw/master/csl-citation.json"}</w:instrText>
            </w:r>
            <w:r w:rsidRPr="00D04E53">
              <w:rPr>
                <w:rFonts w:eastAsiaTheme="minorEastAsia" w:cs="Times New Roman"/>
                <w:sz w:val="20"/>
                <w:szCs w:val="20"/>
                <w:lang w:val="en-US"/>
              </w:rPr>
              <w:fldChar w:fldCharType="separate"/>
            </w:r>
            <w:r w:rsidRPr="00DE6F90">
              <w:rPr>
                <w:rFonts w:eastAsiaTheme="minorEastAsia" w:cs="Times New Roman"/>
                <w:b w:val="0"/>
                <w:noProof/>
                <w:color w:val="auto"/>
                <w:sz w:val="20"/>
                <w:szCs w:val="20"/>
                <w:lang w:val="en-US"/>
              </w:rPr>
              <w:t>(5)</w:t>
            </w:r>
            <w:r w:rsidRPr="00D04E53">
              <w:rPr>
                <w:rFonts w:eastAsiaTheme="minorEastAsia" w:cs="Times New Roman"/>
                <w:sz w:val="20"/>
                <w:szCs w:val="20"/>
                <w:lang w:val="en-US"/>
              </w:rPr>
              <w:fldChar w:fldCharType="end"/>
            </w:r>
          </w:p>
          <w:p w14:paraId="4D8F927F" w14:textId="77777777" w:rsidR="00F478FF" w:rsidRPr="00D04E53" w:rsidRDefault="00F478FF" w:rsidP="001263A3">
            <w:pPr>
              <w:jc w:val="center"/>
              <w:rPr>
                <w:rFonts w:eastAsiaTheme="minorEastAsia" w:cs="Times New Roman"/>
                <w:color w:val="auto"/>
                <w:sz w:val="20"/>
                <w:szCs w:val="20"/>
                <w:lang w:val="en-US"/>
              </w:rPr>
            </w:pPr>
            <w:r>
              <w:rPr>
                <w:rFonts w:eastAsiaTheme="minorEastAsia" w:cs="Times New Roman"/>
                <w:color w:val="auto"/>
                <w:sz w:val="20"/>
                <w:szCs w:val="20"/>
                <w:lang w:val="en-US"/>
              </w:rPr>
              <w:t>(ROCKET-AF)</w:t>
            </w:r>
          </w:p>
        </w:tc>
        <w:tc>
          <w:tcPr>
            <w:tcW w:w="996" w:type="pct"/>
            <w:tcBorders>
              <w:top w:val="nil"/>
              <w:bottom w:val="nil"/>
            </w:tcBorders>
          </w:tcPr>
          <w:p w14:paraId="17F3E263" w14:textId="77777777" w:rsidR="00F478FF" w:rsidRPr="001B30D3"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 xml:space="preserve">Post-hoc analysis of a RCT phase III, prospective, </w:t>
            </w:r>
            <w:proofErr w:type="gramStart"/>
            <w:r w:rsidRPr="00D04E53">
              <w:rPr>
                <w:rFonts w:eastAsiaTheme="minorEastAsia" w:cs="Times New Roman"/>
                <w:color w:val="auto"/>
                <w:sz w:val="20"/>
                <w:szCs w:val="20"/>
                <w:lang w:val="en-US"/>
              </w:rPr>
              <w:t>double-bl</w:t>
            </w:r>
            <w:r>
              <w:rPr>
                <w:rFonts w:eastAsiaTheme="minorEastAsia" w:cs="Times New Roman"/>
                <w:color w:val="auto"/>
                <w:sz w:val="20"/>
                <w:szCs w:val="20"/>
                <w:lang w:val="en-US"/>
              </w:rPr>
              <w:t>ind</w:t>
            </w:r>
            <w:proofErr w:type="gramEnd"/>
            <w:r>
              <w:rPr>
                <w:rFonts w:eastAsiaTheme="minorEastAsia" w:cs="Times New Roman"/>
                <w:color w:val="auto"/>
                <w:sz w:val="20"/>
                <w:szCs w:val="20"/>
                <w:lang w:val="en-US"/>
              </w:rPr>
              <w:t xml:space="preserve">, double-masked, multicenter. </w:t>
            </w:r>
            <w:r w:rsidRPr="0094228C">
              <w:rPr>
                <w:rFonts w:eastAsiaTheme="minorEastAsia" w:cs="Times New Roman"/>
                <w:b/>
                <w:color w:val="auto"/>
                <w:sz w:val="20"/>
                <w:szCs w:val="20"/>
                <w:lang w:val="en-US"/>
              </w:rPr>
              <w:t>Follow-up</w:t>
            </w:r>
            <w:r>
              <w:rPr>
                <w:rFonts w:eastAsiaTheme="minorEastAsia" w:cs="Times New Roman"/>
                <w:b/>
                <w:color w:val="auto"/>
                <w:sz w:val="20"/>
                <w:szCs w:val="20"/>
                <w:lang w:val="en-US"/>
              </w:rPr>
              <w:t>: 1.9</w:t>
            </w:r>
            <w:r w:rsidRPr="0094228C">
              <w:rPr>
                <w:rFonts w:eastAsiaTheme="minorEastAsia" w:cs="Times New Roman"/>
                <w:b/>
                <w:color w:val="auto"/>
                <w:sz w:val="20"/>
                <w:szCs w:val="20"/>
                <w:lang w:val="en-US"/>
              </w:rPr>
              <w:t xml:space="preserve"> years</w:t>
            </w:r>
          </w:p>
        </w:tc>
        <w:tc>
          <w:tcPr>
            <w:tcW w:w="1301" w:type="pct"/>
            <w:tcBorders>
              <w:top w:val="nil"/>
              <w:bottom w:val="nil"/>
            </w:tcBorders>
          </w:tcPr>
          <w:p w14:paraId="0240B80D" w14:textId="77777777" w:rsidR="00F478FF" w:rsidRPr="00D04E53"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 xml:space="preserve">Rivaroxaban 20 mg QD </w:t>
            </w:r>
            <w:r>
              <w:rPr>
                <w:rFonts w:eastAsiaTheme="minorEastAsia" w:cs="Times New Roman"/>
                <w:color w:val="auto"/>
                <w:sz w:val="20"/>
                <w:szCs w:val="20"/>
                <w:lang w:val="en-US"/>
              </w:rPr>
              <w:t xml:space="preserve">(or 15 mg QD with </w:t>
            </w:r>
            <w:proofErr w:type="spellStart"/>
            <w:r>
              <w:rPr>
                <w:rFonts w:eastAsiaTheme="minorEastAsia" w:cs="Times New Roman"/>
                <w:color w:val="auto"/>
                <w:sz w:val="20"/>
                <w:szCs w:val="20"/>
                <w:lang w:val="en-US"/>
              </w:rPr>
              <w:t>CrCl</w:t>
            </w:r>
            <w:proofErr w:type="spellEnd"/>
            <w:r>
              <w:rPr>
                <w:rFonts w:eastAsiaTheme="minorEastAsia" w:cs="Times New Roman"/>
                <w:color w:val="auto"/>
                <w:sz w:val="20"/>
                <w:szCs w:val="20"/>
                <w:lang w:val="en-US"/>
              </w:rPr>
              <w:t xml:space="preserve"> 30-49 mL/</w:t>
            </w:r>
            <w:r w:rsidRPr="00D04E53">
              <w:rPr>
                <w:rFonts w:eastAsiaTheme="minorEastAsia" w:cs="Times New Roman"/>
                <w:color w:val="auto"/>
                <w:sz w:val="20"/>
                <w:szCs w:val="20"/>
                <w:lang w:val="en-US"/>
              </w:rPr>
              <w:t>min) or Warfarin according to INR (adjusted for 2-3).</w:t>
            </w:r>
          </w:p>
        </w:tc>
        <w:tc>
          <w:tcPr>
            <w:tcW w:w="1304" w:type="pct"/>
            <w:tcBorders>
              <w:top w:val="nil"/>
              <w:bottom w:val="nil"/>
            </w:tcBorders>
          </w:tcPr>
          <w:p w14:paraId="07E17429" w14:textId="77777777" w:rsidR="00F478FF" w:rsidRPr="00D04E53"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 xml:space="preserve">1992 recruited. </w:t>
            </w:r>
            <w:proofErr w:type="gramStart"/>
            <w:r w:rsidRPr="00D04E53">
              <w:rPr>
                <w:rFonts w:eastAsiaTheme="minorEastAsia" w:cs="Times New Roman"/>
                <w:color w:val="auto"/>
                <w:sz w:val="20"/>
                <w:szCs w:val="20"/>
                <w:lang w:val="en-US"/>
              </w:rPr>
              <w:t>939 used</w:t>
            </w:r>
            <w:proofErr w:type="gramEnd"/>
            <w:r w:rsidRPr="00D04E53">
              <w:rPr>
                <w:rFonts w:eastAsiaTheme="minorEastAsia" w:cs="Times New Roman"/>
                <w:color w:val="auto"/>
                <w:sz w:val="20"/>
                <w:szCs w:val="20"/>
                <w:lang w:val="en-US"/>
              </w:rPr>
              <w:t xml:space="preserve"> Rivaroxaban (49% AS, 48% MR or AR); 1001 used Warfarin (51% AS, 52% MR or AR); 52 not informed. †</w:t>
            </w:r>
          </w:p>
        </w:tc>
        <w:tc>
          <w:tcPr>
            <w:tcW w:w="678" w:type="pct"/>
            <w:tcBorders>
              <w:top w:val="nil"/>
              <w:bottom w:val="nil"/>
            </w:tcBorders>
          </w:tcPr>
          <w:p w14:paraId="6F320D87" w14:textId="77777777" w:rsidR="00F478FF" w:rsidRPr="00D04E53"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MR 1756 (89.6%), AR 486 (24.8%), AS 215 (11%), other 11 (0.6%). †</w:t>
            </w:r>
          </w:p>
        </w:tc>
      </w:tr>
      <w:tr w:rsidR="00F478FF" w:rsidRPr="00902108" w14:paraId="3E08607F" w14:textId="77777777" w:rsidTr="00F478F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21" w:type="pct"/>
            <w:tcBorders>
              <w:top w:val="nil"/>
              <w:bottom w:val="nil"/>
            </w:tcBorders>
            <w:shd w:val="clear" w:color="auto" w:fill="F2F2F2" w:themeFill="background1" w:themeFillShade="F2"/>
            <w:noWrap/>
          </w:tcPr>
          <w:p w14:paraId="59B5ABDC" w14:textId="77777777" w:rsidR="00F478FF" w:rsidRDefault="00F478FF" w:rsidP="001263A3">
            <w:pPr>
              <w:jc w:val="center"/>
              <w:rPr>
                <w:rFonts w:eastAsiaTheme="minorEastAsia" w:cs="Times New Roman"/>
                <w:sz w:val="20"/>
                <w:szCs w:val="20"/>
                <w:lang w:val="en-US"/>
              </w:rPr>
            </w:pPr>
            <w:proofErr w:type="spellStart"/>
            <w:r w:rsidRPr="00D04E53">
              <w:rPr>
                <w:rFonts w:eastAsiaTheme="minorEastAsia" w:cs="Times New Roman"/>
                <w:color w:val="auto"/>
                <w:sz w:val="20"/>
                <w:szCs w:val="20"/>
                <w:lang w:val="en-US"/>
              </w:rPr>
              <w:t>Avezum</w:t>
            </w:r>
            <w:proofErr w:type="spellEnd"/>
            <w:r w:rsidRPr="00D04E53">
              <w:rPr>
                <w:rFonts w:eastAsiaTheme="minorEastAsia" w:cs="Times New Roman"/>
                <w:color w:val="auto"/>
                <w:sz w:val="20"/>
                <w:szCs w:val="20"/>
                <w:lang w:val="en-US"/>
              </w:rPr>
              <w:t xml:space="preserve"> et al.2015</w:t>
            </w:r>
            <w:r w:rsidRPr="00D04E53">
              <w:rPr>
                <w:rFonts w:eastAsiaTheme="minorEastAsia" w:cs="Times New Roman"/>
                <w:sz w:val="20"/>
                <w:szCs w:val="20"/>
                <w:lang w:val="en-US"/>
              </w:rPr>
              <w:fldChar w:fldCharType="begin" w:fldLock="1"/>
            </w:r>
            <w:r>
              <w:rPr>
                <w:rFonts w:eastAsiaTheme="minorEastAsia" w:cs="Times New Roman"/>
                <w:color w:val="auto"/>
                <w:sz w:val="20"/>
                <w:szCs w:val="20"/>
                <w:lang w:val="en-US"/>
              </w:rPr>
              <w:instrText>ADDIN CSL_CITATION {"citationItems":[{"id":"ITEM-1","itemData":{"author":[{"dropping-particle":"","family":"Avezum","given":"Alvaro","non-dropping-particle":"","parse-names":false,"suffix":""},{"dropping-particle":"","family":"Lopes","given":"Renato D.","non-dropping-particle":"","parse-names":false,"suffix":""},{"dropping-particle":"","family":"Schulte","given":"Phillip J.","non-dropping-particle":"","parse-names":false,"suffix":""},{"dropping-particle":"","family":"Lanas","given":"Fernando","non-dropping-particle":"","parse-names":false,"suffix":""},{"dropping-particle":"","family":"Gersh","given":"Bernard J.","non-dropping-particle":"","parse-names":false,"suffix":""},{"dropping-particle":"","family":"Hanna","given":"Michael","non-dropping-particle":"","parse-names":false,"suffix":""},{"dropping-particle":"","family":"Pais","given":"Prem","non-dropping-particle":"","parse-names":false,"suffix":""},{"dropping-particle":"","family":"Erol","given":"Cetin","non-dropping-particle":"","parse-names":false,"suffix":""},{"dropping-particle":"","family":"Diaz","given":"Rafael","non-dropping-particle":"","parse-names":false,"suffix":""},{"dropping-particle":"","family":"Bahit","given":"M. Cecilia","non-dropping-particle":"","parse-names":false,"suffix":""},{"dropping-particle":"","family":"Bartunek","given":"Jozef","non-dropping-particle":"","parse-names":false,"suffix":""},{"dropping-particle":"","family":"Caterina","given":"Raffaele","non-dropping-particle":"De","parse-names":false,"suffix":""},{"dropping-particle":"","family":"Goto","given":"Shinya","non-dropping-particle":"","parse-names":false,"suffix":""},{"dropping-particle":"","family":"Ruzyllo","given":"Witold","non-dropping-particle":"","parse-names":false,"suffix":""},{"dropping-particle":"","family":"Zhu","given":"Jun","non-dropping-particle":"","parse-names":false,"suffix":""},{"dropping-particle":"","family":"Granger","given":"Christopher B.","non-dropping-particle":"","parse-names":false,"suffix":""},{"dropping-particle":"","family":"Alexander","given":"John H.","non-dropping-particle":"","parse-names":false,"suffix":""}],"container-title":"Circulation","id":"ITEM-1","issued":{"date-parts":[["2015"]]},"title":"Apixaban Compared with Warfarin in Patients With Atrial Fibrillation and Valvular Heart Disease: Findings From the ARISTOTLE Trial","type":"article-journal"},"uris":["http://www.mendeley.com/documents/?uuid=597fb6fb-25b5-32b7-9a2c-e1e213ab4aa7"]}],"mendeley":{"formattedCitation":"(6)","plainTextFormattedCitation":"(6)","previouslyFormattedCitation":"(6)"},"properties":{"noteIndex":0},"schema":"https://github.com/citation-style-language/schema/raw/master/csl-citation.json"}</w:instrText>
            </w:r>
            <w:r w:rsidRPr="00D04E53">
              <w:rPr>
                <w:rFonts w:eastAsiaTheme="minorEastAsia" w:cs="Times New Roman"/>
                <w:sz w:val="20"/>
                <w:szCs w:val="20"/>
                <w:lang w:val="en-US"/>
              </w:rPr>
              <w:fldChar w:fldCharType="separate"/>
            </w:r>
            <w:r w:rsidRPr="00DE6F90">
              <w:rPr>
                <w:rFonts w:eastAsiaTheme="minorEastAsia" w:cs="Times New Roman"/>
                <w:b w:val="0"/>
                <w:noProof/>
                <w:color w:val="auto"/>
                <w:sz w:val="20"/>
                <w:szCs w:val="20"/>
                <w:lang w:val="en-US"/>
              </w:rPr>
              <w:t>(6)</w:t>
            </w:r>
            <w:r w:rsidRPr="00D04E53">
              <w:rPr>
                <w:rFonts w:eastAsiaTheme="minorEastAsia" w:cs="Times New Roman"/>
                <w:sz w:val="20"/>
                <w:szCs w:val="20"/>
                <w:lang w:val="en-US"/>
              </w:rPr>
              <w:fldChar w:fldCharType="end"/>
            </w:r>
          </w:p>
          <w:p w14:paraId="298EFAF4" w14:textId="77777777" w:rsidR="00F478FF" w:rsidRPr="00D04E53" w:rsidRDefault="00F478FF" w:rsidP="001263A3">
            <w:pPr>
              <w:jc w:val="center"/>
              <w:rPr>
                <w:rFonts w:eastAsiaTheme="minorEastAsia" w:cs="Times New Roman"/>
                <w:b w:val="0"/>
                <w:color w:val="auto"/>
                <w:sz w:val="20"/>
                <w:szCs w:val="20"/>
                <w:vertAlign w:val="superscript"/>
                <w:lang w:val="en-US"/>
              </w:rPr>
            </w:pPr>
            <w:r w:rsidRPr="00D04E53">
              <w:rPr>
                <w:rFonts w:eastAsiaTheme="minorEastAsia" w:cs="Times New Roman"/>
                <w:color w:val="auto"/>
                <w:sz w:val="20"/>
                <w:szCs w:val="20"/>
                <w:lang w:val="en-US"/>
              </w:rPr>
              <w:t>(ARISTOTLE)</w:t>
            </w:r>
          </w:p>
        </w:tc>
        <w:tc>
          <w:tcPr>
            <w:tcW w:w="996" w:type="pct"/>
            <w:tcBorders>
              <w:top w:val="nil"/>
              <w:bottom w:val="nil"/>
            </w:tcBorders>
            <w:shd w:val="clear" w:color="auto" w:fill="F2F2F2" w:themeFill="background1" w:themeFillShade="F2"/>
          </w:tcPr>
          <w:p w14:paraId="6D3E28EC" w14:textId="77777777" w:rsidR="00F478FF"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 xml:space="preserve">Post-hoc analysis of a phase III RCT prospective, </w:t>
            </w:r>
            <w:proofErr w:type="gramStart"/>
            <w:r w:rsidRPr="00D04E53">
              <w:rPr>
                <w:rFonts w:eastAsiaTheme="minorEastAsia" w:cs="Times New Roman"/>
                <w:color w:val="auto"/>
                <w:sz w:val="20"/>
                <w:szCs w:val="20"/>
                <w:lang w:val="en-US"/>
              </w:rPr>
              <w:t>double-bli</w:t>
            </w:r>
            <w:r>
              <w:rPr>
                <w:rFonts w:eastAsiaTheme="minorEastAsia" w:cs="Times New Roman"/>
                <w:color w:val="auto"/>
                <w:sz w:val="20"/>
                <w:szCs w:val="20"/>
                <w:lang w:val="en-US"/>
              </w:rPr>
              <w:t>nd</w:t>
            </w:r>
            <w:proofErr w:type="gramEnd"/>
            <w:r>
              <w:rPr>
                <w:rFonts w:eastAsiaTheme="minorEastAsia" w:cs="Times New Roman"/>
                <w:color w:val="auto"/>
                <w:sz w:val="20"/>
                <w:szCs w:val="20"/>
                <w:lang w:val="en-US"/>
              </w:rPr>
              <w:t>, double-masked, multicenter.</w:t>
            </w:r>
          </w:p>
          <w:p w14:paraId="04B4CE1D" w14:textId="77777777" w:rsidR="00F478FF" w:rsidRPr="001B30D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color w:val="auto"/>
                <w:sz w:val="20"/>
                <w:szCs w:val="20"/>
                <w:lang w:val="en-US"/>
              </w:rPr>
            </w:pPr>
            <w:r w:rsidRPr="0094228C">
              <w:rPr>
                <w:rFonts w:eastAsiaTheme="minorEastAsia" w:cs="Times New Roman"/>
                <w:b/>
                <w:color w:val="auto"/>
                <w:sz w:val="20"/>
                <w:szCs w:val="20"/>
                <w:lang w:val="en-US"/>
              </w:rPr>
              <w:t>Follow-up:</w:t>
            </w:r>
            <w:r>
              <w:rPr>
                <w:rFonts w:eastAsiaTheme="minorEastAsia" w:cs="Times New Roman"/>
                <w:b/>
                <w:color w:val="auto"/>
                <w:sz w:val="20"/>
                <w:szCs w:val="20"/>
                <w:lang w:val="en-US"/>
              </w:rPr>
              <w:t xml:space="preserve"> 1</w:t>
            </w:r>
            <w:r w:rsidRPr="0094228C">
              <w:rPr>
                <w:rFonts w:eastAsiaTheme="minorEastAsia" w:cs="Times New Roman"/>
                <w:b/>
                <w:color w:val="auto"/>
                <w:sz w:val="20"/>
                <w:szCs w:val="20"/>
                <w:lang w:val="en-US"/>
              </w:rPr>
              <w:t>.8 years</w:t>
            </w:r>
          </w:p>
        </w:tc>
        <w:tc>
          <w:tcPr>
            <w:tcW w:w="1301" w:type="pct"/>
            <w:tcBorders>
              <w:top w:val="nil"/>
              <w:bottom w:val="nil"/>
            </w:tcBorders>
            <w:shd w:val="clear" w:color="auto" w:fill="F2F2F2" w:themeFill="background1" w:themeFillShade="F2"/>
          </w:tcPr>
          <w:p w14:paraId="2753E310"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proofErr w:type="spellStart"/>
            <w:r w:rsidRPr="00D04E53">
              <w:rPr>
                <w:rFonts w:eastAsiaTheme="minorEastAsia" w:cs="Times New Roman"/>
                <w:color w:val="auto"/>
                <w:sz w:val="20"/>
                <w:szCs w:val="20"/>
                <w:lang w:val="en-US"/>
              </w:rPr>
              <w:t>Apixaban</w:t>
            </w:r>
            <w:proofErr w:type="spellEnd"/>
            <w:r w:rsidRPr="00D04E53">
              <w:rPr>
                <w:rFonts w:eastAsiaTheme="minorEastAsia" w:cs="Times New Roman"/>
                <w:color w:val="auto"/>
                <w:sz w:val="20"/>
                <w:szCs w:val="20"/>
                <w:lang w:val="en-US"/>
              </w:rPr>
              <w:t xml:space="preserve"> 5 mg BID (2.5 mg if ≥ 2 of the following: age ≥80 years, weight ≤60 kg, Cr ≥1.5 mg/</w:t>
            </w:r>
            <w:proofErr w:type="spellStart"/>
            <w:r w:rsidRPr="00D04E53">
              <w:rPr>
                <w:rFonts w:eastAsiaTheme="minorEastAsia" w:cs="Times New Roman"/>
                <w:color w:val="auto"/>
                <w:sz w:val="20"/>
                <w:szCs w:val="20"/>
                <w:lang w:val="en-US"/>
              </w:rPr>
              <w:t>dL</w:t>
            </w:r>
            <w:proofErr w:type="spellEnd"/>
            <w:r w:rsidRPr="00D04E53">
              <w:rPr>
                <w:rFonts w:eastAsiaTheme="minorEastAsia" w:cs="Times New Roman"/>
                <w:color w:val="auto"/>
                <w:sz w:val="20"/>
                <w:szCs w:val="20"/>
                <w:lang w:val="en-US"/>
              </w:rPr>
              <w:t>) or Warfarin (according to INR setting for 2-3).</w:t>
            </w:r>
          </w:p>
        </w:tc>
        <w:tc>
          <w:tcPr>
            <w:tcW w:w="1304" w:type="pct"/>
            <w:tcBorders>
              <w:top w:val="nil"/>
              <w:bottom w:val="nil"/>
            </w:tcBorders>
            <w:shd w:val="clear" w:color="auto" w:fill="F2F2F2" w:themeFill="background1" w:themeFillShade="F2"/>
          </w:tcPr>
          <w:p w14:paraId="583A9CF3"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 xml:space="preserve">4808 recruited. ‡ 2438 used </w:t>
            </w:r>
            <w:proofErr w:type="spellStart"/>
            <w:r w:rsidRPr="00D04E53">
              <w:rPr>
                <w:rFonts w:eastAsiaTheme="minorEastAsia" w:cs="Times New Roman"/>
                <w:color w:val="auto"/>
                <w:sz w:val="20"/>
                <w:szCs w:val="20"/>
                <w:lang w:val="en-US"/>
              </w:rPr>
              <w:t>Apixaban</w:t>
            </w:r>
            <w:proofErr w:type="spellEnd"/>
            <w:r w:rsidRPr="00D04E53">
              <w:rPr>
                <w:rFonts w:eastAsiaTheme="minorEastAsia" w:cs="Times New Roman"/>
                <w:color w:val="auto"/>
                <w:sz w:val="20"/>
                <w:szCs w:val="20"/>
                <w:lang w:val="en-US"/>
              </w:rPr>
              <w:t xml:space="preserve"> (72.9% had MR, 2.8% MS, 19% AR and 8.5% AS, 44.4% TR); 2370 used Warfarin.</w:t>
            </w:r>
          </w:p>
        </w:tc>
        <w:tc>
          <w:tcPr>
            <w:tcW w:w="678" w:type="pct"/>
            <w:tcBorders>
              <w:top w:val="nil"/>
              <w:bottom w:val="nil"/>
            </w:tcBorders>
            <w:shd w:val="clear" w:color="auto" w:fill="F2F2F2" w:themeFill="background1" w:themeFillShade="F2"/>
          </w:tcPr>
          <w:p w14:paraId="5BA402B2"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MR 3,526 (73.3%), TR 2124 (44.2%), AR 887 (18.4%), AS 384 (8%), MS 131 (2.7%), previous valve surgery 251 (5.2%).</w:t>
            </w:r>
          </w:p>
        </w:tc>
      </w:tr>
      <w:tr w:rsidR="00F478FF" w:rsidRPr="00902108" w14:paraId="1674793B" w14:textId="77777777" w:rsidTr="00F478FF">
        <w:trPr>
          <w:trHeight w:val="1438"/>
        </w:trPr>
        <w:tc>
          <w:tcPr>
            <w:cnfStyle w:val="001000000000" w:firstRow="0" w:lastRow="0" w:firstColumn="1" w:lastColumn="0" w:oddVBand="0" w:evenVBand="0" w:oddHBand="0" w:evenHBand="0" w:firstRowFirstColumn="0" w:firstRowLastColumn="0" w:lastRowFirstColumn="0" w:lastRowLastColumn="0"/>
            <w:tcW w:w="721" w:type="pct"/>
            <w:tcBorders>
              <w:top w:val="nil"/>
              <w:bottom w:val="nil"/>
            </w:tcBorders>
            <w:noWrap/>
          </w:tcPr>
          <w:p w14:paraId="626ACF50" w14:textId="77777777" w:rsidR="00F478FF" w:rsidRDefault="00F478FF" w:rsidP="001263A3">
            <w:pPr>
              <w:jc w:val="center"/>
              <w:rPr>
                <w:rFonts w:eastAsiaTheme="minorEastAsia" w:cs="Times New Roman"/>
                <w:sz w:val="20"/>
                <w:szCs w:val="20"/>
                <w:lang w:val="en-US"/>
              </w:rPr>
            </w:pPr>
            <w:r w:rsidRPr="00D04E53">
              <w:rPr>
                <w:rFonts w:eastAsiaTheme="minorEastAsia" w:cs="Times New Roman"/>
                <w:color w:val="auto"/>
                <w:sz w:val="20"/>
                <w:szCs w:val="20"/>
                <w:lang w:val="en-US"/>
              </w:rPr>
              <w:br/>
            </w:r>
            <w:proofErr w:type="spellStart"/>
            <w:r w:rsidRPr="00D04E53">
              <w:rPr>
                <w:rFonts w:eastAsiaTheme="minorEastAsia" w:cs="Times New Roman"/>
                <w:color w:val="auto"/>
                <w:sz w:val="20"/>
                <w:szCs w:val="20"/>
                <w:lang w:val="en-US"/>
              </w:rPr>
              <w:t>Duraes</w:t>
            </w:r>
            <w:proofErr w:type="spellEnd"/>
            <w:r w:rsidRPr="00D04E53">
              <w:rPr>
                <w:rFonts w:eastAsiaTheme="minorEastAsia" w:cs="Times New Roman"/>
                <w:color w:val="auto"/>
                <w:sz w:val="20"/>
                <w:szCs w:val="20"/>
                <w:lang w:val="en-US"/>
              </w:rPr>
              <w:t xml:space="preserve"> et al.2016</w:t>
            </w:r>
            <w:r w:rsidRPr="00D04E53">
              <w:rPr>
                <w:rFonts w:eastAsiaTheme="minorEastAsia" w:cs="Times New Roman"/>
                <w:sz w:val="20"/>
                <w:szCs w:val="20"/>
                <w:lang w:val="en-US"/>
              </w:rPr>
              <w:fldChar w:fldCharType="begin" w:fldLock="1"/>
            </w:r>
            <w:r>
              <w:rPr>
                <w:rFonts w:eastAsiaTheme="minorEastAsia" w:cs="Times New Roman"/>
                <w:color w:val="auto"/>
                <w:sz w:val="20"/>
                <w:szCs w:val="20"/>
                <w:lang w:val="en-US"/>
              </w:rPr>
              <w:instrText>ADDIN CSL_CITATION {"citationItems":[{"id":"ITEM-1","itemData":{"DOI":"10.1007/s40268-016-0124-1","abstract":"Objectives Dabigatran is a direct thrombin inhibitor shown to be an effective alternative to warfarin in patients with non-valvular atrial fibrillation (AF). We evaluated the use of dabigatran in patients with bioprosthetic mitral and/ or aortic valve replacement and AF. Methods We selected 34 and randomized 27 patients in a 1:1 ratio to receive dabigatran or warfarin. The primary endpoint was the presence of a new intracardiac thrombus at 90 days, by transesophageal echocardiogram (TEE). Secondary endpoints included the development of dense spontaneous echo contrast (SEC) and incidence of stroke (ischemic or hemorrhagic), myocardium infarction, valve thrombosis and peripheral embolic events. Results The trial was terminated prematurely because of low enrollment. There were 27 patients in total: 15 patients placed in the dabigatran group and 12 in the warfarin group. After 90 days, one patient (8.3 %) in the warfarin group and none in the dabigatran group had developed a new intracardiac thrombus. In the dabigatran group, two patients (13.3 %) developed dense SEC versus one patient (8.3 %) in the warfarin group. In the warfarin group, one patient (8.3 %) presented ischemic stroke, and none did in the dabigatran group. We observed no cases of hemor-rhagic stroke, valve thrombosis, embolic events or myocardial infarction in either group throughout the study. However, one patient (6.7 %) in the dabigatran group had a fully recovered transient ischemic attack and one patient in the warfarin group died of heart failure. Conclusions The use of dabigatran appears to be similar to warfarin in preventing the formation of intracardiac thrombus. Trial Registration Clinicaltrials.gov NCT01868243.","author":[{"dropping-particle":"","family":"Rodrigues Durães","given":"André","non-dropping-particle":"","parse-names":false,"suffix":""},{"dropping-particle":"","family":"Pollianna de Souza Roriz","given":"Bullet","non-dropping-particle":"","parse-names":false,"suffix":""},{"dropping-particle":"","family":"Bianca de Almeida Nunes","given":"Bullet","non-dropping-particle":"","parse-names":false,"suffix":""},{"dropping-particle":"","family":"Pinho Albuquerque","given":"Felipe","non-dropping-particle":"","parse-names":false,"suffix":""},{"dropping-particle":"","family":"Fábio Vieira de Bulhões","given":"Bullet","non-dropping-particle":"","parse-names":false,"suffix":""},{"dropping-particle":"","family":"Andre Mauricio de Souza Fernandes","given":"Bullet","non-dropping-particle":"","parse-names":false,"suffix":""},{"dropping-particle":"","family":"Roque Aras","given":"Bullet","non-dropping-particle":"","parse-names":false,"suffix":""}],"container-title":"Drugs in R&amp;D","id":"ITEM-1","issued":{"date-parts":[["2016"]]},"title":"Dabigatran Versus Warfarin After Bioprosthesis Valve Replacement for the Management of Atrial Fibrillation Postoperatively: DAWA Pilot Study","type":"article-journal","volume":"16"},"uris":["http://www.mendeley.com/documents/?uuid=f25b3bfb-c4da-383d-86ef-8c6980d31ea5"]}],"mendeley":{"formattedCitation":"(7)","plainTextFormattedCitation":"(7)","previouslyFormattedCitation":"(7)"},"properties":{"noteIndex":0},"schema":"https://github.com/citation-style-language/schema/raw/master/csl-citation.json"}</w:instrText>
            </w:r>
            <w:r w:rsidRPr="00D04E53">
              <w:rPr>
                <w:rFonts w:eastAsiaTheme="minorEastAsia" w:cs="Times New Roman"/>
                <w:sz w:val="20"/>
                <w:szCs w:val="20"/>
                <w:lang w:val="en-US"/>
              </w:rPr>
              <w:fldChar w:fldCharType="separate"/>
            </w:r>
            <w:r w:rsidRPr="00DE6F90">
              <w:rPr>
                <w:rFonts w:eastAsiaTheme="minorEastAsia" w:cs="Times New Roman"/>
                <w:b w:val="0"/>
                <w:noProof/>
                <w:color w:val="auto"/>
                <w:sz w:val="20"/>
                <w:szCs w:val="20"/>
                <w:lang w:val="en-US"/>
              </w:rPr>
              <w:t>(7)</w:t>
            </w:r>
            <w:r w:rsidRPr="00D04E53">
              <w:rPr>
                <w:rFonts w:eastAsiaTheme="minorEastAsia" w:cs="Times New Roman"/>
                <w:sz w:val="20"/>
                <w:szCs w:val="20"/>
                <w:lang w:val="en-US"/>
              </w:rPr>
              <w:fldChar w:fldCharType="end"/>
            </w:r>
          </w:p>
          <w:p w14:paraId="36A00E79" w14:textId="77777777" w:rsidR="00F478FF" w:rsidRPr="00D04E53" w:rsidRDefault="00F478FF" w:rsidP="001263A3">
            <w:pPr>
              <w:jc w:val="center"/>
              <w:rPr>
                <w:rFonts w:eastAsiaTheme="minorEastAsia" w:cs="Times New Roman"/>
                <w:color w:val="auto"/>
                <w:sz w:val="20"/>
                <w:szCs w:val="20"/>
                <w:lang w:val="en-US"/>
              </w:rPr>
            </w:pPr>
            <w:r w:rsidRPr="00D04E53">
              <w:rPr>
                <w:rFonts w:eastAsiaTheme="minorEastAsia" w:cs="Times New Roman"/>
                <w:color w:val="auto"/>
                <w:sz w:val="20"/>
                <w:szCs w:val="20"/>
                <w:lang w:val="en-US"/>
              </w:rPr>
              <w:t>(DAWA)</w:t>
            </w:r>
          </w:p>
        </w:tc>
        <w:tc>
          <w:tcPr>
            <w:tcW w:w="996" w:type="pct"/>
            <w:tcBorders>
              <w:top w:val="nil"/>
              <w:bottom w:val="nil"/>
            </w:tcBorders>
          </w:tcPr>
          <w:p w14:paraId="35580CB4" w14:textId="77777777" w:rsidR="00F478FF"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 xml:space="preserve">This is a prospective </w:t>
            </w:r>
            <w:r>
              <w:rPr>
                <w:rFonts w:eastAsiaTheme="minorEastAsia" w:cs="Times New Roman"/>
                <w:color w:val="auto"/>
                <w:sz w:val="20"/>
                <w:szCs w:val="20"/>
                <w:lang w:val="en-US"/>
              </w:rPr>
              <w:t>phase II RCT, pilot, open-label</w:t>
            </w:r>
          </w:p>
          <w:p w14:paraId="0DEC1994" w14:textId="77777777" w:rsidR="00F478FF" w:rsidRPr="001B30D3"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color w:val="auto"/>
                <w:sz w:val="20"/>
                <w:szCs w:val="20"/>
                <w:lang w:val="en-US"/>
              </w:rPr>
            </w:pPr>
            <w:r w:rsidRPr="0094228C">
              <w:rPr>
                <w:rFonts w:eastAsiaTheme="minorEastAsia" w:cs="Times New Roman"/>
                <w:b/>
                <w:color w:val="auto"/>
                <w:sz w:val="20"/>
                <w:szCs w:val="20"/>
                <w:lang w:val="en-US"/>
              </w:rPr>
              <w:t>Follow-up:</w:t>
            </w:r>
            <w:r>
              <w:rPr>
                <w:rFonts w:eastAsiaTheme="minorEastAsia" w:cs="Times New Roman"/>
                <w:b/>
                <w:color w:val="auto"/>
                <w:sz w:val="20"/>
                <w:szCs w:val="20"/>
                <w:lang w:val="en-US"/>
              </w:rPr>
              <w:t xml:space="preserve"> 12 weeks</w:t>
            </w:r>
          </w:p>
        </w:tc>
        <w:tc>
          <w:tcPr>
            <w:tcW w:w="1301" w:type="pct"/>
            <w:tcBorders>
              <w:top w:val="nil"/>
              <w:bottom w:val="nil"/>
            </w:tcBorders>
          </w:tcPr>
          <w:p w14:paraId="359E017B" w14:textId="77777777" w:rsidR="00F478FF" w:rsidRPr="00D04E53"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Dabigatran 110mg BID or Warfarin according to INR.</w:t>
            </w:r>
          </w:p>
        </w:tc>
        <w:tc>
          <w:tcPr>
            <w:tcW w:w="1304" w:type="pct"/>
            <w:tcBorders>
              <w:top w:val="nil"/>
              <w:bottom w:val="nil"/>
            </w:tcBorders>
          </w:tcPr>
          <w:p w14:paraId="09ABA6CD" w14:textId="77777777" w:rsidR="00F478FF" w:rsidRPr="00D04E53"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27 patients recruited; 15 received Dabigatran and 12 Warfarin.</w:t>
            </w:r>
          </w:p>
        </w:tc>
        <w:tc>
          <w:tcPr>
            <w:tcW w:w="678" w:type="pct"/>
            <w:tcBorders>
              <w:top w:val="nil"/>
              <w:bottom w:val="nil"/>
            </w:tcBorders>
          </w:tcPr>
          <w:p w14:paraId="192AB528" w14:textId="77777777" w:rsidR="00F478FF" w:rsidRPr="00D04E53"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 xml:space="preserve">Mitral or aortic </w:t>
            </w:r>
            <w:proofErr w:type="spellStart"/>
            <w:r w:rsidRPr="00D04E53">
              <w:rPr>
                <w:rFonts w:eastAsiaTheme="minorEastAsia" w:cs="Times New Roman"/>
                <w:color w:val="auto"/>
                <w:sz w:val="20"/>
                <w:szCs w:val="20"/>
                <w:lang w:val="en-US"/>
              </w:rPr>
              <w:t>bioprosthesis</w:t>
            </w:r>
            <w:proofErr w:type="spellEnd"/>
            <w:r w:rsidRPr="00D04E53">
              <w:rPr>
                <w:rFonts w:eastAsiaTheme="minorEastAsia" w:cs="Times New Roman"/>
                <w:color w:val="auto"/>
                <w:sz w:val="20"/>
                <w:szCs w:val="20"/>
                <w:lang w:val="en-US"/>
              </w:rPr>
              <w:t>; 11 in mitral position in the Dabigatran group, and 9 from the Warfarin group</w:t>
            </w:r>
          </w:p>
        </w:tc>
      </w:tr>
      <w:tr w:rsidR="00F478FF" w:rsidRPr="00DE6F90" w14:paraId="0E1CF81D" w14:textId="77777777" w:rsidTr="00F478F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21" w:type="pct"/>
            <w:tcBorders>
              <w:top w:val="nil"/>
              <w:bottom w:val="nil"/>
            </w:tcBorders>
            <w:shd w:val="clear" w:color="auto" w:fill="F2F2F2" w:themeFill="background1" w:themeFillShade="F2"/>
            <w:noWrap/>
          </w:tcPr>
          <w:p w14:paraId="0D5B7AAB" w14:textId="77777777" w:rsidR="00F478FF" w:rsidRDefault="00F478FF" w:rsidP="001263A3">
            <w:pPr>
              <w:jc w:val="center"/>
              <w:rPr>
                <w:rFonts w:eastAsiaTheme="minorEastAsia" w:cs="Times New Roman"/>
                <w:sz w:val="20"/>
                <w:szCs w:val="20"/>
                <w:lang w:val="en-US"/>
              </w:rPr>
            </w:pPr>
            <w:proofErr w:type="spellStart"/>
            <w:r w:rsidRPr="00D04E53">
              <w:rPr>
                <w:rFonts w:eastAsiaTheme="minorEastAsia" w:cs="Times New Roman"/>
                <w:color w:val="auto"/>
                <w:sz w:val="20"/>
                <w:szCs w:val="20"/>
                <w:lang w:val="en-US"/>
              </w:rPr>
              <w:t>Ezekowitz</w:t>
            </w:r>
            <w:proofErr w:type="spellEnd"/>
            <w:r w:rsidRPr="00D04E53">
              <w:rPr>
                <w:rFonts w:eastAsiaTheme="minorEastAsia" w:cs="Times New Roman"/>
                <w:color w:val="auto"/>
                <w:sz w:val="20"/>
                <w:szCs w:val="20"/>
                <w:lang w:val="en-US"/>
              </w:rPr>
              <w:t xml:space="preserve"> et al.2016</w:t>
            </w:r>
            <w:r w:rsidRPr="00D04E53">
              <w:rPr>
                <w:rFonts w:eastAsiaTheme="minorEastAsia" w:cs="Times New Roman"/>
                <w:sz w:val="20"/>
                <w:szCs w:val="20"/>
                <w:lang w:val="en-US"/>
              </w:rPr>
              <w:fldChar w:fldCharType="begin" w:fldLock="1"/>
            </w:r>
            <w:r>
              <w:rPr>
                <w:rFonts w:eastAsiaTheme="minorEastAsia" w:cs="Times New Roman"/>
                <w:color w:val="auto"/>
                <w:sz w:val="20"/>
                <w:szCs w:val="20"/>
                <w:lang w:val="en-US"/>
              </w:rPr>
              <w:instrText>ADDIN CSL_CITATION {"citationItems":[{"id":"ITEM-1","itemData":{"DOI":"10.1161/CIRCULATIONAHA.115.020950","ISSN":"0009-7322","PMID":"27496855","abstract":"BACKGROUND The RE-LY trial (Randomized Evaluation of Long-Term Anticoagulant Therapy) compared dabigatran 150 and 110 mg twice daily with warfarin in 18 113 patients with atrial fibrillation. Those with prosthetic heart valves, significant mitral stenosis, and valvular heart disease (VHD) requiring intervention were excluded. Others with VHD were included. METHODS This is a post hoc analysis of the RE-LY trial. RESULTS There were 3950 patients with any VHD: 3101 had mitral regurgitation, 1179 with tricuspid regurgitation, 817 had aortic regurgitation, 471 with aortic stenosis, and 193 with mild mitral stenosis. At baseline, patients with any VHD had more heart failure, coronary disease, renal impairment, and persistent atrial fibrillation. Patients with any VHD had higher rates of major bleeds (hazard ratio [HR], 1.32; 95% confidence interval [CI], 1.16-1.5) but similar stroke or systemic embolism event rates (HR, 1.09; 95% CI, 0.88-1.33). For patients receiving dabigatran 110 mg, major bleed rates were lower than for patients taking warfarin (HR, 0.73; 95% CI, 0.56-0.95 with VHD; HR, 0.84; 95% CI, 0.71-0.99 without VHD), and major bleed rates for dabigatran 150 mg were similar to those for warfarin in patients with VHD (HR, 0.82; 95% CI, 0.64-1.06) or without VHD (HR, 0.98; 95% CI, 0.83-1.15). For dabigatran 150 mg, stroke/systemic embolic event rates were lower compared with warfarin in those with VHD (HR, 0.59; 95% CI, 0.37-0.93) and those without VHD (HR, 0.67; 95% CI, 0.52-0.86), and stroke/systemic embolic event rates were similar for warfarin and dabigatran 110 mg regardless of the presence of VHD (HR, 0.97; 95% CI, 0.65-1.45; and HR, 0.88; 95% CI, 0.70-1.10). Intracranial bleeds and death rates for dabigatran 150 and 110 mg were lower compared with warfarin independently of the presence of VHD. CONCLUSIONS The presence of any VHD did not influence the comparison of dabigatran with warfarin. CLINICAL TRIAL REGISTRATION URL: http://www.clinicaltrials.gov. Unique identifier: NCT00262600.","author":[{"dropping-particle":"","family":"Ezekowitz","given":"Michael D.","non-dropping-particle":"","parse-names":false,"suffix":""},{"dropping-particle":"","family":"Nagarakanti","given":"Rangadham","non-dropping-particle":"","parse-names":false,"suffix":""},{"dropping-particle":"","family":"Noack","given":"Herbert","non-dropping-particle":"","parse-names":false,"suffix":""},{"dropping-particle":"","family":"Brueckmann","given":"Martina","non-dropping-particle":"","parse-names":false,"suffix":""},{"dropping-particle":"","family":"Litherland","given":"Claire","non-dropping-particle":"","parse-names":false,"suffix":""},{"dropping-particle":"","family":"Jacobs","given":"Mark","non-dropping-particle":"","parse-names":false,"suffix":""},{"dropping-particle":"","family":"Clemens","given":"Andreas","non-dropping-particle":"","parse-names":false,"suffix":""},{"dropping-particle":"","family":"Reilly","given":"Paul A.","non-dropping-particle":"","parse-names":false,"suffix":""},{"dropping-particle":"","family":"Connolly","given":"Stuart J.","non-dropping-particle":"","parse-names":false,"suffix":""},{"dropping-particle":"","family":"Yusuf","given":"Salim","non-dropping-particle":"","parse-names":false,"suffix":""},{"dropping-particle":"","family":"Wallentin","given":"Lars","non-dropping-particle":"","parse-names":false,"suffix":""}],"container-title":"Circulation","id":"ITEM-1","issue":"8","issued":{"date-parts":[["2016","8","23"]]},"page":"589-598","title":"Comparison of Dabigatran and Warfarin in Patients With Atrial Fibrillation and Valvular Heart DiseaseClinical Perspective","type":"article-journal","volume":"134"},"uris":["http://www.mendeley.com/documents/?uuid=06ab3bef-dcdb-38c0-9386-b3555bc4994b"]}],"mendeley":{"formattedCitation":"(8)","plainTextFormattedCitation":"(8)","previouslyFormattedCitation":"(8)"},"properties":{"noteIndex":0},"schema":"https://github.com/citation-style-language/schema/raw/master/csl-citation.json"}</w:instrText>
            </w:r>
            <w:r w:rsidRPr="00D04E53">
              <w:rPr>
                <w:rFonts w:eastAsiaTheme="minorEastAsia" w:cs="Times New Roman"/>
                <w:sz w:val="20"/>
                <w:szCs w:val="20"/>
                <w:lang w:val="en-US"/>
              </w:rPr>
              <w:fldChar w:fldCharType="separate"/>
            </w:r>
            <w:r w:rsidRPr="00DE6F90">
              <w:rPr>
                <w:rFonts w:eastAsiaTheme="minorEastAsia" w:cs="Times New Roman"/>
                <w:b w:val="0"/>
                <w:noProof/>
                <w:color w:val="auto"/>
                <w:sz w:val="20"/>
                <w:szCs w:val="20"/>
                <w:lang w:val="en-US"/>
              </w:rPr>
              <w:t>(8)</w:t>
            </w:r>
            <w:r w:rsidRPr="00D04E53">
              <w:rPr>
                <w:rFonts w:eastAsiaTheme="minorEastAsia" w:cs="Times New Roman"/>
                <w:sz w:val="20"/>
                <w:szCs w:val="20"/>
                <w:lang w:val="en-US"/>
              </w:rPr>
              <w:fldChar w:fldCharType="end"/>
            </w:r>
          </w:p>
          <w:p w14:paraId="097DA85F" w14:textId="77777777" w:rsidR="00F478FF" w:rsidRPr="00D04E53" w:rsidRDefault="00F478FF" w:rsidP="001263A3">
            <w:pPr>
              <w:jc w:val="center"/>
              <w:rPr>
                <w:rFonts w:eastAsiaTheme="minorEastAsia" w:cs="Times New Roman"/>
                <w:b w:val="0"/>
                <w:color w:val="auto"/>
                <w:sz w:val="20"/>
                <w:szCs w:val="20"/>
                <w:vertAlign w:val="superscript"/>
                <w:lang w:val="en-US"/>
              </w:rPr>
            </w:pPr>
            <w:r>
              <w:rPr>
                <w:rFonts w:eastAsiaTheme="minorEastAsia" w:cs="Times New Roman"/>
                <w:color w:val="auto"/>
                <w:sz w:val="20"/>
                <w:szCs w:val="20"/>
                <w:lang w:val="en-US"/>
              </w:rPr>
              <w:t>(RE-LY)</w:t>
            </w:r>
          </w:p>
        </w:tc>
        <w:tc>
          <w:tcPr>
            <w:tcW w:w="996" w:type="pct"/>
            <w:tcBorders>
              <w:top w:val="nil"/>
              <w:bottom w:val="nil"/>
            </w:tcBorders>
            <w:shd w:val="clear" w:color="auto" w:fill="F2F2F2" w:themeFill="background1" w:themeFillShade="F2"/>
          </w:tcPr>
          <w:p w14:paraId="34B10B78" w14:textId="77777777" w:rsidR="00F478FF"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Post-hoc analysis of a RCT III, open, prospectiv</w:t>
            </w:r>
            <w:r>
              <w:rPr>
                <w:rFonts w:eastAsiaTheme="minorEastAsia" w:cs="Times New Roman"/>
                <w:color w:val="auto"/>
                <w:sz w:val="20"/>
                <w:szCs w:val="20"/>
                <w:lang w:val="en-US"/>
              </w:rPr>
              <w:t>e, partially blind, multicenter.</w:t>
            </w:r>
          </w:p>
          <w:p w14:paraId="0711D4F6" w14:textId="77777777" w:rsidR="00F478FF" w:rsidRPr="0094228C"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b/>
                <w:color w:val="auto"/>
                <w:sz w:val="20"/>
                <w:szCs w:val="20"/>
                <w:lang w:val="en-US"/>
              </w:rPr>
            </w:pPr>
            <w:r w:rsidRPr="0094228C">
              <w:rPr>
                <w:rFonts w:eastAsiaTheme="minorEastAsia" w:cs="Times New Roman"/>
                <w:b/>
                <w:color w:val="auto"/>
                <w:sz w:val="20"/>
                <w:szCs w:val="20"/>
                <w:lang w:val="en-US"/>
              </w:rPr>
              <w:t>Follow-up:</w:t>
            </w:r>
            <w:r>
              <w:rPr>
                <w:rFonts w:eastAsiaTheme="minorEastAsia" w:cs="Times New Roman"/>
                <w:b/>
                <w:color w:val="auto"/>
                <w:sz w:val="20"/>
                <w:szCs w:val="20"/>
                <w:lang w:val="en-US"/>
              </w:rPr>
              <w:t xml:space="preserve"> 2</w:t>
            </w:r>
            <w:r w:rsidRPr="0094228C">
              <w:rPr>
                <w:rFonts w:eastAsiaTheme="minorEastAsia" w:cs="Times New Roman"/>
                <w:b/>
                <w:color w:val="auto"/>
                <w:sz w:val="20"/>
                <w:szCs w:val="20"/>
                <w:lang w:val="en-US"/>
              </w:rPr>
              <w:t xml:space="preserve"> years</w:t>
            </w:r>
          </w:p>
          <w:p w14:paraId="52239717"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p>
        </w:tc>
        <w:tc>
          <w:tcPr>
            <w:tcW w:w="1301" w:type="pct"/>
            <w:tcBorders>
              <w:top w:val="nil"/>
              <w:bottom w:val="nil"/>
            </w:tcBorders>
            <w:shd w:val="clear" w:color="auto" w:fill="F2F2F2" w:themeFill="background1" w:themeFillShade="F2"/>
          </w:tcPr>
          <w:p w14:paraId="3A683043"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 xml:space="preserve">Dabigatran 110 mg BID or Dabigatran 150 mg BID, or Warfarin (as adjusted from INR </w:t>
            </w:r>
            <w:r>
              <w:rPr>
                <w:rFonts w:eastAsiaTheme="minorEastAsia" w:cs="Times New Roman"/>
                <w:color w:val="auto"/>
                <w:sz w:val="20"/>
                <w:szCs w:val="20"/>
                <w:lang w:val="en-US"/>
              </w:rPr>
              <w:br/>
            </w:r>
            <w:r w:rsidRPr="00D04E53">
              <w:rPr>
                <w:rFonts w:eastAsiaTheme="minorEastAsia" w:cs="Times New Roman"/>
                <w:color w:val="auto"/>
                <w:sz w:val="20"/>
                <w:szCs w:val="20"/>
                <w:lang w:val="en-US"/>
              </w:rPr>
              <w:t>to 2-3).</w:t>
            </w:r>
          </w:p>
        </w:tc>
        <w:tc>
          <w:tcPr>
            <w:tcW w:w="1304" w:type="pct"/>
            <w:tcBorders>
              <w:top w:val="nil"/>
              <w:bottom w:val="nil"/>
            </w:tcBorders>
            <w:shd w:val="clear" w:color="auto" w:fill="F2F2F2" w:themeFill="background1" w:themeFillShade="F2"/>
          </w:tcPr>
          <w:p w14:paraId="4A104B30"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3,950 patients recruited; Uninformed randomization in patients with VHD. *</w:t>
            </w:r>
          </w:p>
        </w:tc>
        <w:tc>
          <w:tcPr>
            <w:tcW w:w="678" w:type="pct"/>
            <w:tcBorders>
              <w:top w:val="nil"/>
              <w:bottom w:val="nil"/>
            </w:tcBorders>
            <w:shd w:val="clear" w:color="auto" w:fill="F2F2F2" w:themeFill="background1" w:themeFillShade="F2"/>
          </w:tcPr>
          <w:p w14:paraId="6E2149E6"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MR 3101 (17.1%), TR 1179 (6.5%), AR 817 (4.5%), AS 471 (2.6%), mild MS 193 (1.1%)</w:t>
            </w:r>
          </w:p>
        </w:tc>
      </w:tr>
      <w:tr w:rsidR="00F478FF" w:rsidRPr="00DE6F90" w14:paraId="19B692A2" w14:textId="77777777" w:rsidTr="00F478FF">
        <w:trPr>
          <w:trHeight w:val="250"/>
        </w:trPr>
        <w:tc>
          <w:tcPr>
            <w:cnfStyle w:val="001000000000" w:firstRow="0" w:lastRow="0" w:firstColumn="1" w:lastColumn="0" w:oddVBand="0" w:evenVBand="0" w:oddHBand="0" w:evenHBand="0" w:firstRowFirstColumn="0" w:firstRowLastColumn="0" w:lastRowFirstColumn="0" w:lastRowLastColumn="0"/>
            <w:tcW w:w="721" w:type="pct"/>
            <w:tcBorders>
              <w:top w:val="nil"/>
              <w:bottom w:val="nil"/>
            </w:tcBorders>
            <w:shd w:val="clear" w:color="auto" w:fill="F2F2F2" w:themeFill="background1" w:themeFillShade="F2"/>
            <w:noWrap/>
          </w:tcPr>
          <w:p w14:paraId="0867383F" w14:textId="77777777" w:rsidR="00F478FF" w:rsidRPr="00F478FF" w:rsidRDefault="00F478FF" w:rsidP="001263A3">
            <w:pPr>
              <w:jc w:val="center"/>
              <w:rPr>
                <w:rFonts w:eastAsiaTheme="minorEastAsia" w:cs="Times New Roman"/>
                <w:sz w:val="20"/>
                <w:szCs w:val="20"/>
              </w:rPr>
            </w:pPr>
            <w:r w:rsidRPr="00F478FF">
              <w:rPr>
                <w:rFonts w:eastAsiaTheme="minorEastAsia" w:cs="Times New Roman"/>
                <w:color w:val="auto"/>
                <w:sz w:val="20"/>
                <w:szCs w:val="20"/>
              </w:rPr>
              <w:lastRenderedPageBreak/>
              <w:t>De Caterina et al.2017</w:t>
            </w:r>
            <w:r w:rsidRPr="00D04E53">
              <w:rPr>
                <w:rFonts w:eastAsiaTheme="minorEastAsia" w:cs="Times New Roman"/>
                <w:sz w:val="20"/>
                <w:szCs w:val="20"/>
              </w:rPr>
              <w:fldChar w:fldCharType="begin" w:fldLock="1"/>
            </w:r>
            <w:r w:rsidRPr="00F478FF">
              <w:rPr>
                <w:rFonts w:eastAsiaTheme="minorEastAsia" w:cs="Times New Roman"/>
                <w:color w:val="auto"/>
                <w:sz w:val="20"/>
                <w:szCs w:val="20"/>
              </w:rPr>
              <w:instrText>ADDIN CSL_CITATION {"citationItems":[{"id":"ITEM-1","itemData":{"DOI":"10.1016/J.JACC.2016.12.031","ISSN":"0735-1097","abstract":"BACKGROUND\nThe use of non-vitamin K antagonist oral anticoagulants (NOACs) instead of vitamin K antagonists (VKAs) in patients with atrial fibrillation (AF) and coexisting valvular heart disease (VHD) is of substantial interest. \n\nOBJECTIVES\nThis study explored outcomes in patients with AF with and without VHD in the ENGAGE AF–TIMI 48 (Effective Anticoagulation with factor Xa Next Generation in Atrial Fibrillation-Thrombolysis In Myocardial Infarction 48) trial, comparing edoxaban with warfarin. \n\nMETHODS\nValvular heart disease was defined as history or baseline echocardiography evidence of at least moderate aortic/mitral regurgitation, aortic stenosis, or prior valve surgery (bioprosthesis replacement, valve repair, valvuloplasty). Patients with moderate to severe mitral stenosis or mechanical heart valves were excluded from the trial. Comparisons were made of rates of stroke/systemic embolic event (SSEE), major bleeding, additional efficacy and safety outcomes, as well as net clinical outcomes, in patients with or without VHD treated with edoxaban or warfarin, using adjusted Cox proportional hazards. \n\nRESULTS\nAfter adjustment for multiple baseline characteristics, compared with no-VHD patients (n = 18,222), VHD patients (n = 2,824) had a similar rate of SSEE but higher rates of death (hazard ratio [HR]: 1.40; 95% confidence interval [CI]:1.26 to 1.56; p &lt;0.001), major adverse cardiovascular events (HR: 1.29; 95% CI: 1.16 to 1.43; p &lt;0.001), and major bleeding (HR: 1.21; 95% CI: 1.03 to 1.42; p = 0.02). Higher-dose edoxaban regimen had efficacy similar to warfarin in the presence of VHD (for SSEE, HR: 0.69; 95% CI: 0.44 to 1.07, in patients with VHD, and HR: 0.91; 95% CI: 0.77 to 1.07, in patients without VHD; p interaction [pint] = 0.26; and for less major bleeding, HR: 0.74; 95% CI: 0.53 to 1.02 in patients with VHD, and HR: 0.82; 95% CI: 0.71 to 0.94, in patients with no VHD; pint = 0.57). \n\nCONCLUSIONS\nThe presence of VHD increased the risk of death, major adverse cardiovascular events, and major bleeding but did not affect the relative efficacy or safety of higher-dose edoxaban versus warfarin in AF. (Global Study to Assess the Safety and Effectiveness of Edoxaban (DU-176b) vs. Standard Practice of Dosing With Warfarin in Patients With Atrial Fibrillation [ENGAGE AF-TIMI 48]; NCT00781391)","author":[{"dropping-particle":"","family":"Caterina","given":"Raffaele","non-dropping-particle":"De","parse-names":false,"suffix":""},{"dropping-particle":"","family":"Renda","given":"Giulia","non-dropping-particle":"","parse-names":false,"suffix":""},{"dropping-particle":"","family":"Carnicelli","given":"Anthony P.","non-dropping-particle":"","parse-names":false,"suffix":""},{"dropping-particle":"","family":"Nordio","given":"Francesco","non-dropping-particle":"","parse-names":false,"suffix":""},{"dropping-particle":"","family":"Trevisan","given":"Marco","non-dropping-particle":"","parse-names":false,"suffix":""},{"dropping-particle":"","family":"Mercuri","given":"Michele F.","non-dropping-particle":"","parse-names":false,"suffix":""},{"dropping-particle":"","family":"Ruff","given":"Christian T.","non-dropping-particle":"","parse-names":false,"suffix":""},{"dropping-particle":"","family":"Antman","given":"Elliott M.","non-dropping-particle":"","parse-names":false,"suffix":""},{"dropping-particle":"","family":"Braunwald","given":"Eugene","non-dropping-particle":"","parse-names":false,"suffix":""},{"dropping-particle":"","family":"Giugliano","given":"Robert P.","non-dropping-particle":"","parse-names":false,"suffix":""}],"container-title":"Journal of the American College of Cardiology","id":"ITEM-1","issue":"11","issued":{"date-parts":[["2017","3","21"]]},"page":"1372-1382","publisher":"Elsevier","title":"Valvular Heart Disease Patients on Edoxaban or Warfarin in the ENGAGE AF-TIMI 48 Trial","type":"article-journal","volume":"69"},"uris":["http://www.mendeley.com/documents/?uuid=b8df981c-bf25-30c0-b37d-ea9722c19bce"]}],"mendeley":{"formattedCitation":"(9)","plainTextFormattedCitation":"(9)","previouslyFormattedCitation":"(9)"},"properties":{"noteIndex":0},"schema":"https://github.com/citation-style-language/schema/raw/master/csl-citation.json"}</w:instrText>
            </w:r>
            <w:r w:rsidRPr="00D04E53">
              <w:rPr>
                <w:rFonts w:eastAsiaTheme="minorEastAsia" w:cs="Times New Roman"/>
                <w:sz w:val="20"/>
                <w:szCs w:val="20"/>
              </w:rPr>
              <w:fldChar w:fldCharType="separate"/>
            </w:r>
            <w:r w:rsidRPr="00F478FF">
              <w:rPr>
                <w:rFonts w:eastAsiaTheme="minorEastAsia" w:cs="Times New Roman"/>
                <w:b w:val="0"/>
                <w:noProof/>
                <w:sz w:val="20"/>
                <w:szCs w:val="20"/>
              </w:rPr>
              <w:t>(9)</w:t>
            </w:r>
            <w:r w:rsidRPr="00D04E53">
              <w:rPr>
                <w:rFonts w:eastAsiaTheme="minorEastAsia" w:cs="Times New Roman"/>
                <w:sz w:val="20"/>
                <w:szCs w:val="20"/>
              </w:rPr>
              <w:fldChar w:fldCharType="end"/>
            </w:r>
          </w:p>
          <w:p w14:paraId="7AE575D7" w14:textId="77777777" w:rsidR="00F478FF" w:rsidRPr="00F478FF" w:rsidRDefault="00F478FF" w:rsidP="001263A3">
            <w:pPr>
              <w:jc w:val="center"/>
              <w:rPr>
                <w:rFonts w:eastAsiaTheme="minorEastAsia" w:cs="Times New Roman"/>
                <w:sz w:val="20"/>
                <w:szCs w:val="20"/>
              </w:rPr>
            </w:pPr>
            <w:r w:rsidRPr="00F478FF">
              <w:rPr>
                <w:rFonts w:eastAsiaTheme="minorEastAsia" w:cs="Times New Roman"/>
                <w:color w:val="auto"/>
                <w:sz w:val="20"/>
                <w:szCs w:val="20"/>
              </w:rPr>
              <w:t>(ENGAGE AF-TIME 48)</w:t>
            </w:r>
          </w:p>
        </w:tc>
        <w:tc>
          <w:tcPr>
            <w:tcW w:w="996" w:type="pct"/>
            <w:tcBorders>
              <w:top w:val="nil"/>
              <w:bottom w:val="nil"/>
            </w:tcBorders>
            <w:shd w:val="clear" w:color="auto" w:fill="F2F2F2" w:themeFill="background1" w:themeFillShade="F2"/>
          </w:tcPr>
          <w:p w14:paraId="4FE6B8B5" w14:textId="77777777" w:rsidR="00F478FF"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 xml:space="preserve">Post-hoc analyzes of a phase III RCT, </w:t>
            </w:r>
            <w:proofErr w:type="gramStart"/>
            <w:r w:rsidRPr="00D04E53">
              <w:rPr>
                <w:rFonts w:eastAsiaTheme="minorEastAsia" w:cs="Times New Roman"/>
                <w:color w:val="auto"/>
                <w:sz w:val="20"/>
                <w:szCs w:val="20"/>
                <w:lang w:val="en-US"/>
              </w:rPr>
              <w:t>double-blind</w:t>
            </w:r>
            <w:proofErr w:type="gramEnd"/>
            <w:r w:rsidRPr="00D04E53">
              <w:rPr>
                <w:rFonts w:eastAsiaTheme="minorEastAsia" w:cs="Times New Roman"/>
                <w:color w:val="auto"/>
                <w:sz w:val="20"/>
                <w:szCs w:val="20"/>
                <w:lang w:val="en-US"/>
              </w:rPr>
              <w:t>.</w:t>
            </w:r>
          </w:p>
          <w:p w14:paraId="6148DE7B" w14:textId="77777777" w:rsidR="00F478FF" w:rsidRPr="0094228C"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color w:val="auto"/>
                <w:sz w:val="20"/>
                <w:szCs w:val="20"/>
                <w:lang w:val="en-US"/>
              </w:rPr>
            </w:pPr>
            <w:r>
              <w:rPr>
                <w:rFonts w:eastAsiaTheme="minorEastAsia" w:cs="Times New Roman"/>
                <w:b/>
                <w:color w:val="auto"/>
                <w:sz w:val="20"/>
                <w:szCs w:val="20"/>
                <w:lang w:val="en-US"/>
              </w:rPr>
              <w:t xml:space="preserve">Follow-up: </w:t>
            </w:r>
            <w:r w:rsidRPr="0094228C">
              <w:rPr>
                <w:rFonts w:eastAsiaTheme="minorEastAsia" w:cs="Times New Roman"/>
                <w:b/>
                <w:color w:val="auto"/>
                <w:sz w:val="20"/>
                <w:szCs w:val="20"/>
                <w:lang w:val="en-US"/>
              </w:rPr>
              <w:t>2.8 years</w:t>
            </w:r>
          </w:p>
          <w:p w14:paraId="438BEFA6" w14:textId="77777777" w:rsidR="00F478FF" w:rsidRPr="00D04E53"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US"/>
              </w:rPr>
            </w:pPr>
          </w:p>
        </w:tc>
        <w:tc>
          <w:tcPr>
            <w:tcW w:w="1301" w:type="pct"/>
            <w:tcBorders>
              <w:top w:val="nil"/>
              <w:bottom w:val="nil"/>
            </w:tcBorders>
            <w:shd w:val="clear" w:color="auto" w:fill="F2F2F2" w:themeFill="background1" w:themeFillShade="F2"/>
          </w:tcPr>
          <w:p w14:paraId="6A757A69" w14:textId="77777777" w:rsidR="00F478FF" w:rsidRPr="00D04E53"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proofErr w:type="spellStart"/>
            <w:r>
              <w:rPr>
                <w:rFonts w:eastAsiaTheme="minorEastAsia" w:cs="Times New Roman"/>
                <w:color w:val="auto"/>
                <w:sz w:val="20"/>
                <w:szCs w:val="20"/>
                <w:lang w:val="en-US"/>
              </w:rPr>
              <w:t>Edoxaban</w:t>
            </w:r>
            <w:proofErr w:type="spellEnd"/>
            <w:r>
              <w:rPr>
                <w:rFonts w:eastAsiaTheme="minorEastAsia" w:cs="Times New Roman"/>
                <w:color w:val="auto"/>
                <w:sz w:val="20"/>
                <w:szCs w:val="20"/>
                <w:lang w:val="en-US"/>
              </w:rPr>
              <w:t xml:space="preserve"> 60 mg QD (30 mg QD if </w:t>
            </w:r>
            <w:r w:rsidRPr="00D04E53">
              <w:rPr>
                <w:rFonts w:eastAsiaTheme="minorEastAsia" w:cs="Times New Roman"/>
                <w:color w:val="auto"/>
                <w:sz w:val="20"/>
                <w:szCs w:val="20"/>
                <w:lang w:val="en-US"/>
              </w:rPr>
              <w:t xml:space="preserve">≥ 1 of the criteria: </w:t>
            </w:r>
            <w:proofErr w:type="spellStart"/>
            <w:r w:rsidRPr="00D04E53">
              <w:rPr>
                <w:rFonts w:eastAsiaTheme="minorEastAsia" w:cs="Times New Roman"/>
                <w:color w:val="auto"/>
                <w:sz w:val="20"/>
                <w:szCs w:val="20"/>
                <w:lang w:val="en-US"/>
              </w:rPr>
              <w:t>CrCl</w:t>
            </w:r>
            <w:proofErr w:type="spellEnd"/>
            <w:r w:rsidRPr="00D04E53">
              <w:rPr>
                <w:rFonts w:eastAsiaTheme="minorEastAsia" w:cs="Times New Roman"/>
                <w:color w:val="auto"/>
                <w:sz w:val="20"/>
                <w:szCs w:val="20"/>
                <w:lang w:val="en-US"/>
              </w:rPr>
              <w:t xml:space="preserve"> 30-50 ml/min, ≤60 kg, or concomitant therapy with P-</w:t>
            </w:r>
            <w:proofErr w:type="spellStart"/>
            <w:r w:rsidRPr="00D04E53">
              <w:rPr>
                <w:rFonts w:eastAsiaTheme="minorEastAsia" w:cs="Times New Roman"/>
                <w:color w:val="auto"/>
                <w:sz w:val="20"/>
                <w:szCs w:val="20"/>
                <w:lang w:val="en-US"/>
              </w:rPr>
              <w:t>gp</w:t>
            </w:r>
            <w:proofErr w:type="spellEnd"/>
            <w:r w:rsidRPr="00D04E53">
              <w:rPr>
                <w:rFonts w:eastAsiaTheme="minorEastAsia" w:cs="Times New Roman"/>
                <w:color w:val="auto"/>
                <w:sz w:val="20"/>
                <w:szCs w:val="20"/>
                <w:lang w:val="en-US"/>
              </w:rPr>
              <w:t xml:space="preserve"> inhibitors</w:t>
            </w:r>
            <w:r>
              <w:rPr>
                <w:rFonts w:eastAsiaTheme="minorEastAsia" w:cs="Times New Roman"/>
                <w:color w:val="auto"/>
                <w:sz w:val="20"/>
                <w:szCs w:val="20"/>
                <w:lang w:val="en-US"/>
              </w:rPr>
              <w:t>)</w:t>
            </w:r>
            <w:r w:rsidRPr="00D04E53">
              <w:rPr>
                <w:rFonts w:eastAsiaTheme="minorEastAsia" w:cs="Times New Roman"/>
                <w:color w:val="auto"/>
                <w:sz w:val="20"/>
                <w:szCs w:val="20"/>
                <w:lang w:val="en-US"/>
              </w:rPr>
              <w:t xml:space="preserve"> </w:t>
            </w:r>
            <w:r>
              <w:rPr>
                <w:rFonts w:eastAsiaTheme="minorEastAsia" w:cs="Times New Roman"/>
                <w:color w:val="auto"/>
                <w:sz w:val="20"/>
                <w:szCs w:val="20"/>
                <w:lang w:val="en-US"/>
              </w:rPr>
              <w:t>or</w:t>
            </w:r>
            <w:r w:rsidRPr="00D04E53">
              <w:rPr>
                <w:rFonts w:eastAsiaTheme="minorEastAsia" w:cs="Times New Roman"/>
                <w:color w:val="auto"/>
                <w:sz w:val="20"/>
                <w:szCs w:val="20"/>
                <w:lang w:val="en-US"/>
              </w:rPr>
              <w:t xml:space="preserve"> </w:t>
            </w:r>
            <w:proofErr w:type="spellStart"/>
            <w:r w:rsidRPr="00D04E53">
              <w:rPr>
                <w:rFonts w:eastAsiaTheme="minorEastAsia" w:cs="Times New Roman"/>
                <w:color w:val="auto"/>
                <w:sz w:val="20"/>
                <w:szCs w:val="20"/>
                <w:lang w:val="en-US"/>
              </w:rPr>
              <w:t>Edoxaban</w:t>
            </w:r>
            <w:proofErr w:type="spellEnd"/>
            <w:r w:rsidRPr="00D04E53">
              <w:rPr>
                <w:rFonts w:eastAsiaTheme="minorEastAsia" w:cs="Times New Roman"/>
                <w:color w:val="auto"/>
                <w:sz w:val="20"/>
                <w:szCs w:val="20"/>
                <w:lang w:val="en-US"/>
              </w:rPr>
              <w:t xml:space="preserve"> 30 mg QD (</w:t>
            </w:r>
            <w:r>
              <w:rPr>
                <w:rFonts w:eastAsiaTheme="minorEastAsia" w:cs="Times New Roman"/>
                <w:color w:val="auto"/>
                <w:sz w:val="20"/>
                <w:szCs w:val="20"/>
                <w:lang w:val="en-US"/>
              </w:rPr>
              <w:t xml:space="preserve">or </w:t>
            </w:r>
            <w:r w:rsidRPr="00D04E53">
              <w:rPr>
                <w:rFonts w:eastAsiaTheme="minorEastAsia" w:cs="Times New Roman"/>
                <w:color w:val="auto"/>
                <w:sz w:val="20"/>
                <w:szCs w:val="20"/>
                <w:lang w:val="en-US"/>
              </w:rPr>
              <w:t xml:space="preserve">15 mg QD with ≥ 1 of </w:t>
            </w:r>
            <w:r>
              <w:rPr>
                <w:rFonts w:eastAsiaTheme="minorEastAsia" w:cs="Times New Roman"/>
                <w:color w:val="auto"/>
                <w:sz w:val="20"/>
                <w:szCs w:val="20"/>
                <w:lang w:val="en-US"/>
              </w:rPr>
              <w:t xml:space="preserve">the previous criterion) </w:t>
            </w:r>
            <w:r w:rsidRPr="00D04E53">
              <w:rPr>
                <w:rFonts w:eastAsiaTheme="minorEastAsia" w:cs="Times New Roman"/>
                <w:color w:val="auto"/>
                <w:sz w:val="20"/>
                <w:szCs w:val="20"/>
                <w:lang w:val="en-US"/>
              </w:rPr>
              <w:t>or Warfarin according to INR.</w:t>
            </w:r>
          </w:p>
        </w:tc>
        <w:tc>
          <w:tcPr>
            <w:tcW w:w="1304" w:type="pct"/>
            <w:tcBorders>
              <w:top w:val="nil"/>
              <w:bottom w:val="nil"/>
            </w:tcBorders>
            <w:shd w:val="clear" w:color="auto" w:fill="F2F2F2" w:themeFill="background1" w:themeFillShade="F2"/>
          </w:tcPr>
          <w:p w14:paraId="37E5F672" w14:textId="77777777" w:rsidR="00F478FF" w:rsidRPr="00D04E53"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US"/>
              </w:rPr>
            </w:pPr>
            <w:r>
              <w:rPr>
                <w:rFonts w:eastAsiaTheme="minorEastAsia" w:cs="Times New Roman"/>
                <w:color w:val="auto"/>
                <w:sz w:val="20"/>
                <w:szCs w:val="20"/>
                <w:lang w:val="en-US"/>
              </w:rPr>
              <w:t>2.</w:t>
            </w:r>
            <w:r w:rsidRPr="00D04E53">
              <w:rPr>
                <w:rFonts w:eastAsiaTheme="minorEastAsia" w:cs="Times New Roman"/>
                <w:color w:val="auto"/>
                <w:sz w:val="20"/>
                <w:szCs w:val="20"/>
                <w:lang w:val="en-US"/>
              </w:rPr>
              <w:t>824 patients recruited; Uninformed randomization in patients with VHD.</w:t>
            </w:r>
          </w:p>
        </w:tc>
        <w:tc>
          <w:tcPr>
            <w:tcW w:w="678" w:type="pct"/>
            <w:tcBorders>
              <w:top w:val="nil"/>
              <w:bottom w:val="nil"/>
            </w:tcBorders>
            <w:shd w:val="clear" w:color="auto" w:fill="F2F2F2" w:themeFill="background1" w:themeFillShade="F2"/>
          </w:tcPr>
          <w:p w14:paraId="0C2C4743" w14:textId="77777777" w:rsidR="00F478FF" w:rsidRPr="00D04E53"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US"/>
              </w:rPr>
            </w:pPr>
            <w:r w:rsidRPr="00D04E53">
              <w:rPr>
                <w:rFonts w:eastAsiaTheme="minorEastAsia" w:cs="Times New Roman"/>
                <w:color w:val="auto"/>
                <w:sz w:val="20"/>
                <w:szCs w:val="20"/>
                <w:lang w:val="en-US"/>
              </w:rPr>
              <w:t xml:space="preserve">191 patients with </w:t>
            </w:r>
            <w:proofErr w:type="spellStart"/>
            <w:r w:rsidRPr="00D04E53">
              <w:rPr>
                <w:rFonts w:eastAsiaTheme="minorEastAsia" w:cs="Times New Roman"/>
                <w:color w:val="auto"/>
                <w:sz w:val="20"/>
                <w:szCs w:val="20"/>
                <w:lang w:val="en-US"/>
              </w:rPr>
              <w:t>bioprosthesis</w:t>
            </w:r>
            <w:proofErr w:type="spellEnd"/>
            <w:r w:rsidRPr="00D04E53">
              <w:rPr>
                <w:rFonts w:eastAsiaTheme="minorEastAsia" w:cs="Times New Roman"/>
                <w:color w:val="auto"/>
                <w:sz w:val="20"/>
                <w:szCs w:val="20"/>
                <w:lang w:val="en-US"/>
              </w:rPr>
              <w:t xml:space="preserve">; aortic position (31.4%), mitral position (68.6%). MR, 2.250 (10.7%); 369, AR (17%); AS, 165 (0.8%); </w:t>
            </w:r>
            <w:proofErr w:type="spellStart"/>
            <w:r w:rsidRPr="00D04E53">
              <w:rPr>
                <w:rFonts w:eastAsiaTheme="minorEastAsia" w:cs="Times New Roman"/>
                <w:color w:val="auto"/>
                <w:sz w:val="20"/>
                <w:szCs w:val="20"/>
                <w:lang w:val="en-US"/>
              </w:rPr>
              <w:t>valvular</w:t>
            </w:r>
            <w:proofErr w:type="spellEnd"/>
            <w:r w:rsidRPr="00D04E53">
              <w:rPr>
                <w:rFonts w:eastAsiaTheme="minorEastAsia" w:cs="Times New Roman"/>
                <w:color w:val="auto"/>
                <w:sz w:val="20"/>
                <w:szCs w:val="20"/>
                <w:lang w:val="en-US"/>
              </w:rPr>
              <w:t xml:space="preserve"> repair surgery, 123 (0.6%); </w:t>
            </w:r>
            <w:proofErr w:type="spellStart"/>
            <w:r w:rsidRPr="00D04E53">
              <w:rPr>
                <w:rFonts w:eastAsiaTheme="minorEastAsia" w:cs="Times New Roman"/>
                <w:color w:val="auto"/>
                <w:sz w:val="20"/>
                <w:szCs w:val="20"/>
                <w:lang w:val="en-US"/>
              </w:rPr>
              <w:t>valvuloplasty</w:t>
            </w:r>
            <w:proofErr w:type="spellEnd"/>
            <w:r w:rsidRPr="00D04E53">
              <w:rPr>
                <w:rFonts w:eastAsiaTheme="minorEastAsia" w:cs="Times New Roman"/>
                <w:color w:val="auto"/>
                <w:sz w:val="20"/>
                <w:szCs w:val="20"/>
                <w:lang w:val="en-US"/>
              </w:rPr>
              <w:t>, 19 (0.9%).</w:t>
            </w:r>
          </w:p>
        </w:tc>
      </w:tr>
      <w:tr w:rsidR="00F478FF" w:rsidRPr="00DE6F90" w14:paraId="14A7627B" w14:textId="77777777" w:rsidTr="00F478F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21" w:type="pct"/>
            <w:tcBorders>
              <w:top w:val="nil"/>
              <w:bottom w:val="nil"/>
            </w:tcBorders>
            <w:shd w:val="clear" w:color="auto" w:fill="FFFFFF" w:themeFill="background1"/>
            <w:noWrap/>
          </w:tcPr>
          <w:p w14:paraId="0C241AA9" w14:textId="77777777" w:rsidR="00F478FF" w:rsidRPr="001B30D3" w:rsidRDefault="00F478FF" w:rsidP="001263A3">
            <w:pPr>
              <w:jc w:val="center"/>
              <w:rPr>
                <w:rFonts w:eastAsiaTheme="minorEastAsia" w:cs="Times New Roman"/>
                <w:sz w:val="20"/>
                <w:szCs w:val="20"/>
                <w:vertAlign w:val="superscript"/>
                <w:lang w:val="en-US"/>
              </w:rPr>
            </w:pPr>
            <w:proofErr w:type="spellStart"/>
            <w:r w:rsidRPr="00FB076A">
              <w:rPr>
                <w:rFonts w:eastAsiaTheme="minorEastAsia" w:cs="Times New Roman"/>
                <w:color w:val="auto"/>
                <w:sz w:val="20"/>
                <w:szCs w:val="20"/>
                <w:lang w:val="en-US"/>
              </w:rPr>
              <w:t>Durães</w:t>
            </w:r>
            <w:proofErr w:type="spellEnd"/>
            <w:r w:rsidRPr="00FB076A">
              <w:rPr>
                <w:rFonts w:eastAsiaTheme="minorEastAsia" w:cs="Times New Roman"/>
                <w:color w:val="auto"/>
                <w:sz w:val="20"/>
                <w:szCs w:val="20"/>
                <w:lang w:val="en-US"/>
              </w:rPr>
              <w:t xml:space="preserve"> et al.2020</w:t>
            </w:r>
            <w:r w:rsidRPr="00FB076A">
              <w:rPr>
                <w:rFonts w:eastAsiaTheme="minorEastAsia" w:cs="Times New Roman"/>
                <w:color w:val="auto"/>
                <w:sz w:val="20"/>
                <w:szCs w:val="20"/>
                <w:vertAlign w:val="superscript"/>
                <w:lang w:val="en-US"/>
              </w:rPr>
              <w:t>22</w:t>
            </w:r>
          </w:p>
          <w:p w14:paraId="601F75A6" w14:textId="77777777" w:rsidR="00F478FF" w:rsidRPr="00FB076A" w:rsidRDefault="00F478FF" w:rsidP="001263A3">
            <w:pPr>
              <w:jc w:val="center"/>
              <w:rPr>
                <w:rFonts w:eastAsiaTheme="minorEastAsia" w:cs="Times New Roman"/>
                <w:sz w:val="20"/>
                <w:szCs w:val="20"/>
                <w:lang w:val="en-US"/>
              </w:rPr>
            </w:pPr>
            <w:r w:rsidRPr="00FB076A">
              <w:rPr>
                <w:rFonts w:eastAsiaTheme="minorEastAsia" w:cs="Times New Roman"/>
                <w:color w:val="auto"/>
                <w:sz w:val="20"/>
                <w:szCs w:val="20"/>
                <w:lang w:val="en-US"/>
              </w:rPr>
              <w:t>(RIWA)</w:t>
            </w:r>
          </w:p>
        </w:tc>
        <w:tc>
          <w:tcPr>
            <w:tcW w:w="996" w:type="pct"/>
            <w:tcBorders>
              <w:top w:val="nil"/>
              <w:bottom w:val="nil"/>
            </w:tcBorders>
            <w:shd w:val="clear" w:color="auto" w:fill="FFFFFF" w:themeFill="background1"/>
          </w:tcPr>
          <w:p w14:paraId="31F13A3F" w14:textId="77777777" w:rsidR="00F478FF" w:rsidRPr="00561552"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 xml:space="preserve">This is a prospective </w:t>
            </w:r>
            <w:r>
              <w:rPr>
                <w:rFonts w:eastAsiaTheme="minorEastAsia" w:cs="Times New Roman"/>
                <w:color w:val="auto"/>
                <w:sz w:val="20"/>
                <w:szCs w:val="20"/>
                <w:lang w:val="en-US"/>
              </w:rPr>
              <w:t>phase II RCT, pilot, open-label</w:t>
            </w:r>
            <w:r>
              <w:rPr>
                <w:rFonts w:eastAsiaTheme="minorEastAsia" w:cs="Times New Roman"/>
                <w:color w:val="auto"/>
                <w:sz w:val="20"/>
                <w:szCs w:val="20"/>
                <w:lang w:val="en-US"/>
              </w:rPr>
              <w:br/>
            </w:r>
            <w:r w:rsidRPr="0094228C">
              <w:rPr>
                <w:rFonts w:eastAsiaTheme="minorEastAsia" w:cs="Times New Roman"/>
                <w:b/>
                <w:color w:val="auto"/>
                <w:sz w:val="20"/>
                <w:szCs w:val="20"/>
                <w:lang w:val="en-US"/>
              </w:rPr>
              <w:t>Follow-up:</w:t>
            </w:r>
            <w:r>
              <w:rPr>
                <w:rFonts w:eastAsiaTheme="minorEastAsia" w:cs="Times New Roman"/>
                <w:b/>
                <w:color w:val="auto"/>
                <w:sz w:val="20"/>
                <w:szCs w:val="20"/>
                <w:lang w:val="en-US"/>
              </w:rPr>
              <w:t xml:space="preserve"> 12</w:t>
            </w:r>
            <w:r w:rsidRPr="0094228C">
              <w:rPr>
                <w:rFonts w:eastAsiaTheme="minorEastAsia" w:cs="Times New Roman"/>
                <w:b/>
                <w:color w:val="auto"/>
                <w:sz w:val="20"/>
                <w:szCs w:val="20"/>
                <w:lang w:val="en-US"/>
              </w:rPr>
              <w:t xml:space="preserve"> </w:t>
            </w:r>
            <w:r>
              <w:rPr>
                <w:rFonts w:eastAsiaTheme="minorEastAsia" w:cs="Times New Roman"/>
                <w:b/>
                <w:color w:val="auto"/>
                <w:sz w:val="20"/>
                <w:szCs w:val="20"/>
                <w:lang w:val="en-US"/>
              </w:rPr>
              <w:t>weeks</w:t>
            </w:r>
          </w:p>
        </w:tc>
        <w:tc>
          <w:tcPr>
            <w:tcW w:w="1301" w:type="pct"/>
            <w:tcBorders>
              <w:top w:val="nil"/>
              <w:bottom w:val="nil"/>
            </w:tcBorders>
            <w:shd w:val="clear" w:color="auto" w:fill="FFFFFF" w:themeFill="background1"/>
          </w:tcPr>
          <w:p w14:paraId="0E544DAB"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Rivaroxaban 15</w:t>
            </w:r>
            <w:r w:rsidRPr="00D04E53">
              <w:rPr>
                <w:rFonts w:eastAsiaTheme="minorEastAsia" w:cs="Times New Roman"/>
                <w:color w:val="auto"/>
                <w:sz w:val="20"/>
                <w:szCs w:val="20"/>
                <w:lang w:val="en-US"/>
              </w:rPr>
              <w:t>mg BID or Warfarin according to INR.</w:t>
            </w:r>
          </w:p>
        </w:tc>
        <w:tc>
          <w:tcPr>
            <w:tcW w:w="1304" w:type="pct"/>
            <w:tcBorders>
              <w:top w:val="nil"/>
              <w:bottom w:val="nil"/>
            </w:tcBorders>
            <w:shd w:val="clear" w:color="auto" w:fill="FFFFFF" w:themeFill="background1"/>
          </w:tcPr>
          <w:p w14:paraId="5334573C"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44 patients recruited; 23</w:t>
            </w:r>
            <w:r w:rsidRPr="00D04E53">
              <w:rPr>
                <w:rFonts w:eastAsiaTheme="minorEastAsia" w:cs="Times New Roman"/>
                <w:color w:val="auto"/>
                <w:sz w:val="20"/>
                <w:szCs w:val="20"/>
                <w:lang w:val="en-US"/>
              </w:rPr>
              <w:t xml:space="preserve"> received </w:t>
            </w:r>
            <w:r>
              <w:rPr>
                <w:rFonts w:eastAsiaTheme="minorEastAsia" w:cs="Times New Roman"/>
                <w:color w:val="auto"/>
                <w:sz w:val="20"/>
                <w:szCs w:val="20"/>
                <w:lang w:val="en-US"/>
              </w:rPr>
              <w:t xml:space="preserve">Rivaroxaban and 21 </w:t>
            </w:r>
            <w:r w:rsidRPr="00D04E53">
              <w:rPr>
                <w:rFonts w:eastAsiaTheme="minorEastAsia" w:cs="Times New Roman"/>
                <w:color w:val="auto"/>
                <w:sz w:val="20"/>
                <w:szCs w:val="20"/>
                <w:lang w:val="en-US"/>
              </w:rPr>
              <w:t>Warfarin.</w:t>
            </w:r>
          </w:p>
        </w:tc>
        <w:tc>
          <w:tcPr>
            <w:tcW w:w="678" w:type="pct"/>
            <w:tcBorders>
              <w:top w:val="nil"/>
              <w:bottom w:val="nil"/>
            </w:tcBorders>
            <w:shd w:val="clear" w:color="auto" w:fill="FFFFFF" w:themeFill="background1"/>
          </w:tcPr>
          <w:p w14:paraId="1A0388E4" w14:textId="77777777" w:rsidR="00F478FF" w:rsidRPr="00D04E53" w:rsidRDefault="00F478FF" w:rsidP="001263A3">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 xml:space="preserve">Mitral or aortic </w:t>
            </w:r>
            <w:r>
              <w:rPr>
                <w:rFonts w:eastAsiaTheme="minorEastAsia" w:cs="Times New Roman"/>
                <w:color w:val="auto"/>
                <w:sz w:val="20"/>
                <w:szCs w:val="20"/>
                <w:lang w:val="en-US"/>
              </w:rPr>
              <w:t xml:space="preserve">MHV; 26 isolated mitral; 8 isolated aortic; 10 </w:t>
            </w:r>
            <w:proofErr w:type="spellStart"/>
            <w:r>
              <w:rPr>
                <w:rFonts w:eastAsiaTheme="minorEastAsia" w:cs="Times New Roman"/>
                <w:color w:val="auto"/>
                <w:sz w:val="20"/>
                <w:szCs w:val="20"/>
                <w:lang w:val="en-US"/>
              </w:rPr>
              <w:t>mitroaortic</w:t>
            </w:r>
            <w:proofErr w:type="spellEnd"/>
            <w:r>
              <w:rPr>
                <w:rFonts w:eastAsiaTheme="minorEastAsia" w:cs="Times New Roman"/>
                <w:color w:val="auto"/>
                <w:sz w:val="20"/>
                <w:szCs w:val="20"/>
                <w:lang w:val="en-US"/>
              </w:rPr>
              <w:t>.</w:t>
            </w:r>
          </w:p>
        </w:tc>
      </w:tr>
      <w:tr w:rsidR="00F478FF" w:rsidRPr="00DE6F90" w14:paraId="092669E4" w14:textId="77777777" w:rsidTr="00F478FF">
        <w:trPr>
          <w:trHeight w:val="250"/>
        </w:trPr>
        <w:tc>
          <w:tcPr>
            <w:cnfStyle w:val="001000000000" w:firstRow="0" w:lastRow="0" w:firstColumn="1" w:lastColumn="0" w:oddVBand="0" w:evenVBand="0" w:oddHBand="0" w:evenHBand="0" w:firstRowFirstColumn="0" w:firstRowLastColumn="0" w:lastRowFirstColumn="0" w:lastRowLastColumn="0"/>
            <w:tcW w:w="721" w:type="pct"/>
            <w:tcBorders>
              <w:top w:val="nil"/>
              <w:bottom w:val="single" w:sz="4" w:space="0" w:color="auto"/>
            </w:tcBorders>
            <w:shd w:val="clear" w:color="auto" w:fill="F2F2F2" w:themeFill="background1" w:themeFillShade="F2"/>
            <w:noWrap/>
          </w:tcPr>
          <w:p w14:paraId="7479BF61" w14:textId="77777777" w:rsidR="00F478FF" w:rsidRPr="00CE6001" w:rsidRDefault="00F478FF" w:rsidP="001263A3">
            <w:pPr>
              <w:jc w:val="center"/>
              <w:rPr>
                <w:rFonts w:eastAsiaTheme="minorEastAsia" w:cs="Times New Roman"/>
                <w:sz w:val="20"/>
                <w:szCs w:val="20"/>
                <w:lang w:val="en-US"/>
              </w:rPr>
            </w:pPr>
            <w:proofErr w:type="spellStart"/>
            <w:r w:rsidRPr="00CE6001">
              <w:rPr>
                <w:rFonts w:eastAsiaTheme="minorEastAsia" w:cs="Times New Roman"/>
                <w:color w:val="auto"/>
                <w:sz w:val="20"/>
                <w:szCs w:val="20"/>
                <w:lang w:val="en-US"/>
              </w:rPr>
              <w:t>Guimarães</w:t>
            </w:r>
            <w:proofErr w:type="spellEnd"/>
            <w:r w:rsidRPr="00CE6001">
              <w:rPr>
                <w:rFonts w:eastAsiaTheme="minorEastAsia" w:cs="Times New Roman"/>
                <w:color w:val="auto"/>
                <w:sz w:val="20"/>
                <w:szCs w:val="20"/>
                <w:lang w:val="en-US"/>
              </w:rPr>
              <w:t xml:space="preserve"> et al. </w:t>
            </w:r>
            <w:r>
              <w:rPr>
                <w:rFonts w:eastAsiaTheme="minorEastAsia" w:cs="Times New Roman"/>
                <w:color w:val="auto"/>
                <w:sz w:val="20"/>
                <w:szCs w:val="20"/>
                <w:lang w:val="en-US"/>
              </w:rPr>
              <w:t>2020</w:t>
            </w:r>
            <w:r w:rsidRPr="00CE6001">
              <w:rPr>
                <w:rFonts w:eastAsiaTheme="minorEastAsia" w:cs="Times New Roman"/>
                <w:color w:val="auto"/>
                <w:sz w:val="20"/>
                <w:szCs w:val="20"/>
                <w:vertAlign w:val="superscript"/>
                <w:lang w:val="en-US"/>
              </w:rPr>
              <w:t>23</w:t>
            </w:r>
          </w:p>
          <w:p w14:paraId="7DAFDD00" w14:textId="77777777" w:rsidR="00F478FF" w:rsidRPr="00CE6001" w:rsidRDefault="00F478FF" w:rsidP="001263A3">
            <w:pPr>
              <w:jc w:val="center"/>
              <w:rPr>
                <w:rFonts w:eastAsiaTheme="minorEastAsia" w:cs="Times New Roman"/>
                <w:sz w:val="20"/>
                <w:szCs w:val="20"/>
                <w:lang w:val="en-US"/>
              </w:rPr>
            </w:pPr>
            <w:r w:rsidRPr="00CE6001">
              <w:rPr>
                <w:rFonts w:eastAsiaTheme="minorEastAsia" w:cs="Times New Roman"/>
                <w:color w:val="auto"/>
                <w:sz w:val="20"/>
                <w:szCs w:val="20"/>
                <w:lang w:val="en-US"/>
              </w:rPr>
              <w:t>(</w:t>
            </w:r>
            <w:r>
              <w:rPr>
                <w:rFonts w:eastAsiaTheme="minorEastAsia" w:cs="Times New Roman"/>
                <w:color w:val="auto"/>
                <w:sz w:val="20"/>
                <w:szCs w:val="20"/>
                <w:lang w:val="en-US"/>
              </w:rPr>
              <w:t>RIVER</w:t>
            </w:r>
            <w:r w:rsidRPr="00CE6001">
              <w:rPr>
                <w:rFonts w:eastAsiaTheme="minorEastAsia" w:cs="Times New Roman"/>
                <w:color w:val="auto"/>
                <w:sz w:val="20"/>
                <w:szCs w:val="20"/>
                <w:lang w:val="en-US"/>
              </w:rPr>
              <w:t>)</w:t>
            </w:r>
          </w:p>
        </w:tc>
        <w:tc>
          <w:tcPr>
            <w:tcW w:w="996" w:type="pct"/>
            <w:tcBorders>
              <w:top w:val="nil"/>
              <w:bottom w:val="single" w:sz="4" w:space="0" w:color="auto"/>
            </w:tcBorders>
            <w:shd w:val="clear" w:color="auto" w:fill="F2F2F2" w:themeFill="background1" w:themeFillShade="F2"/>
          </w:tcPr>
          <w:p w14:paraId="5EBE5770" w14:textId="77777777" w:rsidR="00F478FF" w:rsidRPr="00561552"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D04E53">
              <w:rPr>
                <w:rFonts w:eastAsiaTheme="minorEastAsia" w:cs="Times New Roman"/>
                <w:color w:val="auto"/>
                <w:sz w:val="20"/>
                <w:szCs w:val="20"/>
                <w:lang w:val="en-US"/>
              </w:rPr>
              <w:t xml:space="preserve">This is a prospective </w:t>
            </w:r>
            <w:r>
              <w:rPr>
                <w:rFonts w:eastAsiaTheme="minorEastAsia" w:cs="Times New Roman"/>
                <w:color w:val="auto"/>
                <w:sz w:val="20"/>
                <w:szCs w:val="20"/>
                <w:lang w:val="en-US"/>
              </w:rPr>
              <w:t xml:space="preserve">phase III RCT, open-label, multicenter, with blinded adjudication </w:t>
            </w:r>
            <w:r w:rsidRPr="00CE6001">
              <w:rPr>
                <w:rFonts w:eastAsiaTheme="minorEastAsia" w:cs="Times New Roman"/>
                <w:color w:val="auto"/>
                <w:sz w:val="20"/>
                <w:szCs w:val="20"/>
                <w:lang w:val="en-US"/>
              </w:rPr>
              <w:t>of outcomes</w:t>
            </w:r>
            <w:r>
              <w:rPr>
                <w:rFonts w:eastAsiaTheme="minorEastAsia" w:cs="Times New Roman"/>
                <w:color w:val="auto"/>
                <w:sz w:val="20"/>
                <w:szCs w:val="20"/>
                <w:lang w:val="en-US"/>
              </w:rPr>
              <w:br/>
            </w:r>
            <w:r w:rsidRPr="0094228C">
              <w:rPr>
                <w:rFonts w:eastAsiaTheme="minorEastAsia" w:cs="Times New Roman"/>
                <w:b/>
                <w:color w:val="auto"/>
                <w:sz w:val="20"/>
                <w:szCs w:val="20"/>
                <w:lang w:val="en-US"/>
              </w:rPr>
              <w:t>Follow-up:</w:t>
            </w:r>
            <w:r>
              <w:rPr>
                <w:rFonts w:eastAsiaTheme="minorEastAsia" w:cs="Times New Roman"/>
                <w:b/>
                <w:color w:val="auto"/>
                <w:sz w:val="20"/>
                <w:szCs w:val="20"/>
                <w:lang w:val="en-US"/>
              </w:rPr>
              <w:t xml:space="preserve"> 1 year</w:t>
            </w:r>
          </w:p>
        </w:tc>
        <w:tc>
          <w:tcPr>
            <w:tcW w:w="1301" w:type="pct"/>
            <w:tcBorders>
              <w:top w:val="nil"/>
              <w:bottom w:val="single" w:sz="4" w:space="0" w:color="auto"/>
            </w:tcBorders>
            <w:shd w:val="clear" w:color="auto" w:fill="F2F2F2" w:themeFill="background1" w:themeFillShade="F2"/>
          </w:tcPr>
          <w:p w14:paraId="472D4911" w14:textId="77777777" w:rsidR="00F478FF" w:rsidRPr="00077233"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Rivaroxaban 20</w:t>
            </w:r>
            <w:r w:rsidRPr="00D04E53">
              <w:rPr>
                <w:rFonts w:eastAsiaTheme="minorEastAsia" w:cs="Times New Roman"/>
                <w:color w:val="auto"/>
                <w:sz w:val="20"/>
                <w:szCs w:val="20"/>
                <w:lang w:val="en-US"/>
              </w:rPr>
              <w:t xml:space="preserve">mg </w:t>
            </w:r>
            <w:r>
              <w:rPr>
                <w:rFonts w:eastAsiaTheme="minorEastAsia" w:cs="Times New Roman"/>
                <w:color w:val="auto"/>
                <w:sz w:val="20"/>
                <w:szCs w:val="20"/>
                <w:lang w:val="en-US"/>
              </w:rPr>
              <w:t>QD (</w:t>
            </w:r>
            <w:proofErr w:type="spellStart"/>
            <w:r>
              <w:rPr>
                <w:rFonts w:eastAsiaTheme="minorEastAsia" w:cs="Times New Roman"/>
                <w:color w:val="auto"/>
                <w:sz w:val="20"/>
                <w:szCs w:val="20"/>
                <w:lang w:val="en-US"/>
              </w:rPr>
              <w:t>C</w:t>
            </w:r>
            <w:r>
              <w:rPr>
                <w:rFonts w:eastAsiaTheme="minorEastAsia" w:cs="Times New Roman"/>
                <w:sz w:val="20"/>
                <w:szCs w:val="20"/>
                <w:lang w:val="en-US"/>
              </w:rPr>
              <w:t>rCl</w:t>
            </w:r>
            <w:proofErr w:type="spellEnd"/>
            <w:r>
              <w:rPr>
                <w:rFonts w:eastAsiaTheme="minorEastAsia" w:cs="Times New Roman"/>
                <w:sz w:val="20"/>
                <w:szCs w:val="20"/>
                <w:lang w:val="en-US"/>
              </w:rPr>
              <w:t xml:space="preserve"> of 30-49 ml/min</w:t>
            </w:r>
            <w:r>
              <w:rPr>
                <w:rFonts w:eastAsiaTheme="minorEastAsia" w:cs="Times New Roman"/>
                <w:color w:val="auto"/>
                <w:sz w:val="20"/>
                <w:szCs w:val="20"/>
                <w:lang w:val="en-US"/>
              </w:rPr>
              <w:t xml:space="preserve"> </w:t>
            </w:r>
            <w:r>
              <w:rPr>
                <w:rFonts w:eastAsiaTheme="minorEastAsia" w:cs="Times New Roman"/>
                <w:sz w:val="20"/>
                <w:szCs w:val="20"/>
                <w:lang w:val="en-US"/>
              </w:rPr>
              <w:t xml:space="preserve">received </w:t>
            </w:r>
            <w:r w:rsidRPr="00077233">
              <w:rPr>
                <w:rFonts w:eastAsiaTheme="minorEastAsia" w:cs="Times New Roman"/>
                <w:sz w:val="20"/>
                <w:szCs w:val="20"/>
                <w:lang w:val="en-US"/>
              </w:rPr>
              <w:t xml:space="preserve">a reduced dose of 15 mg </w:t>
            </w:r>
            <w:r>
              <w:rPr>
                <w:rFonts w:eastAsiaTheme="minorEastAsia" w:cs="Times New Roman"/>
                <w:sz w:val="20"/>
                <w:szCs w:val="20"/>
                <w:lang w:val="en-US"/>
              </w:rPr>
              <w:t>QD)</w:t>
            </w:r>
            <w:r w:rsidRPr="00D04E53">
              <w:rPr>
                <w:rFonts w:eastAsiaTheme="minorEastAsia" w:cs="Times New Roman"/>
                <w:color w:val="auto"/>
                <w:sz w:val="20"/>
                <w:szCs w:val="20"/>
                <w:lang w:val="en-US"/>
              </w:rPr>
              <w:t xml:space="preserve"> or Warfarin according to INR.</w:t>
            </w:r>
            <w:r>
              <w:rPr>
                <w:rFonts w:eastAsiaTheme="minorEastAsia" w:cs="Times New Roman"/>
                <w:color w:val="auto"/>
                <w:sz w:val="20"/>
                <w:szCs w:val="20"/>
                <w:lang w:val="en-US"/>
              </w:rPr>
              <w:t xml:space="preserve"> </w:t>
            </w:r>
          </w:p>
          <w:p w14:paraId="2F58E1CD" w14:textId="77777777" w:rsidR="00F478FF" w:rsidRPr="00CE6001"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US"/>
              </w:rPr>
            </w:pPr>
          </w:p>
        </w:tc>
        <w:tc>
          <w:tcPr>
            <w:tcW w:w="1304" w:type="pct"/>
            <w:tcBorders>
              <w:top w:val="nil"/>
              <w:bottom w:val="single" w:sz="4" w:space="0" w:color="auto"/>
            </w:tcBorders>
            <w:shd w:val="clear" w:color="auto" w:fill="F2F2F2" w:themeFill="background1" w:themeFillShade="F2"/>
          </w:tcPr>
          <w:p w14:paraId="7FDB3A07" w14:textId="77777777" w:rsidR="00F478FF" w:rsidRPr="00CE6001"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US"/>
              </w:rPr>
            </w:pPr>
            <w:r>
              <w:rPr>
                <w:rFonts w:eastAsiaTheme="minorEastAsia" w:cs="Times New Roman"/>
                <w:color w:val="auto"/>
                <w:sz w:val="20"/>
                <w:szCs w:val="20"/>
                <w:lang w:val="en-US"/>
              </w:rPr>
              <w:t>1005 patients recruited; 500</w:t>
            </w:r>
            <w:r w:rsidRPr="00D04E53">
              <w:rPr>
                <w:rFonts w:eastAsiaTheme="minorEastAsia" w:cs="Times New Roman"/>
                <w:color w:val="auto"/>
                <w:sz w:val="20"/>
                <w:szCs w:val="20"/>
                <w:lang w:val="en-US"/>
              </w:rPr>
              <w:t xml:space="preserve"> received </w:t>
            </w:r>
            <w:r>
              <w:rPr>
                <w:rFonts w:eastAsiaTheme="minorEastAsia" w:cs="Times New Roman"/>
                <w:color w:val="auto"/>
                <w:sz w:val="20"/>
                <w:szCs w:val="20"/>
                <w:lang w:val="en-US"/>
              </w:rPr>
              <w:t xml:space="preserve">Rivaroxaban and 505 </w:t>
            </w:r>
            <w:r w:rsidRPr="00D04E53">
              <w:rPr>
                <w:rFonts w:eastAsiaTheme="minorEastAsia" w:cs="Times New Roman"/>
                <w:color w:val="auto"/>
                <w:sz w:val="20"/>
                <w:szCs w:val="20"/>
                <w:lang w:val="en-US"/>
              </w:rPr>
              <w:t>Warfarin</w:t>
            </w:r>
          </w:p>
        </w:tc>
        <w:tc>
          <w:tcPr>
            <w:tcW w:w="678" w:type="pct"/>
            <w:tcBorders>
              <w:top w:val="nil"/>
              <w:bottom w:val="single" w:sz="4" w:space="0" w:color="auto"/>
            </w:tcBorders>
            <w:shd w:val="clear" w:color="auto" w:fill="F2F2F2" w:themeFill="background1" w:themeFillShade="F2"/>
          </w:tcPr>
          <w:p w14:paraId="184E2677" w14:textId="77777777" w:rsidR="00F478FF" w:rsidRPr="00CE6001" w:rsidRDefault="00F478FF" w:rsidP="001263A3">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0"/>
                <w:szCs w:val="20"/>
                <w:lang w:val="en-US"/>
              </w:rPr>
            </w:pPr>
            <w:proofErr w:type="spellStart"/>
            <w:r>
              <w:rPr>
                <w:rFonts w:eastAsiaTheme="minorEastAsia" w:cs="Times New Roman"/>
                <w:sz w:val="20"/>
                <w:szCs w:val="20"/>
                <w:lang w:val="en-US"/>
              </w:rPr>
              <w:t>Bioprosthetic</w:t>
            </w:r>
            <w:proofErr w:type="spellEnd"/>
            <w:r>
              <w:rPr>
                <w:rFonts w:eastAsiaTheme="minorEastAsia" w:cs="Times New Roman"/>
                <w:sz w:val="20"/>
                <w:szCs w:val="20"/>
                <w:lang w:val="en-US"/>
              </w:rPr>
              <w:t xml:space="preserve"> </w:t>
            </w:r>
            <w:r w:rsidRPr="00077233">
              <w:rPr>
                <w:rFonts w:eastAsiaTheme="minorEastAsia" w:cs="Times New Roman"/>
                <w:sz w:val="20"/>
                <w:szCs w:val="20"/>
                <w:lang w:val="en-US"/>
              </w:rPr>
              <w:t>mitral valve</w:t>
            </w:r>
            <w:r>
              <w:rPr>
                <w:rFonts w:eastAsiaTheme="minorEastAsia" w:cs="Times New Roman"/>
                <w:sz w:val="20"/>
                <w:szCs w:val="20"/>
                <w:lang w:val="en-US"/>
              </w:rPr>
              <w:t xml:space="preserve"> and </w:t>
            </w:r>
            <w:r w:rsidRPr="00077233">
              <w:rPr>
                <w:rFonts w:eastAsiaTheme="minorEastAsia" w:cs="Times New Roman"/>
                <w:sz w:val="20"/>
                <w:szCs w:val="20"/>
                <w:lang w:val="en-US"/>
              </w:rPr>
              <w:t>perma</w:t>
            </w:r>
            <w:r>
              <w:rPr>
                <w:rFonts w:eastAsiaTheme="minorEastAsia" w:cs="Times New Roman"/>
                <w:sz w:val="20"/>
                <w:szCs w:val="20"/>
                <w:lang w:val="en-US"/>
              </w:rPr>
              <w:t>nent, paroxysmal, or persistent AF or flutter.</w:t>
            </w:r>
          </w:p>
        </w:tc>
      </w:tr>
    </w:tbl>
    <w:p w14:paraId="21B90E52" w14:textId="77777777" w:rsidR="00F478FF" w:rsidRPr="00F478FF" w:rsidRDefault="00F478FF" w:rsidP="00F478FF">
      <w:pPr>
        <w:ind w:left="-397" w:right="-340"/>
        <w:jc w:val="both"/>
        <w:rPr>
          <w:rFonts w:cs="Times New Roman"/>
          <w:szCs w:val="24"/>
        </w:rPr>
      </w:pPr>
      <w:r w:rsidRPr="00F478FF">
        <w:rPr>
          <w:rFonts w:cs="Times New Roman"/>
          <w:szCs w:val="24"/>
        </w:rPr>
        <w:t xml:space="preserve">AF = atrial fibrillation; VHD = </w:t>
      </w:r>
      <w:proofErr w:type="spellStart"/>
      <w:r w:rsidRPr="00F478FF">
        <w:rPr>
          <w:rFonts w:cs="Times New Roman"/>
          <w:szCs w:val="24"/>
        </w:rPr>
        <w:t>valvular</w:t>
      </w:r>
      <w:proofErr w:type="spellEnd"/>
      <w:r w:rsidRPr="00F478FF">
        <w:rPr>
          <w:rFonts w:cs="Times New Roman"/>
          <w:szCs w:val="24"/>
        </w:rPr>
        <w:t xml:space="preserve"> heart disease; NOAC = new oral anticoagulant; MHV = mechanical heart valves; </w:t>
      </w:r>
      <w:proofErr w:type="spellStart"/>
      <w:r w:rsidRPr="00F478FF">
        <w:rPr>
          <w:rFonts w:cs="Times New Roman"/>
          <w:szCs w:val="24"/>
        </w:rPr>
        <w:t>CrCl</w:t>
      </w:r>
      <w:proofErr w:type="spellEnd"/>
      <w:r w:rsidRPr="00F478FF">
        <w:rPr>
          <w:rFonts w:cs="Times New Roman"/>
          <w:szCs w:val="24"/>
        </w:rPr>
        <w:t xml:space="preserve">= creatinine clearence; INR = international normalized ratio; TE = thromboembolic; VKA =vitamin K antagonist; RCT = randomized clinical trial; AF = atrial fibrillation; BID = twice daily; QD = once a day; SD = standard deviation; AS = aortic stenosis; MS = mitral stenosis; MR = mitral regurgitation; AR = aortic regurgitation; TR = tricuspid regurgitation. * The authors did not discriminate the randomization performed in patients with VHD because they were not objectives of the original studies; however, the authors report that 485 female subjects with VHD used Dabigatran 110mg, and 560 of the same gender used Dabigatran 150mg, while 562 remaining </w:t>
      </w:r>
      <w:proofErr w:type="gramStart"/>
      <w:r w:rsidRPr="00F478FF">
        <w:rPr>
          <w:rFonts w:cs="Times New Roman"/>
          <w:szCs w:val="24"/>
        </w:rPr>
        <w:t>were randomized</w:t>
      </w:r>
      <w:proofErr w:type="gramEnd"/>
      <w:r w:rsidRPr="00F478FF">
        <w:rPr>
          <w:rFonts w:cs="Times New Roman"/>
          <w:szCs w:val="24"/>
        </w:rPr>
        <w:t xml:space="preserve"> to the Warfarin group. † In the original study, it </w:t>
      </w:r>
      <w:proofErr w:type="gramStart"/>
      <w:r w:rsidRPr="00F478FF">
        <w:rPr>
          <w:rFonts w:cs="Times New Roman"/>
          <w:szCs w:val="24"/>
        </w:rPr>
        <w:t>is known</w:t>
      </w:r>
      <w:proofErr w:type="gramEnd"/>
      <w:r w:rsidRPr="00F478FF">
        <w:rPr>
          <w:rFonts w:cs="Times New Roman"/>
          <w:szCs w:val="24"/>
        </w:rPr>
        <w:t xml:space="preserve"> that 2003 involved patients had VHD, however, eleven of these patients were in a place where they violated good clinical practice guidelines and four additional patients were randomized but did not receive study drugs. Because of this, only 1992 patients </w:t>
      </w:r>
      <w:proofErr w:type="gramStart"/>
      <w:r w:rsidRPr="00F478FF">
        <w:rPr>
          <w:rFonts w:cs="Times New Roman"/>
          <w:szCs w:val="24"/>
        </w:rPr>
        <w:t>were used</w:t>
      </w:r>
      <w:proofErr w:type="gramEnd"/>
      <w:r w:rsidRPr="00F478FF">
        <w:rPr>
          <w:rFonts w:cs="Times New Roman"/>
          <w:szCs w:val="24"/>
        </w:rPr>
        <w:t xml:space="preserve"> in the analysis of the outcomes to the use of Rivaroxaban, in a study by </w:t>
      </w:r>
      <w:proofErr w:type="spellStart"/>
      <w:r w:rsidRPr="00F478FF">
        <w:rPr>
          <w:rFonts w:cs="Times New Roman"/>
          <w:szCs w:val="24"/>
        </w:rPr>
        <w:t>Breithardt</w:t>
      </w:r>
      <w:proofErr w:type="spellEnd"/>
      <w:r w:rsidRPr="00F478FF">
        <w:rPr>
          <w:rFonts w:cs="Times New Roman"/>
          <w:szCs w:val="24"/>
        </w:rPr>
        <w:t xml:space="preserve"> et al. (2014). However, a later study conducted by these authors (2016), it was evidenced that 52 patients with VHD, the valve site was unknown. Because of this, the results of clinical outcomes and efficacy analyzes were omitted, leaving only 1940 patients.</w:t>
      </w:r>
    </w:p>
    <w:p w14:paraId="536725FF" w14:textId="77777777" w:rsidR="00F478FF" w:rsidRDefault="00F478FF" w:rsidP="00F478FF">
      <w:pPr>
        <w:ind w:left="-567" w:right="-454"/>
        <w:jc w:val="both"/>
        <w:rPr>
          <w:rFonts w:cs="Times New Roman"/>
          <w:sz w:val="20"/>
          <w:szCs w:val="20"/>
        </w:rPr>
      </w:pPr>
    </w:p>
    <w:p w14:paraId="3729890B" w14:textId="77777777" w:rsidR="00F478FF" w:rsidRDefault="00F478FF" w:rsidP="00F478FF">
      <w:pPr>
        <w:ind w:left="-567" w:right="-454"/>
        <w:jc w:val="both"/>
        <w:rPr>
          <w:rFonts w:cs="Times New Roman"/>
          <w:sz w:val="20"/>
          <w:szCs w:val="20"/>
        </w:rPr>
      </w:pPr>
    </w:p>
    <w:p w14:paraId="137BABCD" w14:textId="77777777" w:rsidR="00F478FF" w:rsidRPr="00F478FF" w:rsidRDefault="00F478FF" w:rsidP="00F478FF">
      <w:pPr>
        <w:ind w:left="-454" w:right="-283"/>
        <w:jc w:val="both"/>
        <w:rPr>
          <w:rFonts w:cs="Times New Roman"/>
          <w:szCs w:val="24"/>
        </w:rPr>
      </w:pPr>
      <w:r w:rsidRPr="00F478FF">
        <w:rPr>
          <w:rFonts w:cs="Times New Roman"/>
          <w:b/>
          <w:szCs w:val="24"/>
        </w:rPr>
        <w:lastRenderedPageBreak/>
        <w:t xml:space="preserve">File </w:t>
      </w:r>
      <w:proofErr w:type="gramStart"/>
      <w:r w:rsidRPr="00F478FF">
        <w:rPr>
          <w:rFonts w:cs="Times New Roman"/>
          <w:b/>
          <w:szCs w:val="24"/>
        </w:rPr>
        <w:t>4</w:t>
      </w:r>
      <w:proofErr w:type="gramEnd"/>
      <w:r w:rsidRPr="00F478FF">
        <w:rPr>
          <w:rFonts w:cs="Times New Roman"/>
          <w:b/>
          <w:szCs w:val="24"/>
        </w:rPr>
        <w:t xml:space="preserve">. Table E2. </w:t>
      </w:r>
      <w:r w:rsidRPr="00F478FF">
        <w:rPr>
          <w:rFonts w:cs="Times New Roman"/>
          <w:szCs w:val="24"/>
        </w:rPr>
        <w:t>Summary of the main clinical characteristics and risk Factors for bleeding and thromboembolic events in patients with AF and VHD involved in the studies included in the present systematic review. (n = 8)</w:t>
      </w:r>
    </w:p>
    <w:tbl>
      <w:tblPr>
        <w:tblStyle w:val="SombreamentoClaro1"/>
        <w:tblpPr w:leftFromText="141" w:rightFromText="141" w:vertAnchor="text" w:horzAnchor="margin" w:tblpX="-426" w:tblpY="167"/>
        <w:tblW w:w="5365" w:type="pct"/>
        <w:tblLayout w:type="fixed"/>
        <w:tblLook w:val="04E0" w:firstRow="1" w:lastRow="1" w:firstColumn="1" w:lastColumn="0" w:noHBand="0" w:noVBand="1"/>
      </w:tblPr>
      <w:tblGrid>
        <w:gridCol w:w="1885"/>
        <w:gridCol w:w="819"/>
        <w:gridCol w:w="1136"/>
        <w:gridCol w:w="1953"/>
        <w:gridCol w:w="1303"/>
        <w:gridCol w:w="1303"/>
        <w:gridCol w:w="2092"/>
      </w:tblGrid>
      <w:tr w:rsidR="00F478FF" w:rsidRPr="00645E28" w14:paraId="252CD182" w14:textId="77777777" w:rsidTr="00F478FF">
        <w:trPr>
          <w:cnfStyle w:val="100000000000" w:firstRow="1" w:lastRow="0" w:firstColumn="0" w:lastColumn="0" w:oddVBand="0" w:evenVBand="0" w:oddHBand="0"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898" w:type="pct"/>
            <w:shd w:val="clear" w:color="auto" w:fill="4A442A" w:themeFill="background2" w:themeFillShade="40"/>
            <w:noWrap/>
          </w:tcPr>
          <w:p w14:paraId="0A7A8B7A" w14:textId="77777777" w:rsidR="00F478FF" w:rsidRPr="00F478FF" w:rsidRDefault="00F478FF" w:rsidP="00F478FF">
            <w:pPr>
              <w:jc w:val="center"/>
              <w:rPr>
                <w:rFonts w:eastAsiaTheme="minorEastAsia" w:cs="Times New Roman"/>
                <w:color w:val="FFFFFF" w:themeColor="background1"/>
                <w:sz w:val="20"/>
                <w:szCs w:val="20"/>
                <w:lang w:val="en-US"/>
              </w:rPr>
            </w:pPr>
            <w:r w:rsidRPr="00F478FF">
              <w:rPr>
                <w:rFonts w:eastAsiaTheme="minorEastAsia" w:cs="Times New Roman"/>
                <w:color w:val="FFFFFF" w:themeColor="background1"/>
                <w:sz w:val="20"/>
                <w:szCs w:val="20"/>
                <w:lang w:val="en-US"/>
              </w:rPr>
              <w:t>Authors /</w:t>
            </w:r>
          </w:p>
          <w:p w14:paraId="1A457D0C" w14:textId="77777777" w:rsidR="00F478FF" w:rsidRPr="00F478FF" w:rsidRDefault="00F478FF" w:rsidP="00F478FF">
            <w:pPr>
              <w:jc w:val="center"/>
              <w:rPr>
                <w:rFonts w:eastAsiaTheme="minorEastAsia" w:cs="Times New Roman"/>
                <w:color w:val="FFFFFF" w:themeColor="background1"/>
                <w:sz w:val="20"/>
                <w:szCs w:val="20"/>
                <w:lang w:val="en-US"/>
              </w:rPr>
            </w:pPr>
            <w:r w:rsidRPr="00F478FF">
              <w:rPr>
                <w:rFonts w:eastAsiaTheme="minorEastAsia" w:cs="Times New Roman"/>
                <w:color w:val="FFFFFF" w:themeColor="background1"/>
                <w:sz w:val="20"/>
                <w:szCs w:val="20"/>
                <w:lang w:val="en-US"/>
              </w:rPr>
              <w:t>Year</w:t>
            </w:r>
          </w:p>
        </w:tc>
        <w:tc>
          <w:tcPr>
            <w:tcW w:w="390" w:type="pct"/>
            <w:shd w:val="clear" w:color="auto" w:fill="4A442A" w:themeFill="background2" w:themeFillShade="40"/>
          </w:tcPr>
          <w:p w14:paraId="76DAF1E6" w14:textId="77777777" w:rsidR="00F478FF" w:rsidRPr="00F478FF" w:rsidRDefault="00F478FF" w:rsidP="00F478FF">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i/>
                <w:color w:val="FFFFFF" w:themeColor="background1"/>
                <w:sz w:val="20"/>
                <w:szCs w:val="20"/>
                <w:lang w:val="en-US"/>
              </w:rPr>
            </w:pPr>
            <w:r w:rsidRPr="00F478FF">
              <w:rPr>
                <w:rFonts w:eastAsiaTheme="minorEastAsia" w:cs="Times New Roman"/>
                <w:i/>
                <w:color w:val="FFFFFF" w:themeColor="background1"/>
                <w:sz w:val="20"/>
                <w:szCs w:val="20"/>
                <w:lang w:val="en-US"/>
              </w:rPr>
              <w:t>N</w:t>
            </w:r>
          </w:p>
        </w:tc>
        <w:tc>
          <w:tcPr>
            <w:tcW w:w="541" w:type="pct"/>
            <w:shd w:val="clear" w:color="auto" w:fill="4A442A" w:themeFill="background2" w:themeFillShade="40"/>
          </w:tcPr>
          <w:p w14:paraId="487EFBC4" w14:textId="77777777" w:rsidR="00F478FF" w:rsidRPr="00F478FF" w:rsidRDefault="00F478FF" w:rsidP="00F478FF">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i/>
                <w:color w:val="FFFFFF" w:themeColor="background1"/>
                <w:sz w:val="20"/>
                <w:szCs w:val="20"/>
                <w:lang w:val="en-US"/>
              </w:rPr>
            </w:pPr>
            <w:r w:rsidRPr="00F478FF">
              <w:rPr>
                <w:rFonts w:eastAsiaTheme="minorEastAsia" w:cs="Times New Roman"/>
                <w:i/>
                <w:color w:val="FFFFFF" w:themeColor="background1"/>
                <w:sz w:val="20"/>
                <w:szCs w:val="20"/>
                <w:lang w:val="en-US"/>
              </w:rPr>
              <w:t>Age</w:t>
            </w:r>
          </w:p>
          <w:p w14:paraId="4A8D67BE" w14:textId="77777777" w:rsidR="00F478FF" w:rsidRPr="00F478FF" w:rsidRDefault="00F478FF" w:rsidP="00F478FF">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i/>
                <w:color w:val="FFFFFF" w:themeColor="background1"/>
                <w:sz w:val="20"/>
                <w:szCs w:val="20"/>
                <w:lang w:val="en-US"/>
              </w:rPr>
            </w:pPr>
            <w:r w:rsidRPr="00F478FF">
              <w:rPr>
                <w:rFonts w:eastAsiaTheme="minorEastAsia" w:cs="Times New Roman"/>
                <w:i/>
                <w:color w:val="FFFFFF" w:themeColor="background1"/>
                <w:sz w:val="20"/>
                <w:szCs w:val="20"/>
                <w:lang w:val="en-US"/>
              </w:rPr>
              <w:t xml:space="preserve"> (mean)</w:t>
            </w:r>
          </w:p>
        </w:tc>
        <w:tc>
          <w:tcPr>
            <w:tcW w:w="931" w:type="pct"/>
            <w:shd w:val="clear" w:color="auto" w:fill="4A442A" w:themeFill="background2" w:themeFillShade="40"/>
          </w:tcPr>
          <w:p w14:paraId="2DD1C030" w14:textId="77777777" w:rsidR="00F478FF" w:rsidRPr="00F478FF" w:rsidRDefault="00F478FF" w:rsidP="00F478FF">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i/>
                <w:color w:val="FFFFFF" w:themeColor="background1"/>
                <w:sz w:val="20"/>
                <w:szCs w:val="20"/>
                <w:lang w:val="en-US"/>
              </w:rPr>
            </w:pPr>
            <w:r w:rsidRPr="00F478FF">
              <w:rPr>
                <w:rFonts w:eastAsiaTheme="minorEastAsia" w:cs="Times New Roman"/>
                <w:i/>
                <w:color w:val="FFFFFF" w:themeColor="background1"/>
                <w:sz w:val="20"/>
                <w:szCs w:val="20"/>
                <w:lang w:val="en-US"/>
              </w:rPr>
              <w:t xml:space="preserve">Gender </w:t>
            </w:r>
          </w:p>
          <w:p w14:paraId="62C6B4F2" w14:textId="77777777" w:rsidR="00F478FF" w:rsidRPr="00F478FF" w:rsidRDefault="00F478FF" w:rsidP="00F478FF">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i/>
                <w:color w:val="FFFFFF" w:themeColor="background1"/>
                <w:sz w:val="20"/>
                <w:szCs w:val="20"/>
                <w:lang w:val="en-US"/>
              </w:rPr>
            </w:pPr>
            <w:r w:rsidRPr="00F478FF">
              <w:rPr>
                <w:rFonts w:eastAsiaTheme="minorEastAsia" w:cs="Times New Roman"/>
                <w:i/>
                <w:color w:val="FFFFFF" w:themeColor="background1"/>
                <w:sz w:val="20"/>
                <w:szCs w:val="20"/>
                <w:lang w:val="en-US"/>
              </w:rPr>
              <w:t>N (%)</w:t>
            </w:r>
          </w:p>
        </w:tc>
        <w:tc>
          <w:tcPr>
            <w:tcW w:w="621" w:type="pct"/>
            <w:shd w:val="clear" w:color="auto" w:fill="4A442A" w:themeFill="background2" w:themeFillShade="40"/>
          </w:tcPr>
          <w:p w14:paraId="7C189B00" w14:textId="77777777" w:rsidR="00F478FF" w:rsidRPr="00F478FF" w:rsidRDefault="00F478FF" w:rsidP="00F478FF">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i/>
                <w:color w:val="FFFFFF" w:themeColor="background1"/>
                <w:sz w:val="20"/>
                <w:szCs w:val="20"/>
                <w:lang w:val="en-US"/>
              </w:rPr>
            </w:pPr>
            <w:r w:rsidRPr="00F478FF">
              <w:rPr>
                <w:rFonts w:eastAsiaTheme="minorEastAsia" w:cs="Times New Roman"/>
                <w:i/>
                <w:color w:val="FFFFFF" w:themeColor="background1"/>
                <w:sz w:val="20"/>
                <w:szCs w:val="20"/>
                <w:lang w:val="en-US"/>
              </w:rPr>
              <w:t>CHA2DS2-VASc (mean)</w:t>
            </w:r>
          </w:p>
        </w:tc>
        <w:tc>
          <w:tcPr>
            <w:tcW w:w="621" w:type="pct"/>
            <w:shd w:val="clear" w:color="auto" w:fill="4A442A" w:themeFill="background2" w:themeFillShade="40"/>
          </w:tcPr>
          <w:p w14:paraId="56FF4F34" w14:textId="77777777" w:rsidR="00F478FF" w:rsidRPr="00F478FF" w:rsidRDefault="00F478FF" w:rsidP="00F478FF">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i/>
                <w:color w:val="FFFFFF" w:themeColor="background1"/>
                <w:sz w:val="20"/>
                <w:szCs w:val="20"/>
                <w:lang w:val="en-US"/>
              </w:rPr>
            </w:pPr>
            <w:r w:rsidRPr="00F478FF">
              <w:rPr>
                <w:rFonts w:eastAsiaTheme="minorEastAsia" w:cs="Times New Roman"/>
                <w:i/>
                <w:color w:val="FFFFFF" w:themeColor="background1"/>
                <w:sz w:val="20"/>
                <w:szCs w:val="20"/>
                <w:lang w:val="en-US"/>
              </w:rPr>
              <w:t>HAS-BLED (mean)</w:t>
            </w:r>
          </w:p>
        </w:tc>
        <w:tc>
          <w:tcPr>
            <w:tcW w:w="997" w:type="pct"/>
            <w:shd w:val="clear" w:color="auto" w:fill="4A442A" w:themeFill="background2" w:themeFillShade="40"/>
          </w:tcPr>
          <w:p w14:paraId="1B8E4FA4" w14:textId="77777777" w:rsidR="00F478FF" w:rsidRPr="00F478FF" w:rsidRDefault="00F478FF" w:rsidP="00F478FF">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i/>
                <w:color w:val="FFFFFF" w:themeColor="background1"/>
                <w:sz w:val="20"/>
                <w:szCs w:val="20"/>
                <w:lang w:val="en-US"/>
              </w:rPr>
            </w:pPr>
            <w:r w:rsidRPr="00F478FF">
              <w:rPr>
                <w:rFonts w:eastAsiaTheme="minorEastAsia" w:cs="Times New Roman"/>
                <w:i/>
                <w:color w:val="FFFFFF" w:themeColor="background1"/>
                <w:sz w:val="20"/>
                <w:szCs w:val="20"/>
                <w:lang w:val="en-US"/>
              </w:rPr>
              <w:t xml:space="preserve">Comorbidities and Risk Factors </w:t>
            </w:r>
          </w:p>
          <w:p w14:paraId="3D920093" w14:textId="77777777" w:rsidR="00F478FF" w:rsidRPr="00F478FF" w:rsidRDefault="00F478FF" w:rsidP="00F478FF">
            <w:pPr>
              <w:cnfStyle w:val="100000000000" w:firstRow="1" w:lastRow="0" w:firstColumn="0" w:lastColumn="0" w:oddVBand="0" w:evenVBand="0" w:oddHBand="0" w:evenHBand="0" w:firstRowFirstColumn="0" w:firstRowLastColumn="0" w:lastRowFirstColumn="0" w:lastRowLastColumn="0"/>
              <w:rPr>
                <w:rFonts w:eastAsiaTheme="minorEastAsia" w:cs="Times New Roman"/>
                <w:i/>
                <w:color w:val="FFFFFF" w:themeColor="background1"/>
                <w:sz w:val="20"/>
                <w:szCs w:val="20"/>
                <w:lang w:val="en-US"/>
              </w:rPr>
            </w:pPr>
          </w:p>
        </w:tc>
      </w:tr>
      <w:tr w:rsidR="00F478FF" w:rsidRPr="00DE6F90" w14:paraId="1A2A00B0" w14:textId="77777777" w:rsidTr="00F478FF">
        <w:trPr>
          <w:cnfStyle w:val="000000100000" w:firstRow="0" w:lastRow="0" w:firstColumn="0" w:lastColumn="0" w:oddVBand="0" w:evenVBand="0" w:oddHBand="1" w:evenHBand="0" w:firstRowFirstColumn="0" w:firstRowLastColumn="0" w:lastRowFirstColumn="0" w:lastRowLastColumn="0"/>
          <w:trHeight w:val="1201"/>
        </w:trPr>
        <w:tc>
          <w:tcPr>
            <w:cnfStyle w:val="001000000000" w:firstRow="0" w:lastRow="0" w:firstColumn="1" w:lastColumn="0" w:oddVBand="0" w:evenVBand="0" w:oddHBand="0" w:evenHBand="0" w:firstRowFirstColumn="0" w:firstRowLastColumn="0" w:lastRowFirstColumn="0" w:lastRowLastColumn="0"/>
            <w:tcW w:w="898" w:type="pct"/>
            <w:shd w:val="clear" w:color="auto" w:fill="F2F2F2" w:themeFill="background1" w:themeFillShade="F2"/>
            <w:noWrap/>
          </w:tcPr>
          <w:p w14:paraId="436E345B" w14:textId="77777777" w:rsidR="00F478FF" w:rsidRDefault="00F478FF" w:rsidP="00F478FF">
            <w:pPr>
              <w:jc w:val="center"/>
              <w:rPr>
                <w:rFonts w:eastAsiaTheme="minorEastAsia" w:cs="Times New Roman"/>
                <w:sz w:val="20"/>
                <w:szCs w:val="20"/>
                <w:lang w:val="en-US"/>
              </w:rPr>
            </w:pPr>
            <w:r w:rsidRPr="00D04E53">
              <w:rPr>
                <w:rFonts w:eastAsiaTheme="minorEastAsia" w:cs="Times New Roman"/>
                <w:color w:val="auto"/>
                <w:sz w:val="20"/>
                <w:szCs w:val="20"/>
                <w:lang w:val="en-US"/>
              </w:rPr>
              <w:br/>
            </w:r>
            <w:proofErr w:type="spellStart"/>
            <w:r w:rsidRPr="00D04E53">
              <w:rPr>
                <w:rFonts w:eastAsiaTheme="minorEastAsia" w:cs="Times New Roman"/>
                <w:color w:val="auto"/>
                <w:sz w:val="20"/>
                <w:szCs w:val="20"/>
                <w:lang w:val="en-US"/>
              </w:rPr>
              <w:t>Eikelboom</w:t>
            </w:r>
            <w:proofErr w:type="spellEnd"/>
            <w:r w:rsidRPr="00D04E53">
              <w:rPr>
                <w:rFonts w:eastAsiaTheme="minorEastAsia" w:cs="Times New Roman"/>
                <w:color w:val="auto"/>
                <w:sz w:val="20"/>
                <w:szCs w:val="20"/>
                <w:lang w:val="en-US"/>
              </w:rPr>
              <w:t xml:space="preserve"> et al.2013</w:t>
            </w:r>
            <w:r w:rsidRPr="00D04E53">
              <w:rPr>
                <w:rFonts w:eastAsiaTheme="minorEastAsia" w:cs="Times New Roman"/>
                <w:sz w:val="20"/>
                <w:szCs w:val="20"/>
                <w:lang w:val="en-US"/>
              </w:rPr>
              <w:fldChar w:fldCharType="begin" w:fldLock="1"/>
            </w:r>
            <w:r>
              <w:rPr>
                <w:rFonts w:eastAsiaTheme="minorEastAsia" w:cs="Times New Roman"/>
                <w:color w:val="auto"/>
                <w:sz w:val="20"/>
                <w:szCs w:val="20"/>
                <w:lang w:val="en-US"/>
              </w:rPr>
              <w:instrText>ADDIN CSL_CITATION {"citationItems":[{"id":"ITEM-1","itemData":{"DOI":"10.1056/NEJMoa1300615","ISSN":"15334406","PMID":"23991661","abstract":"BACKGROUND: Dabigatran is an oral direct thrombin inhibitor that has been shown to be an effective alternative to warfarin in patients with atrial fibrillation. We evaluated the use of dabigatran in patients with mechanical heart valves. METHODS: In this phase 2 dose-validation study, we studied two populations of patients: those who had undergone aortic- or mitral-valve replacement within the past 7 days and those who had undergone such replacement at least 3 months earlier. Patients were randomly assigned in a 2:1 ratio to receive either dabigatran or warfarin. The selection of the initial dabigatran dose (150, 220, or 300 mg twice daily) was based on kidney function. Doses were adjusted to obtain a trough plasma level of at least 50 ng per milliliter. The warfarin dose was adjusted to obtain an international normalized ratio of 2 to 3 or 2.5 to 3.5 on the basis of thromboembolic risk. The primary end point was the trough plasma level of dabigatran. RESULTS: The trial was terminated prematurely after the enrollment of 252 patients because of an excess of thromboembolic and bleeding events among patients in the dabigatran group. In the as-treated analysis, dose adjustment or discontinuation of dabigatran was required in 52 of 162 patients (32%). Ischemic or unspecified stroke occurred in 9 patients (5%) in the dabigatran group and in no patients in the warfarin group; major bleeding occurred in 7 patients (4%) and 2 patients (2%), respectively. All patients with major bleeding had pericardial bleeding. CONCLUSIONS: The use of dabigatran in patients with mechanical heart valves was associated with increased rates of thromboembolic and bleeding complications, as compared with warfarin, thus showing no benefit and an excess risk. Copyright © 2013 Massachusetts Medical Society.","author":[{"dropping-particle":"","family":"Eikelboom","given":"John W.","non-dropping-particle":"","parse-names":false,"suffix":""},{"dropping-particle":"","family":"Connolly","given":"Stuart J.","non-dropping-particle":"","parse-names":false,"suffix":""},{"dropping-particle":"","family":"Brueckmann","given":"Martina","non-dropping-particle":"","parse-names":false,"suffix":""},{"dropping-particle":"","family":"Granger","given":"Christopher B.","non-dropping-particle":"","parse-names":false,"suffix":""},{"dropping-particle":"","family":"Kappetein","given":"Arie P.","non-dropping-particle":"","parse-names":false,"suffix":""},{"dropping-particle":"","family":"Mack","given":"Michael J.","non-dropping-particle":"","parse-names":false,"suffix":""},{"dropping-particle":"","family":"Blatchford","given":"Jon","non-dropping-particle":"","parse-names":false,"suffix":""},{"dropping-particle":"","family":"Devenny","given":"Kevin","non-dropping-particle":"","parse-names":false,"suffix":""},{"dropping-particle":"","family":"Friedman","given":"Jeffrey","non-dropping-particle":"","parse-names":false,"suffix":""},{"dropping-particle":"","family":"Guiver","given":"Kelly","non-dropping-particle":"","parse-names":false,"suffix":""},{"dropping-particle":"","family":"Harper","given":"Ruth","non-dropping-particle":"","parse-names":false,"suffix":""},{"dropping-particle":"","family":"Khder","given":"Yasser","non-dropping-particle":"","parse-names":false,"suffix":""},{"dropping-particle":"","family":"Lobmeyer","given":"Maximilian T.","non-dropping-particle":"","parse-names":false,"suffix":""},{"dropping-particle":"","family":"Maas","given":"Hugo","non-dropping-particle":"","parse-names":false,"suffix":""},{"dropping-particle":"","family":"Voigt","given":"Jens Uwe","non-dropping-particle":"","parse-names":false,"suffix":""},{"dropping-particle":"","family":"Simoons","given":"Maarten L.","non-dropping-particle":"","parse-names":false,"suffix":""},{"dropping-particle":"","family":"Werf","given":"Frans","non-dropping-particle":"Van De","parse-names":false,"suffix":""}],"container-title":"New England Journal of Medicine","id":"ITEM-1","issue":"13","issued":{"date-parts":[["2013","9","26"]]},"page":"1206-1214","publisher":"Massachusetts Medical Society","title":"Dabigatran versus warfarin in patients with mechanical heart valves","type":"article-journal","volume":"369"},"uris":["http://www.mendeley.com/documents/?uuid=b85aa7e4-cd1a-3bc8-90f4-8d6f2f61e7a6"]}],"mendeley":{"formattedCitation":"(4)","plainTextFormattedCitation":"(4)","previouslyFormattedCitation":"(4)"},"properties":{"noteIndex":0},"schema":"https://github.com/citation-style-language/schema/raw/master/csl-citation.json"}</w:instrText>
            </w:r>
            <w:r w:rsidRPr="00D04E53">
              <w:rPr>
                <w:rFonts w:eastAsiaTheme="minorEastAsia" w:cs="Times New Roman"/>
                <w:sz w:val="20"/>
                <w:szCs w:val="20"/>
                <w:lang w:val="en-US"/>
              </w:rPr>
              <w:fldChar w:fldCharType="separate"/>
            </w:r>
            <w:r w:rsidRPr="00DE6F90">
              <w:rPr>
                <w:rFonts w:eastAsiaTheme="minorEastAsia" w:cs="Times New Roman"/>
                <w:b w:val="0"/>
                <w:noProof/>
                <w:color w:val="auto"/>
                <w:sz w:val="20"/>
                <w:szCs w:val="20"/>
                <w:lang w:val="en-US"/>
              </w:rPr>
              <w:t>(4)</w:t>
            </w:r>
            <w:r w:rsidRPr="00D04E53">
              <w:rPr>
                <w:rFonts w:eastAsiaTheme="minorEastAsia" w:cs="Times New Roman"/>
                <w:sz w:val="20"/>
                <w:szCs w:val="20"/>
                <w:lang w:val="en-US"/>
              </w:rPr>
              <w:fldChar w:fldCharType="end"/>
            </w:r>
          </w:p>
          <w:p w14:paraId="75DB4F83" w14:textId="77777777" w:rsidR="00F478FF" w:rsidRPr="00D04E53" w:rsidRDefault="00F478FF" w:rsidP="00F478FF">
            <w:pPr>
              <w:jc w:val="center"/>
              <w:rPr>
                <w:rFonts w:eastAsiaTheme="minorEastAsia" w:cs="Times New Roman"/>
                <w:b w:val="0"/>
                <w:color w:val="auto"/>
                <w:sz w:val="20"/>
                <w:szCs w:val="20"/>
                <w:lang w:val="en-US"/>
              </w:rPr>
            </w:pPr>
            <w:r w:rsidRPr="00D04E53">
              <w:rPr>
                <w:rFonts w:eastAsiaTheme="minorEastAsia" w:cs="Times New Roman"/>
                <w:color w:val="auto"/>
                <w:sz w:val="20"/>
                <w:szCs w:val="20"/>
                <w:lang w:val="en-US"/>
              </w:rPr>
              <w:t>(RE-ALIGN)</w:t>
            </w:r>
          </w:p>
        </w:tc>
        <w:tc>
          <w:tcPr>
            <w:tcW w:w="390" w:type="pct"/>
            <w:shd w:val="clear" w:color="auto" w:fill="F2F2F2" w:themeFill="background1" w:themeFillShade="F2"/>
          </w:tcPr>
          <w:p w14:paraId="7986473A"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252</w:t>
            </w:r>
          </w:p>
        </w:tc>
        <w:tc>
          <w:tcPr>
            <w:tcW w:w="541" w:type="pct"/>
            <w:shd w:val="clear" w:color="auto" w:fill="F2F2F2" w:themeFill="background1" w:themeFillShade="F2"/>
          </w:tcPr>
          <w:p w14:paraId="2F6778FA"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 xml:space="preserve">55.8 ±9.9 </w:t>
            </w:r>
          </w:p>
        </w:tc>
        <w:tc>
          <w:tcPr>
            <w:tcW w:w="931" w:type="pct"/>
            <w:shd w:val="clear" w:color="auto" w:fill="F2F2F2" w:themeFill="background1" w:themeFillShade="F2"/>
          </w:tcPr>
          <w:p w14:paraId="2F98E0DE" w14:textId="77777777" w:rsidR="00F478FF" w:rsidRPr="000B4A7C"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89 (35.3</w:t>
            </w:r>
            <w:r w:rsidRPr="000B4A7C">
              <w:rPr>
                <w:rFonts w:eastAsiaTheme="minorEastAsia" w:cs="Times New Roman"/>
                <w:color w:val="auto"/>
                <w:sz w:val="20"/>
                <w:szCs w:val="20"/>
                <w:lang w:val="en-US"/>
              </w:rPr>
              <w:t xml:space="preserve">) F; </w:t>
            </w:r>
          </w:p>
          <w:p w14:paraId="16F77A85" w14:textId="77777777" w:rsidR="00F478FF"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163 (64.7</w:t>
            </w:r>
            <w:r w:rsidRPr="000B4A7C">
              <w:rPr>
                <w:rFonts w:eastAsiaTheme="minorEastAsia" w:cs="Times New Roman"/>
                <w:color w:val="auto"/>
                <w:sz w:val="20"/>
                <w:szCs w:val="20"/>
                <w:lang w:val="en-US"/>
              </w:rPr>
              <w:t>) M.</w:t>
            </w:r>
          </w:p>
          <w:p w14:paraId="2F23F9F0"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p>
        </w:tc>
        <w:tc>
          <w:tcPr>
            <w:tcW w:w="621" w:type="pct"/>
            <w:shd w:val="clear" w:color="auto" w:fill="F2F2F2" w:themeFill="background1" w:themeFillShade="F2"/>
          </w:tcPr>
          <w:p w14:paraId="123839D1"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Not identified</w:t>
            </w:r>
          </w:p>
        </w:tc>
        <w:tc>
          <w:tcPr>
            <w:tcW w:w="621" w:type="pct"/>
            <w:shd w:val="clear" w:color="auto" w:fill="F2F2F2" w:themeFill="background1" w:themeFillShade="F2"/>
          </w:tcPr>
          <w:p w14:paraId="120EC14C"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Not identified</w:t>
            </w:r>
          </w:p>
        </w:tc>
        <w:tc>
          <w:tcPr>
            <w:tcW w:w="997" w:type="pct"/>
            <w:shd w:val="clear" w:color="auto" w:fill="F2F2F2" w:themeFill="background1" w:themeFillShade="F2"/>
          </w:tcPr>
          <w:p w14:paraId="5B1A4731"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 xml:space="preserve">SAH (61.1); </w:t>
            </w:r>
            <w:r w:rsidRPr="00542519">
              <w:rPr>
                <w:rFonts w:eastAsiaTheme="minorEastAsia" w:cs="Times New Roman"/>
                <w:color w:val="auto"/>
                <w:sz w:val="20"/>
                <w:szCs w:val="20"/>
                <w:lang w:val="en-US"/>
              </w:rPr>
              <w:t>Dyslipidemia</w:t>
            </w:r>
            <w:r>
              <w:rPr>
                <w:rFonts w:eastAsiaTheme="minorEastAsia" w:cs="Times New Roman"/>
                <w:color w:val="auto"/>
                <w:sz w:val="20"/>
                <w:szCs w:val="20"/>
                <w:lang w:val="en-US"/>
              </w:rPr>
              <w:t xml:space="preserve"> (46.4)</w:t>
            </w:r>
            <w:r w:rsidRPr="00542519">
              <w:rPr>
                <w:rFonts w:eastAsiaTheme="minorEastAsia" w:cs="Times New Roman"/>
                <w:color w:val="auto"/>
                <w:sz w:val="20"/>
                <w:szCs w:val="20"/>
                <w:lang w:val="en-US"/>
              </w:rPr>
              <w:t xml:space="preserve">; </w:t>
            </w:r>
            <w:r>
              <w:rPr>
                <w:rFonts w:eastAsiaTheme="minorEastAsia" w:cs="Times New Roman"/>
                <w:color w:val="auto"/>
                <w:sz w:val="20"/>
                <w:szCs w:val="20"/>
                <w:lang w:val="en-US"/>
              </w:rPr>
              <w:t>NYHA ≥ II (36.1)</w:t>
            </w:r>
            <w:r w:rsidRPr="00542519">
              <w:rPr>
                <w:rFonts w:eastAsiaTheme="minorEastAsia" w:cs="Times New Roman"/>
                <w:color w:val="auto"/>
                <w:sz w:val="20"/>
                <w:szCs w:val="20"/>
                <w:lang w:val="en-US"/>
              </w:rPr>
              <w:t>; CAD</w:t>
            </w:r>
            <w:r>
              <w:rPr>
                <w:rFonts w:eastAsiaTheme="minorEastAsia" w:cs="Times New Roman"/>
                <w:color w:val="auto"/>
                <w:sz w:val="20"/>
                <w:szCs w:val="20"/>
                <w:lang w:val="en-US"/>
              </w:rPr>
              <w:t xml:space="preserve"> (</w:t>
            </w:r>
            <w:r w:rsidRPr="00542519">
              <w:rPr>
                <w:rFonts w:eastAsiaTheme="minorEastAsia" w:cs="Times New Roman"/>
                <w:color w:val="auto"/>
                <w:sz w:val="20"/>
                <w:szCs w:val="20"/>
                <w:lang w:val="en-US"/>
              </w:rPr>
              <w:t>25</w:t>
            </w:r>
            <w:r>
              <w:rPr>
                <w:rFonts w:eastAsiaTheme="minorEastAsia" w:cs="Times New Roman"/>
                <w:color w:val="auto"/>
                <w:sz w:val="20"/>
                <w:szCs w:val="20"/>
                <w:lang w:val="en-US"/>
              </w:rPr>
              <w:t>)</w:t>
            </w:r>
            <w:r w:rsidRPr="00542519">
              <w:rPr>
                <w:rFonts w:eastAsiaTheme="minorEastAsia" w:cs="Times New Roman"/>
                <w:color w:val="auto"/>
                <w:sz w:val="20"/>
                <w:szCs w:val="20"/>
                <w:lang w:val="en-US"/>
              </w:rPr>
              <w:t>; DM</w:t>
            </w:r>
            <w:r>
              <w:rPr>
                <w:rFonts w:eastAsiaTheme="minorEastAsia" w:cs="Times New Roman"/>
                <w:color w:val="auto"/>
                <w:sz w:val="20"/>
                <w:szCs w:val="20"/>
                <w:lang w:val="en-US"/>
              </w:rPr>
              <w:t xml:space="preserve"> (15.8)</w:t>
            </w:r>
            <w:r w:rsidRPr="00542519">
              <w:rPr>
                <w:rFonts w:eastAsiaTheme="minorEastAsia" w:cs="Times New Roman"/>
                <w:color w:val="auto"/>
                <w:sz w:val="20"/>
                <w:szCs w:val="20"/>
                <w:lang w:val="en-US"/>
              </w:rPr>
              <w:t>.</w:t>
            </w:r>
          </w:p>
        </w:tc>
      </w:tr>
      <w:tr w:rsidR="00F478FF" w:rsidRPr="00DE6F90" w14:paraId="74E05C6E" w14:textId="77777777" w:rsidTr="00F478FF">
        <w:trPr>
          <w:trHeight w:val="1201"/>
        </w:trPr>
        <w:tc>
          <w:tcPr>
            <w:cnfStyle w:val="001000000000" w:firstRow="0" w:lastRow="0" w:firstColumn="1" w:lastColumn="0" w:oddVBand="0" w:evenVBand="0" w:oddHBand="0" w:evenHBand="0" w:firstRowFirstColumn="0" w:firstRowLastColumn="0" w:lastRowFirstColumn="0" w:lastRowLastColumn="0"/>
            <w:tcW w:w="898" w:type="pct"/>
            <w:noWrap/>
          </w:tcPr>
          <w:p w14:paraId="58692A44" w14:textId="77777777" w:rsidR="00F478FF" w:rsidRDefault="00F478FF" w:rsidP="00F478FF">
            <w:pPr>
              <w:jc w:val="center"/>
              <w:rPr>
                <w:rFonts w:eastAsiaTheme="minorEastAsia" w:cs="Times New Roman"/>
                <w:sz w:val="20"/>
                <w:szCs w:val="20"/>
                <w:lang w:val="en-US"/>
              </w:rPr>
            </w:pPr>
            <w:proofErr w:type="spellStart"/>
            <w:r w:rsidRPr="00D04E53">
              <w:rPr>
                <w:rFonts w:eastAsiaTheme="minorEastAsia" w:cs="Times New Roman"/>
                <w:color w:val="auto"/>
                <w:sz w:val="20"/>
                <w:szCs w:val="20"/>
                <w:lang w:val="en-US"/>
              </w:rPr>
              <w:t>Breithardt</w:t>
            </w:r>
            <w:proofErr w:type="spellEnd"/>
            <w:r w:rsidRPr="00D04E53">
              <w:rPr>
                <w:rFonts w:eastAsiaTheme="minorEastAsia" w:cs="Times New Roman"/>
                <w:color w:val="auto"/>
                <w:sz w:val="20"/>
                <w:szCs w:val="20"/>
                <w:lang w:val="en-US"/>
              </w:rPr>
              <w:t xml:space="preserve"> et al.2014</w:t>
            </w:r>
            <w:r w:rsidRPr="00D04E53">
              <w:rPr>
                <w:rFonts w:eastAsiaTheme="minorEastAsia" w:cs="Times New Roman"/>
                <w:sz w:val="20"/>
                <w:szCs w:val="20"/>
                <w:lang w:val="en-US"/>
              </w:rPr>
              <w:fldChar w:fldCharType="begin" w:fldLock="1"/>
            </w:r>
            <w:r>
              <w:rPr>
                <w:rFonts w:eastAsiaTheme="minorEastAsia" w:cs="Times New Roman"/>
                <w:color w:val="auto"/>
                <w:sz w:val="20"/>
                <w:szCs w:val="20"/>
                <w:lang w:val="en-US"/>
              </w:rPr>
              <w:instrText>ADDIN CSL_CITATION {"citationItems":[{"id":"ITEM-1","itemData":{"DOI":"10.1093/eurheartj/ehu305","ISSN":"0195-668X","PMID":"25148838","abstract":"AIMS We investigated clinical characteristics and outcomes of patients with significant valvular disease (SVD) in the Rivaroxaban Once Daily Oral Direct Factor Xa Inhibition Compared with Vitamin K Antagonism for Prevention of Stroke and Embolism Trial in Atrial Fibrillation (ROCKET AF) trial. METHODS AND RESULTS ROCKET AF excluded patients with mitral stenosis or artificial valve prostheses. We used Cox regression to adjust comparisons for potential confounders. Among 14 171 patients, 2003 (14.1%) had SVD; they were older and had more comorbidities than patients without SVD. The rate of stroke or systemic embolism with rivaroxaban vs. warfarin was consistent among patients with SVD [2.01 vs. 2.43%; hazard ratio (HR) 0.83, 95% confidence interval (CI) 0.55-1.27] and without SVD (1.96 vs. 2.22%; HR 0.89, 95% CI 0.75-1.07; interaction P = 0.76). However, rates of major and non-major clinically relevant bleeding with rivaroxaban vs. warfarin were higher in patients with SVD (19.8% rivaroxaban vs. 16.8% warfarin; HR 1.25, 95% CI 1.05-1.49) vs. those without (14.2% rivaroxaban vs. 14.1% warfarin; HR 1.01, 95% CI 0.94-1.10; interaction P = 0.034), even when controlling for risk factors and potential confounders. In intracranial haemorrhage, there was no interaction between patients with and without SVD where the overall rate was lower among those randomized to rivaroxaban. CONCLUSIONS Many patients with 'non-valvular atrial fibrillation' have significant valve lesions. Their risk of stroke is similar to that of patients without SVD after controlling for stroke risk factors. Efficacy of rivaroxaban vs. warfarin was similar in patients with and without SVD; however, the observed risk of bleeding was higher with rivaroxaban in patients with SVD but was the same among those without SVD. Atrial fibrillation patients with and without SVD experience the same stroke-preventive benefit of oral anticoagulants.","author":[{"dropping-particle":"","family":"Breithardt","given":"Günter","non-dropping-particle":"","parse-names":false,"suffix":""},{"dropping-particle":"","family":"Baumgartner","given":"Helmut","non-dropping-particle":"","parse-names":false,"suffix":""},{"dropping-particle":"","family":"Berkowitz","given":"Scott D.","non-dropping-particle":"","parse-names":false,"suffix":""},{"dropping-particle":"","family":"Hellkamp","given":"Anne S.","non-dropping-particle":"","parse-names":false,"suffix":""},{"dropping-particle":"","family":"Piccini","given":"Jonathan P.","non-dropping-particle":"","parse-names":false,"suffix":""},{"dropping-particle":"","family":"Stevens","given":"Susanna R.","non-dropping-particle":"","parse-names":false,"suffix":""},{"dropping-particle":"","family":"Lokhnygina","given":"Yuliya","non-dropping-particle":"","parse-names":false,"suffix":""},{"dropping-particle":"","family":"Patel","given":"Manesh R.","non-dropping-particle":"","parse-names":false,"suffix":""},{"dropping-particle":"","family":"Halperin","given":"Jonathan L.","non-dropping-particle":"","parse-names":false,"suffix":""},{"dropping-particle":"","family":"Singer","given":"Daniel E.","non-dropping-particle":"","parse-names":false,"suffix":""},{"dropping-particle":"","family":"Hankey","given":"Graeme J.","non-dropping-particle":"","parse-names":false,"suffix":""},{"dropping-particle":"","family":"Hacke","given":"Werner","non-dropping-particle":"","parse-names":false,"suffix":""},{"dropping-particle":"","family":"Becker","given":"Richard C.","non-dropping-particle":"","parse-names":false,"suffix":""},{"dropping-particle":"","family":"Nessel","given":"Christopher C.","non-dropping-particle":"","parse-names":false,"suffix":""},{"dropping-particle":"","family":"Mahaffey","given":"Kenneth W.","non-dropping-particle":"","parse-names":false,"suffix":""},{"dropping-particle":"","family":"Fox","given":"Keith A. A.","non-dropping-particle":"","parse-names":false,"suffix":""},{"dropping-particle":"","family":"Califf","given":"Robert M.","non-dropping-particle":"","parse-names":false,"suffix":""},{"dropping-particle":"","family":"ROCKET AF Steering Committee &amp; Investigators","given":"","non-dropping-particle":"","parse-names":false,"suffix":""}],"container-title":"European Heart Journal","id":"ITEM-1","issue":"47","issued":{"date-parts":[["2014","12","14"]]},"page":"3377-3385","title":"Clinical characteristics and outcomes with rivaroxaban vs. warfarin in patients with non-valvular atrial fibrillation but underlying native mitral and aortic valve disease participating in the ROCKET AF trial","type":"article-journal","volume":"35"},"uris":["http://www.mendeley.com/documents/?uuid=c0b49bf4-090b-329a-a57a-cbd83eb28668"]}],"mendeley":{"formattedCitation":"(5)","plainTextFormattedCitation":"(5)","previouslyFormattedCitation":"(5)"},"properties":{"noteIndex":0},"schema":"https://github.com/citation-style-language/schema/raw/master/csl-citation.json"}</w:instrText>
            </w:r>
            <w:r w:rsidRPr="00D04E53">
              <w:rPr>
                <w:rFonts w:eastAsiaTheme="minorEastAsia" w:cs="Times New Roman"/>
                <w:sz w:val="20"/>
                <w:szCs w:val="20"/>
                <w:lang w:val="en-US"/>
              </w:rPr>
              <w:fldChar w:fldCharType="separate"/>
            </w:r>
            <w:r w:rsidRPr="00DE6F90">
              <w:rPr>
                <w:rFonts w:eastAsiaTheme="minorEastAsia" w:cs="Times New Roman"/>
                <w:b w:val="0"/>
                <w:noProof/>
                <w:color w:val="auto"/>
                <w:sz w:val="20"/>
                <w:szCs w:val="20"/>
                <w:lang w:val="en-US"/>
              </w:rPr>
              <w:t>(5)</w:t>
            </w:r>
            <w:r w:rsidRPr="00D04E53">
              <w:rPr>
                <w:rFonts w:eastAsiaTheme="minorEastAsia" w:cs="Times New Roman"/>
                <w:sz w:val="20"/>
                <w:szCs w:val="20"/>
                <w:lang w:val="en-US"/>
              </w:rPr>
              <w:fldChar w:fldCharType="end"/>
            </w:r>
          </w:p>
          <w:p w14:paraId="558753BC" w14:textId="77777777" w:rsidR="00F478FF" w:rsidRPr="00D04E53" w:rsidRDefault="00F478FF" w:rsidP="00F478FF">
            <w:pPr>
              <w:jc w:val="center"/>
              <w:rPr>
                <w:rFonts w:eastAsiaTheme="minorEastAsia" w:cs="Times New Roman"/>
                <w:color w:val="auto"/>
                <w:sz w:val="20"/>
                <w:szCs w:val="20"/>
                <w:lang w:val="en-US"/>
              </w:rPr>
            </w:pPr>
            <w:r>
              <w:rPr>
                <w:rFonts w:eastAsiaTheme="minorEastAsia" w:cs="Times New Roman"/>
                <w:color w:val="auto"/>
                <w:sz w:val="20"/>
                <w:szCs w:val="20"/>
                <w:lang w:val="en-US"/>
              </w:rPr>
              <w:t>(ROCKET-AF)</w:t>
            </w:r>
          </w:p>
        </w:tc>
        <w:tc>
          <w:tcPr>
            <w:tcW w:w="390" w:type="pct"/>
          </w:tcPr>
          <w:p w14:paraId="43A435C1"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 xml:space="preserve">2003 </w:t>
            </w:r>
          </w:p>
        </w:tc>
        <w:tc>
          <w:tcPr>
            <w:tcW w:w="541" w:type="pct"/>
          </w:tcPr>
          <w:p w14:paraId="0DAEFA85"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75</w:t>
            </w:r>
          </w:p>
        </w:tc>
        <w:tc>
          <w:tcPr>
            <w:tcW w:w="931" w:type="pct"/>
          </w:tcPr>
          <w:p w14:paraId="0CCD65C9" w14:textId="77777777" w:rsidR="00F478FF"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 xml:space="preserve">785 (39.4) F; </w:t>
            </w:r>
          </w:p>
          <w:p w14:paraId="3EC67C9A"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1207 (60.6</w:t>
            </w:r>
            <w:r w:rsidRPr="00542519">
              <w:rPr>
                <w:rFonts w:eastAsiaTheme="minorEastAsia" w:cs="Times New Roman"/>
                <w:color w:val="auto"/>
                <w:sz w:val="20"/>
                <w:szCs w:val="20"/>
                <w:lang w:val="en-US"/>
              </w:rPr>
              <w:t>) M.</w:t>
            </w:r>
          </w:p>
        </w:tc>
        <w:tc>
          <w:tcPr>
            <w:tcW w:w="621" w:type="pct"/>
          </w:tcPr>
          <w:p w14:paraId="5FA6FCB4"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3.5</w:t>
            </w:r>
          </w:p>
        </w:tc>
        <w:tc>
          <w:tcPr>
            <w:tcW w:w="621" w:type="pct"/>
          </w:tcPr>
          <w:p w14:paraId="243980A6"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2.8</w:t>
            </w:r>
          </w:p>
        </w:tc>
        <w:tc>
          <w:tcPr>
            <w:tcW w:w="997" w:type="pct"/>
          </w:tcPr>
          <w:p w14:paraId="4D09326D"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 xml:space="preserve"> SAH</w:t>
            </w:r>
            <w:r>
              <w:rPr>
                <w:rFonts w:eastAsiaTheme="minorEastAsia" w:cs="Times New Roman"/>
                <w:color w:val="auto"/>
                <w:sz w:val="20"/>
                <w:szCs w:val="20"/>
                <w:lang w:val="en-US"/>
              </w:rPr>
              <w:t xml:space="preserve"> (</w:t>
            </w:r>
            <w:r w:rsidRPr="00542519">
              <w:rPr>
                <w:rFonts w:eastAsiaTheme="minorEastAsia" w:cs="Times New Roman"/>
                <w:color w:val="auto"/>
                <w:sz w:val="20"/>
                <w:szCs w:val="20"/>
                <w:lang w:val="en-US"/>
              </w:rPr>
              <w:t>89.1</w:t>
            </w:r>
            <w:r>
              <w:rPr>
                <w:rFonts w:eastAsiaTheme="minorEastAsia" w:cs="Times New Roman"/>
                <w:color w:val="auto"/>
                <w:sz w:val="20"/>
                <w:szCs w:val="20"/>
                <w:lang w:val="en-US"/>
              </w:rPr>
              <w:t>)</w:t>
            </w:r>
            <w:r w:rsidRPr="00542519">
              <w:rPr>
                <w:rFonts w:eastAsiaTheme="minorEastAsia" w:cs="Times New Roman"/>
                <w:color w:val="auto"/>
                <w:sz w:val="20"/>
                <w:szCs w:val="20"/>
                <w:lang w:val="en-US"/>
              </w:rPr>
              <w:t>; HF</w:t>
            </w:r>
            <w:r>
              <w:rPr>
                <w:rFonts w:eastAsiaTheme="minorEastAsia" w:cs="Times New Roman"/>
                <w:color w:val="auto"/>
                <w:sz w:val="20"/>
                <w:szCs w:val="20"/>
                <w:lang w:val="en-US"/>
              </w:rPr>
              <w:t xml:space="preserve"> (</w:t>
            </w:r>
            <w:r w:rsidRPr="00542519">
              <w:rPr>
                <w:rFonts w:eastAsiaTheme="minorEastAsia" w:cs="Times New Roman"/>
                <w:color w:val="auto"/>
                <w:sz w:val="20"/>
                <w:szCs w:val="20"/>
                <w:lang w:val="en-US"/>
              </w:rPr>
              <w:t>70.4</w:t>
            </w:r>
            <w:r>
              <w:rPr>
                <w:rFonts w:eastAsiaTheme="minorEastAsia" w:cs="Times New Roman"/>
                <w:color w:val="auto"/>
                <w:sz w:val="20"/>
                <w:szCs w:val="20"/>
                <w:lang w:val="en-US"/>
              </w:rPr>
              <w:t>)</w:t>
            </w:r>
            <w:r w:rsidRPr="00542519">
              <w:rPr>
                <w:rFonts w:eastAsiaTheme="minorEastAsia" w:cs="Times New Roman"/>
                <w:color w:val="auto"/>
                <w:sz w:val="20"/>
                <w:szCs w:val="20"/>
                <w:lang w:val="en-US"/>
              </w:rPr>
              <w:t xml:space="preserve">; </w:t>
            </w:r>
            <w:proofErr w:type="spellStart"/>
            <w:r w:rsidRPr="00542519">
              <w:rPr>
                <w:rFonts w:eastAsiaTheme="minorEastAsia" w:cs="Times New Roman"/>
                <w:color w:val="auto"/>
                <w:sz w:val="20"/>
                <w:szCs w:val="20"/>
                <w:lang w:val="en-US"/>
              </w:rPr>
              <w:t>CrCl</w:t>
            </w:r>
            <w:proofErr w:type="spellEnd"/>
            <w:r w:rsidRPr="00542519">
              <w:rPr>
                <w:rFonts w:eastAsiaTheme="minorEastAsia" w:cs="Times New Roman"/>
                <w:color w:val="auto"/>
                <w:sz w:val="20"/>
                <w:szCs w:val="20"/>
                <w:lang w:val="en-US"/>
              </w:rPr>
              <w:t xml:space="preserve"> 62 mL/min</w:t>
            </w:r>
            <w:r>
              <w:rPr>
                <w:rFonts w:eastAsiaTheme="minorEastAsia" w:cs="Times New Roman"/>
                <w:color w:val="auto"/>
                <w:sz w:val="20"/>
                <w:szCs w:val="20"/>
                <w:lang w:val="en-US"/>
              </w:rPr>
              <w:t xml:space="preserve"> (</w:t>
            </w:r>
            <w:r w:rsidRPr="00542519">
              <w:rPr>
                <w:rFonts w:eastAsiaTheme="minorEastAsia" w:cs="Times New Roman"/>
                <w:color w:val="auto"/>
                <w:sz w:val="20"/>
                <w:szCs w:val="20"/>
                <w:lang w:val="en-US"/>
              </w:rPr>
              <w:t>4</w:t>
            </w:r>
            <w:r>
              <w:rPr>
                <w:rFonts w:eastAsiaTheme="minorEastAsia" w:cs="Times New Roman"/>
                <w:color w:val="auto"/>
                <w:sz w:val="20"/>
                <w:szCs w:val="20"/>
                <w:lang w:val="en-US"/>
              </w:rPr>
              <w:t>9.8)</w:t>
            </w:r>
            <w:r w:rsidRPr="00542519">
              <w:rPr>
                <w:rFonts w:eastAsiaTheme="minorEastAsia" w:cs="Times New Roman"/>
                <w:color w:val="auto"/>
                <w:sz w:val="20"/>
                <w:szCs w:val="20"/>
                <w:lang w:val="en-US"/>
              </w:rPr>
              <w:t>; prior stroke</w:t>
            </w:r>
            <w:r>
              <w:rPr>
                <w:rFonts w:eastAsiaTheme="minorEastAsia" w:cs="Times New Roman"/>
                <w:color w:val="auto"/>
                <w:sz w:val="20"/>
                <w:szCs w:val="20"/>
                <w:lang w:val="en-US"/>
              </w:rPr>
              <w:t xml:space="preserve"> </w:t>
            </w:r>
            <w:r w:rsidRPr="00542519">
              <w:rPr>
                <w:rFonts w:eastAsiaTheme="minorEastAsia" w:cs="Times New Roman"/>
                <w:color w:val="auto"/>
                <w:sz w:val="20"/>
                <w:szCs w:val="20"/>
                <w:lang w:val="en-US"/>
              </w:rPr>
              <w:t>embolism or TIA</w:t>
            </w:r>
            <w:r>
              <w:rPr>
                <w:rFonts w:eastAsiaTheme="minorEastAsia" w:cs="Times New Roman"/>
                <w:color w:val="auto"/>
                <w:sz w:val="20"/>
                <w:szCs w:val="20"/>
                <w:lang w:val="en-US"/>
              </w:rPr>
              <w:t xml:space="preserve"> (</w:t>
            </w:r>
            <w:r w:rsidRPr="00542519">
              <w:rPr>
                <w:rFonts w:eastAsiaTheme="minorEastAsia" w:cs="Times New Roman"/>
                <w:color w:val="auto"/>
                <w:sz w:val="20"/>
                <w:szCs w:val="20"/>
                <w:lang w:val="en-US"/>
              </w:rPr>
              <w:t>48.2</w:t>
            </w:r>
            <w:r>
              <w:rPr>
                <w:rFonts w:eastAsiaTheme="minorEastAsia" w:cs="Times New Roman"/>
                <w:color w:val="auto"/>
                <w:sz w:val="20"/>
                <w:szCs w:val="20"/>
                <w:lang w:val="en-US"/>
              </w:rPr>
              <w:t>)</w:t>
            </w:r>
            <w:r w:rsidRPr="00542519">
              <w:rPr>
                <w:rFonts w:eastAsiaTheme="minorEastAsia" w:cs="Times New Roman"/>
                <w:color w:val="auto"/>
                <w:sz w:val="20"/>
                <w:szCs w:val="20"/>
                <w:lang w:val="en-US"/>
              </w:rPr>
              <w:t xml:space="preserve">; </w:t>
            </w:r>
            <w:r>
              <w:rPr>
                <w:rFonts w:eastAsiaTheme="minorEastAsia" w:cs="Times New Roman"/>
                <w:color w:val="auto"/>
                <w:sz w:val="20"/>
                <w:szCs w:val="20"/>
                <w:lang w:val="en-US"/>
              </w:rPr>
              <w:t>DM (40.1)</w:t>
            </w:r>
            <w:r w:rsidRPr="00542519">
              <w:rPr>
                <w:rFonts w:eastAsiaTheme="minorEastAsia" w:cs="Times New Roman"/>
                <w:color w:val="auto"/>
                <w:sz w:val="20"/>
                <w:szCs w:val="20"/>
                <w:lang w:val="en-US"/>
              </w:rPr>
              <w:t>.</w:t>
            </w:r>
          </w:p>
        </w:tc>
      </w:tr>
      <w:tr w:rsidR="00F478FF" w:rsidRPr="00DE6F90" w14:paraId="3CCCFD9E" w14:textId="77777777" w:rsidTr="00F478FF">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898" w:type="pct"/>
            <w:shd w:val="clear" w:color="auto" w:fill="F2F2F2" w:themeFill="background1" w:themeFillShade="F2"/>
            <w:noWrap/>
          </w:tcPr>
          <w:p w14:paraId="5E46EA2F" w14:textId="77777777" w:rsidR="00F478FF" w:rsidRDefault="00F478FF" w:rsidP="00F478FF">
            <w:pPr>
              <w:jc w:val="center"/>
              <w:rPr>
                <w:rFonts w:eastAsiaTheme="minorEastAsia" w:cs="Times New Roman"/>
                <w:sz w:val="20"/>
                <w:szCs w:val="20"/>
                <w:lang w:val="en-US"/>
              </w:rPr>
            </w:pPr>
            <w:proofErr w:type="spellStart"/>
            <w:r w:rsidRPr="00D04E53">
              <w:rPr>
                <w:rFonts w:eastAsiaTheme="minorEastAsia" w:cs="Times New Roman"/>
                <w:color w:val="auto"/>
                <w:sz w:val="20"/>
                <w:szCs w:val="20"/>
                <w:lang w:val="en-US"/>
              </w:rPr>
              <w:t>Avezum</w:t>
            </w:r>
            <w:proofErr w:type="spellEnd"/>
            <w:r w:rsidRPr="00D04E53">
              <w:rPr>
                <w:rFonts w:eastAsiaTheme="minorEastAsia" w:cs="Times New Roman"/>
                <w:color w:val="auto"/>
                <w:sz w:val="20"/>
                <w:szCs w:val="20"/>
                <w:lang w:val="en-US"/>
              </w:rPr>
              <w:t xml:space="preserve"> et al.2015</w:t>
            </w:r>
            <w:r w:rsidRPr="00D04E53">
              <w:rPr>
                <w:rFonts w:eastAsiaTheme="minorEastAsia" w:cs="Times New Roman"/>
                <w:sz w:val="20"/>
                <w:szCs w:val="20"/>
                <w:lang w:val="en-US"/>
              </w:rPr>
              <w:fldChar w:fldCharType="begin" w:fldLock="1"/>
            </w:r>
            <w:r>
              <w:rPr>
                <w:rFonts w:eastAsiaTheme="minorEastAsia" w:cs="Times New Roman"/>
                <w:color w:val="auto"/>
                <w:sz w:val="20"/>
                <w:szCs w:val="20"/>
                <w:lang w:val="en-US"/>
              </w:rPr>
              <w:instrText>ADDIN CSL_CITATION {"citationItems":[{"id":"ITEM-1","itemData":{"author":[{"dropping-particle":"","family":"Avezum","given":"Alvaro","non-dropping-particle":"","parse-names":false,"suffix":""},{"dropping-particle":"","family":"Lopes","given":"Renato D.","non-dropping-particle":"","parse-names":false,"suffix":""},{"dropping-particle":"","family":"Schulte","given":"Phillip J.","non-dropping-particle":"","parse-names":false,"suffix":""},{"dropping-particle":"","family":"Lanas","given":"Fernando","non-dropping-particle":"","parse-names":false,"suffix":""},{"dropping-particle":"","family":"Gersh","given":"Bernard J.","non-dropping-particle":"","parse-names":false,"suffix":""},{"dropping-particle":"","family":"Hanna","given":"Michael","non-dropping-particle":"","parse-names":false,"suffix":""},{"dropping-particle":"","family":"Pais","given":"Prem","non-dropping-particle":"","parse-names":false,"suffix":""},{"dropping-particle":"","family":"Erol","given":"Cetin","non-dropping-particle":"","parse-names":false,"suffix":""},{"dropping-particle":"","family":"Diaz","given":"Rafael","non-dropping-particle":"","parse-names":false,"suffix":""},{"dropping-particle":"","family":"Bahit","given":"M. Cecilia","non-dropping-particle":"","parse-names":false,"suffix":""},{"dropping-particle":"","family":"Bartunek","given":"Jozef","non-dropping-particle":"","parse-names":false,"suffix":""},{"dropping-particle":"","family":"Caterina","given":"Raffaele","non-dropping-particle":"De","parse-names":false,"suffix":""},{"dropping-particle":"","family":"Goto","given":"Shinya","non-dropping-particle":"","parse-names":false,"suffix":""},{"dropping-particle":"","family":"Ruzyllo","given":"Witold","non-dropping-particle":"","parse-names":false,"suffix":""},{"dropping-particle":"","family":"Zhu","given":"Jun","non-dropping-particle":"","parse-names":false,"suffix":""},{"dropping-particle":"","family":"Granger","given":"Christopher B.","non-dropping-particle":"","parse-names":false,"suffix":""},{"dropping-particle":"","family":"Alexander","given":"John H.","non-dropping-particle":"","parse-names":false,"suffix":""}],"container-title":"Circulation","id":"ITEM-1","issued":{"date-parts":[["2015"]]},"title":"Apixaban Compared with Warfarin in Patients With Atrial Fibrillation and Valvular Heart Disease: Findings From the ARISTOTLE Trial","type":"article-journal"},"uris":["http://www.mendeley.com/documents/?uuid=597fb6fb-25b5-32b7-9a2c-e1e213ab4aa7"]}],"mendeley":{"formattedCitation":"(6)","plainTextFormattedCitation":"(6)","previouslyFormattedCitation":"(6)"},"properties":{"noteIndex":0},"schema":"https://github.com/citation-style-language/schema/raw/master/csl-citation.json"}</w:instrText>
            </w:r>
            <w:r w:rsidRPr="00D04E53">
              <w:rPr>
                <w:rFonts w:eastAsiaTheme="minorEastAsia" w:cs="Times New Roman"/>
                <w:sz w:val="20"/>
                <w:szCs w:val="20"/>
                <w:lang w:val="en-US"/>
              </w:rPr>
              <w:fldChar w:fldCharType="separate"/>
            </w:r>
            <w:r w:rsidRPr="00DE6F90">
              <w:rPr>
                <w:rFonts w:eastAsiaTheme="minorEastAsia" w:cs="Times New Roman"/>
                <w:b w:val="0"/>
                <w:noProof/>
                <w:color w:val="auto"/>
                <w:sz w:val="20"/>
                <w:szCs w:val="20"/>
                <w:lang w:val="en-US"/>
              </w:rPr>
              <w:t>(6)</w:t>
            </w:r>
            <w:r w:rsidRPr="00D04E53">
              <w:rPr>
                <w:rFonts w:eastAsiaTheme="minorEastAsia" w:cs="Times New Roman"/>
                <w:sz w:val="20"/>
                <w:szCs w:val="20"/>
                <w:lang w:val="en-US"/>
              </w:rPr>
              <w:fldChar w:fldCharType="end"/>
            </w:r>
          </w:p>
          <w:p w14:paraId="61930196" w14:textId="77777777" w:rsidR="00F478FF" w:rsidRPr="00D04E53" w:rsidRDefault="00F478FF" w:rsidP="00F478FF">
            <w:pPr>
              <w:jc w:val="center"/>
              <w:rPr>
                <w:rFonts w:eastAsiaTheme="minorEastAsia" w:cs="Times New Roman"/>
                <w:b w:val="0"/>
                <w:color w:val="auto"/>
                <w:sz w:val="20"/>
                <w:szCs w:val="20"/>
                <w:vertAlign w:val="superscript"/>
                <w:lang w:val="en-US"/>
              </w:rPr>
            </w:pPr>
            <w:r w:rsidRPr="00D04E53">
              <w:rPr>
                <w:rFonts w:eastAsiaTheme="minorEastAsia" w:cs="Times New Roman"/>
                <w:color w:val="auto"/>
                <w:sz w:val="20"/>
                <w:szCs w:val="20"/>
                <w:lang w:val="en-US"/>
              </w:rPr>
              <w:t>(ARISTOTLE)</w:t>
            </w:r>
          </w:p>
        </w:tc>
        <w:tc>
          <w:tcPr>
            <w:tcW w:w="390" w:type="pct"/>
            <w:shd w:val="clear" w:color="auto" w:fill="F2F2F2" w:themeFill="background1" w:themeFillShade="F2"/>
          </w:tcPr>
          <w:p w14:paraId="5FB0C2A3"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4.808</w:t>
            </w:r>
          </w:p>
        </w:tc>
        <w:tc>
          <w:tcPr>
            <w:tcW w:w="541" w:type="pct"/>
            <w:shd w:val="clear" w:color="auto" w:fill="F2F2F2" w:themeFill="background1" w:themeFillShade="F2"/>
          </w:tcPr>
          <w:p w14:paraId="1B27DDAE"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71</w:t>
            </w:r>
          </w:p>
        </w:tc>
        <w:tc>
          <w:tcPr>
            <w:tcW w:w="931" w:type="pct"/>
            <w:shd w:val="clear" w:color="auto" w:fill="F2F2F2" w:themeFill="background1" w:themeFillShade="F2"/>
          </w:tcPr>
          <w:p w14:paraId="6370165A" w14:textId="77777777" w:rsidR="00F478FF"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 xml:space="preserve">1936 (40.3) F; </w:t>
            </w:r>
          </w:p>
          <w:p w14:paraId="5E167919"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2872 (59.7</w:t>
            </w:r>
            <w:r w:rsidRPr="00542519">
              <w:rPr>
                <w:rFonts w:eastAsiaTheme="minorEastAsia" w:cs="Times New Roman"/>
                <w:color w:val="auto"/>
                <w:sz w:val="20"/>
                <w:szCs w:val="20"/>
                <w:lang w:val="en-US"/>
              </w:rPr>
              <w:t>) M.</w:t>
            </w:r>
          </w:p>
        </w:tc>
        <w:tc>
          <w:tcPr>
            <w:tcW w:w="621" w:type="pct"/>
            <w:shd w:val="clear" w:color="auto" w:fill="F2F2F2" w:themeFill="background1" w:themeFillShade="F2"/>
          </w:tcPr>
          <w:p w14:paraId="1F309E55"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2.2</w:t>
            </w:r>
          </w:p>
        </w:tc>
        <w:tc>
          <w:tcPr>
            <w:tcW w:w="621" w:type="pct"/>
            <w:shd w:val="clear" w:color="auto" w:fill="F2F2F2" w:themeFill="background1" w:themeFillShade="F2"/>
          </w:tcPr>
          <w:p w14:paraId="2736EC16"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Not identified</w:t>
            </w:r>
          </w:p>
        </w:tc>
        <w:tc>
          <w:tcPr>
            <w:tcW w:w="997" w:type="pct"/>
            <w:shd w:val="clear" w:color="auto" w:fill="F2F2F2" w:themeFill="background1" w:themeFillShade="F2"/>
          </w:tcPr>
          <w:p w14:paraId="010BCD3B"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SAH</w:t>
            </w:r>
            <w:r>
              <w:rPr>
                <w:rFonts w:eastAsiaTheme="minorEastAsia" w:cs="Times New Roman"/>
                <w:color w:val="auto"/>
                <w:sz w:val="20"/>
                <w:szCs w:val="20"/>
                <w:lang w:val="en-US"/>
              </w:rPr>
              <w:t xml:space="preserve"> (</w:t>
            </w:r>
            <w:r w:rsidRPr="00542519">
              <w:rPr>
                <w:rFonts w:eastAsiaTheme="minorEastAsia" w:cs="Times New Roman"/>
                <w:color w:val="auto"/>
                <w:sz w:val="20"/>
                <w:szCs w:val="20"/>
                <w:lang w:val="en-US"/>
              </w:rPr>
              <w:t>85.3</w:t>
            </w:r>
            <w:r>
              <w:rPr>
                <w:rFonts w:eastAsiaTheme="minorEastAsia" w:cs="Times New Roman"/>
                <w:color w:val="auto"/>
                <w:sz w:val="20"/>
                <w:szCs w:val="20"/>
                <w:lang w:val="en-US"/>
              </w:rPr>
              <w:t>);</w:t>
            </w:r>
            <w:r w:rsidRPr="00542519">
              <w:rPr>
                <w:rFonts w:eastAsiaTheme="minorEastAsia" w:cs="Times New Roman"/>
                <w:color w:val="auto"/>
                <w:sz w:val="20"/>
                <w:szCs w:val="20"/>
                <w:lang w:val="en-US"/>
              </w:rPr>
              <w:t xml:space="preserve"> HF</w:t>
            </w:r>
            <w:r>
              <w:rPr>
                <w:rFonts w:eastAsiaTheme="minorEastAsia" w:cs="Times New Roman"/>
                <w:color w:val="auto"/>
                <w:sz w:val="20"/>
                <w:szCs w:val="20"/>
                <w:lang w:val="en-US"/>
              </w:rPr>
              <w:t xml:space="preserve"> (</w:t>
            </w:r>
            <w:r w:rsidRPr="00542519">
              <w:rPr>
                <w:rFonts w:eastAsiaTheme="minorEastAsia" w:cs="Times New Roman"/>
                <w:color w:val="auto"/>
                <w:sz w:val="20"/>
                <w:szCs w:val="20"/>
                <w:lang w:val="en-US"/>
              </w:rPr>
              <w:t>48.6</w:t>
            </w:r>
            <w:r>
              <w:rPr>
                <w:rFonts w:eastAsiaTheme="minorEastAsia" w:cs="Times New Roman"/>
                <w:color w:val="auto"/>
                <w:sz w:val="20"/>
                <w:szCs w:val="20"/>
                <w:lang w:val="en-US"/>
              </w:rPr>
              <w:t>)</w:t>
            </w:r>
            <w:r w:rsidRPr="00542519">
              <w:rPr>
                <w:rFonts w:eastAsiaTheme="minorEastAsia" w:cs="Times New Roman"/>
                <w:color w:val="auto"/>
                <w:sz w:val="20"/>
                <w:szCs w:val="20"/>
                <w:lang w:val="en-US"/>
              </w:rPr>
              <w:t>; DM</w:t>
            </w:r>
            <w:r>
              <w:rPr>
                <w:rFonts w:eastAsiaTheme="minorEastAsia" w:cs="Times New Roman"/>
                <w:color w:val="auto"/>
                <w:sz w:val="20"/>
                <w:szCs w:val="20"/>
                <w:lang w:val="en-US"/>
              </w:rPr>
              <w:t xml:space="preserve"> (22.6)</w:t>
            </w:r>
            <w:r w:rsidRPr="00542519">
              <w:rPr>
                <w:rFonts w:eastAsiaTheme="minorEastAsia" w:cs="Times New Roman"/>
                <w:color w:val="auto"/>
                <w:sz w:val="20"/>
                <w:szCs w:val="20"/>
                <w:lang w:val="en-US"/>
              </w:rPr>
              <w:t>; prior stroke, embolism or TIA</w:t>
            </w:r>
            <w:r>
              <w:rPr>
                <w:rFonts w:eastAsiaTheme="minorEastAsia" w:cs="Times New Roman"/>
                <w:color w:val="auto"/>
                <w:sz w:val="20"/>
                <w:szCs w:val="20"/>
                <w:lang w:val="en-US"/>
              </w:rPr>
              <w:t xml:space="preserve"> (</w:t>
            </w:r>
            <w:r w:rsidRPr="00542519">
              <w:rPr>
                <w:rFonts w:eastAsiaTheme="minorEastAsia" w:cs="Times New Roman"/>
                <w:color w:val="auto"/>
                <w:sz w:val="20"/>
                <w:szCs w:val="20"/>
                <w:lang w:val="en-US"/>
              </w:rPr>
              <w:t>18.8</w:t>
            </w:r>
            <w:r>
              <w:rPr>
                <w:rFonts w:eastAsiaTheme="minorEastAsia" w:cs="Times New Roman"/>
                <w:color w:val="auto"/>
                <w:sz w:val="20"/>
                <w:szCs w:val="20"/>
                <w:lang w:val="en-US"/>
              </w:rPr>
              <w:t>)</w:t>
            </w:r>
            <w:r w:rsidRPr="00542519">
              <w:rPr>
                <w:rFonts w:eastAsiaTheme="minorEastAsia" w:cs="Times New Roman"/>
                <w:color w:val="auto"/>
                <w:sz w:val="20"/>
                <w:szCs w:val="20"/>
                <w:lang w:val="en-US"/>
              </w:rPr>
              <w:t>; mild renal insufficiency</w:t>
            </w:r>
            <w:r>
              <w:rPr>
                <w:rFonts w:eastAsiaTheme="minorEastAsia" w:cs="Times New Roman"/>
                <w:color w:val="auto"/>
                <w:sz w:val="20"/>
                <w:szCs w:val="20"/>
                <w:lang w:val="en-US"/>
              </w:rPr>
              <w:t xml:space="preserve"> (43.8)</w:t>
            </w:r>
            <w:r w:rsidRPr="00542519">
              <w:rPr>
                <w:rFonts w:eastAsiaTheme="minorEastAsia" w:cs="Times New Roman"/>
                <w:color w:val="auto"/>
                <w:sz w:val="20"/>
                <w:szCs w:val="20"/>
                <w:lang w:val="en-US"/>
              </w:rPr>
              <w:t>.</w:t>
            </w:r>
          </w:p>
        </w:tc>
      </w:tr>
      <w:tr w:rsidR="00F478FF" w:rsidRPr="00645E28" w14:paraId="371FF551" w14:textId="77777777" w:rsidTr="00F478FF">
        <w:trPr>
          <w:trHeight w:val="1201"/>
        </w:trPr>
        <w:tc>
          <w:tcPr>
            <w:cnfStyle w:val="001000000000" w:firstRow="0" w:lastRow="0" w:firstColumn="1" w:lastColumn="0" w:oddVBand="0" w:evenVBand="0" w:oddHBand="0" w:evenHBand="0" w:firstRowFirstColumn="0" w:firstRowLastColumn="0" w:lastRowFirstColumn="0" w:lastRowLastColumn="0"/>
            <w:tcW w:w="898" w:type="pct"/>
            <w:noWrap/>
          </w:tcPr>
          <w:p w14:paraId="1F2A5E2F" w14:textId="77777777" w:rsidR="00F478FF" w:rsidRDefault="00F478FF" w:rsidP="00F478FF">
            <w:pPr>
              <w:jc w:val="center"/>
              <w:rPr>
                <w:rFonts w:eastAsiaTheme="minorEastAsia" w:cs="Times New Roman"/>
                <w:sz w:val="20"/>
                <w:szCs w:val="20"/>
                <w:lang w:val="en-US"/>
              </w:rPr>
            </w:pPr>
            <w:r w:rsidRPr="00D04E53">
              <w:rPr>
                <w:rFonts w:eastAsiaTheme="minorEastAsia" w:cs="Times New Roman"/>
                <w:color w:val="auto"/>
                <w:sz w:val="20"/>
                <w:szCs w:val="20"/>
                <w:lang w:val="en-US"/>
              </w:rPr>
              <w:br/>
            </w:r>
            <w:proofErr w:type="spellStart"/>
            <w:r w:rsidRPr="00D04E53">
              <w:rPr>
                <w:rFonts w:eastAsiaTheme="minorEastAsia" w:cs="Times New Roman"/>
                <w:color w:val="auto"/>
                <w:sz w:val="20"/>
                <w:szCs w:val="20"/>
                <w:lang w:val="en-US"/>
              </w:rPr>
              <w:t>Duraes</w:t>
            </w:r>
            <w:proofErr w:type="spellEnd"/>
            <w:r w:rsidRPr="00D04E53">
              <w:rPr>
                <w:rFonts w:eastAsiaTheme="minorEastAsia" w:cs="Times New Roman"/>
                <w:color w:val="auto"/>
                <w:sz w:val="20"/>
                <w:szCs w:val="20"/>
                <w:lang w:val="en-US"/>
              </w:rPr>
              <w:t xml:space="preserve"> et al.2016</w:t>
            </w:r>
            <w:r w:rsidRPr="00D04E53">
              <w:rPr>
                <w:rFonts w:eastAsiaTheme="minorEastAsia" w:cs="Times New Roman"/>
                <w:sz w:val="20"/>
                <w:szCs w:val="20"/>
                <w:lang w:val="en-US"/>
              </w:rPr>
              <w:fldChar w:fldCharType="begin" w:fldLock="1"/>
            </w:r>
            <w:r>
              <w:rPr>
                <w:rFonts w:eastAsiaTheme="minorEastAsia" w:cs="Times New Roman"/>
                <w:color w:val="auto"/>
                <w:sz w:val="20"/>
                <w:szCs w:val="20"/>
                <w:lang w:val="en-US"/>
              </w:rPr>
              <w:instrText>ADDIN CSL_CITATION {"citationItems":[{"id":"ITEM-1","itemData":{"DOI":"10.1007/s40268-016-0124-1","abstract":"Objectives Dabigatran is a direct thrombin inhibitor shown to be an effective alternative to warfarin in patients with non-valvular atrial fibrillation (AF). We evaluated the use of dabigatran in patients with bioprosthetic mitral and/ or aortic valve replacement and AF. Methods We selected 34 and randomized 27 patients in a 1:1 ratio to receive dabigatran or warfarin. The primary endpoint was the presence of a new intracardiac thrombus at 90 days, by transesophageal echocardiogram (TEE). Secondary endpoints included the development of dense spontaneous echo contrast (SEC) and incidence of stroke (ischemic or hemorrhagic), myocardium infarction, valve thrombosis and peripheral embolic events. Results The trial was terminated prematurely because of low enrollment. There were 27 patients in total: 15 patients placed in the dabigatran group and 12 in the warfarin group. After 90 days, one patient (8.3 %) in the warfarin group and none in the dabigatran group had developed a new intracardiac thrombus. In the dabigatran group, two patients (13.3 %) developed dense SEC versus one patient (8.3 %) in the warfarin group. In the warfarin group, one patient (8.3 %) presented ischemic stroke, and none did in the dabigatran group. We observed no cases of hemor-rhagic stroke, valve thrombosis, embolic events or myocardial infarction in either group throughout the study. However, one patient (6.7 %) in the dabigatran group had a fully recovered transient ischemic attack and one patient in the warfarin group died of heart failure. Conclusions The use of dabigatran appears to be similar to warfarin in preventing the formation of intracardiac thrombus. Trial Registration Clinicaltrials.gov NCT01868243.","author":[{"dropping-particle":"","family":"Rodrigues Durães","given":"André","non-dropping-particle":"","parse-names":false,"suffix":""},{"dropping-particle":"","family":"Pollianna de Souza Roriz","given":"Bullet","non-dropping-particle":"","parse-names":false,"suffix":""},{"dropping-particle":"","family":"Bianca de Almeida Nunes","given":"Bullet","non-dropping-particle":"","parse-names":false,"suffix":""},{"dropping-particle":"","family":"Pinho Albuquerque","given":"Felipe","non-dropping-particle":"","parse-names":false,"suffix":""},{"dropping-particle":"","family":"Fábio Vieira de Bulhões","given":"Bullet","non-dropping-particle":"","parse-names":false,"suffix":""},{"dropping-particle":"","family":"Andre Mauricio de Souza Fernandes","given":"Bullet","non-dropping-particle":"","parse-names":false,"suffix":""},{"dropping-particle":"","family":"Roque Aras","given":"Bullet","non-dropping-particle":"","parse-names":false,"suffix":""}],"container-title":"Drugs in R&amp;D","id":"ITEM-1","issued":{"date-parts":[["2016"]]},"title":"Dabigatran Versus Warfarin After Bioprosthesis Valve Replacement for the Management of Atrial Fibrillation Postoperatively: DAWA Pilot Study","type":"article-journal","volume":"16"},"uris":["http://www.mendeley.com/documents/?uuid=f25b3bfb-c4da-383d-86ef-8c6980d31ea5"]}],"mendeley":{"formattedCitation":"(7)","plainTextFormattedCitation":"(7)","previouslyFormattedCitation":"(7)"},"properties":{"noteIndex":0},"schema":"https://github.com/citation-style-language/schema/raw/master/csl-citation.json"}</w:instrText>
            </w:r>
            <w:r w:rsidRPr="00D04E53">
              <w:rPr>
                <w:rFonts w:eastAsiaTheme="minorEastAsia" w:cs="Times New Roman"/>
                <w:sz w:val="20"/>
                <w:szCs w:val="20"/>
                <w:lang w:val="en-US"/>
              </w:rPr>
              <w:fldChar w:fldCharType="separate"/>
            </w:r>
            <w:r w:rsidRPr="00DE6F90">
              <w:rPr>
                <w:rFonts w:eastAsiaTheme="minorEastAsia" w:cs="Times New Roman"/>
                <w:b w:val="0"/>
                <w:noProof/>
                <w:color w:val="auto"/>
                <w:sz w:val="20"/>
                <w:szCs w:val="20"/>
                <w:lang w:val="en-US"/>
              </w:rPr>
              <w:t>(7)</w:t>
            </w:r>
            <w:r w:rsidRPr="00D04E53">
              <w:rPr>
                <w:rFonts w:eastAsiaTheme="minorEastAsia" w:cs="Times New Roman"/>
                <w:sz w:val="20"/>
                <w:szCs w:val="20"/>
                <w:lang w:val="en-US"/>
              </w:rPr>
              <w:fldChar w:fldCharType="end"/>
            </w:r>
          </w:p>
          <w:p w14:paraId="376BF077" w14:textId="77777777" w:rsidR="00F478FF" w:rsidRPr="00D04E53" w:rsidRDefault="00F478FF" w:rsidP="00F478FF">
            <w:pPr>
              <w:jc w:val="center"/>
              <w:rPr>
                <w:rFonts w:eastAsiaTheme="minorEastAsia" w:cs="Times New Roman"/>
                <w:color w:val="auto"/>
                <w:sz w:val="20"/>
                <w:szCs w:val="20"/>
                <w:lang w:val="en-US"/>
              </w:rPr>
            </w:pPr>
            <w:r w:rsidRPr="00D04E53">
              <w:rPr>
                <w:rFonts w:eastAsiaTheme="minorEastAsia" w:cs="Times New Roman"/>
                <w:color w:val="auto"/>
                <w:sz w:val="20"/>
                <w:szCs w:val="20"/>
                <w:lang w:val="en-US"/>
              </w:rPr>
              <w:t>(DAWA)</w:t>
            </w:r>
          </w:p>
        </w:tc>
        <w:tc>
          <w:tcPr>
            <w:tcW w:w="390" w:type="pct"/>
          </w:tcPr>
          <w:p w14:paraId="42F4D255"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27</w:t>
            </w:r>
          </w:p>
        </w:tc>
        <w:tc>
          <w:tcPr>
            <w:tcW w:w="541" w:type="pct"/>
          </w:tcPr>
          <w:p w14:paraId="4535DD32"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47.2±8.2</w:t>
            </w:r>
            <w:r w:rsidRPr="00542519">
              <w:rPr>
                <w:rFonts w:eastAsiaTheme="minorEastAsia" w:cs="Times New Roman"/>
                <w:color w:val="auto"/>
                <w:sz w:val="20"/>
                <w:szCs w:val="20"/>
                <w:lang w:val="en-US"/>
              </w:rPr>
              <w:t xml:space="preserve"> </w:t>
            </w:r>
          </w:p>
        </w:tc>
        <w:tc>
          <w:tcPr>
            <w:tcW w:w="931" w:type="pct"/>
          </w:tcPr>
          <w:p w14:paraId="3E73AA98" w14:textId="77777777" w:rsidR="00F478FF"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 xml:space="preserve">17 (62.9) F; </w:t>
            </w:r>
          </w:p>
          <w:p w14:paraId="7664647A" w14:textId="77777777" w:rsidR="00F478FF"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10 (37.1</w:t>
            </w:r>
            <w:r w:rsidRPr="00542519">
              <w:rPr>
                <w:rFonts w:eastAsiaTheme="minorEastAsia" w:cs="Times New Roman"/>
                <w:color w:val="auto"/>
                <w:sz w:val="20"/>
                <w:szCs w:val="20"/>
                <w:lang w:val="en-US"/>
              </w:rPr>
              <w:t>) M.</w:t>
            </w:r>
          </w:p>
          <w:p w14:paraId="046FA5AB" w14:textId="77777777" w:rsidR="00F478FF" w:rsidRPr="00542519" w:rsidRDefault="00F478FF" w:rsidP="00F478FF">
            <w:pP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p>
        </w:tc>
        <w:tc>
          <w:tcPr>
            <w:tcW w:w="621" w:type="pct"/>
          </w:tcPr>
          <w:p w14:paraId="4A3342A6"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Not identified</w:t>
            </w:r>
          </w:p>
        </w:tc>
        <w:tc>
          <w:tcPr>
            <w:tcW w:w="621" w:type="pct"/>
          </w:tcPr>
          <w:p w14:paraId="2B90B69E"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0 (in both groups).</w:t>
            </w:r>
          </w:p>
        </w:tc>
        <w:tc>
          <w:tcPr>
            <w:tcW w:w="997" w:type="pct"/>
          </w:tcPr>
          <w:p w14:paraId="69BA9CD8"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 xml:space="preserve">DG vs WG:  SAH </w:t>
            </w:r>
            <w:r>
              <w:rPr>
                <w:rFonts w:eastAsiaTheme="minorEastAsia" w:cs="Times New Roman"/>
                <w:color w:val="auto"/>
                <w:sz w:val="20"/>
                <w:szCs w:val="20"/>
                <w:lang w:val="en-US"/>
              </w:rPr>
              <w:t>(46.7 vs 50)</w:t>
            </w:r>
            <w:r w:rsidRPr="00542519">
              <w:rPr>
                <w:rFonts w:eastAsiaTheme="minorEastAsia" w:cs="Times New Roman"/>
                <w:color w:val="auto"/>
                <w:sz w:val="20"/>
                <w:szCs w:val="20"/>
                <w:lang w:val="en-US"/>
              </w:rPr>
              <w:t>; prior stroke</w:t>
            </w:r>
            <w:r>
              <w:rPr>
                <w:rFonts w:eastAsiaTheme="minorEastAsia" w:cs="Times New Roman"/>
                <w:color w:val="auto"/>
                <w:sz w:val="20"/>
                <w:szCs w:val="20"/>
                <w:lang w:val="en-US"/>
              </w:rPr>
              <w:t xml:space="preserve"> (26.7 vs 33.3)</w:t>
            </w:r>
            <w:r w:rsidRPr="00542519">
              <w:rPr>
                <w:rFonts w:eastAsiaTheme="minorEastAsia" w:cs="Times New Roman"/>
                <w:color w:val="auto"/>
                <w:sz w:val="20"/>
                <w:szCs w:val="20"/>
                <w:lang w:val="en-US"/>
              </w:rPr>
              <w:t>; smoking</w:t>
            </w:r>
            <w:r>
              <w:rPr>
                <w:rFonts w:eastAsiaTheme="minorEastAsia" w:cs="Times New Roman"/>
                <w:color w:val="auto"/>
                <w:sz w:val="20"/>
                <w:szCs w:val="20"/>
                <w:lang w:val="en-US"/>
              </w:rPr>
              <w:t xml:space="preserve"> (13.3 vs 35)</w:t>
            </w:r>
            <w:r w:rsidRPr="00542519">
              <w:rPr>
                <w:rFonts w:eastAsiaTheme="minorEastAsia" w:cs="Times New Roman"/>
                <w:color w:val="auto"/>
                <w:sz w:val="20"/>
                <w:szCs w:val="20"/>
                <w:lang w:val="en-US"/>
              </w:rPr>
              <w:t xml:space="preserve">; DM </w:t>
            </w:r>
            <w:r>
              <w:rPr>
                <w:rFonts w:eastAsiaTheme="minorEastAsia" w:cs="Times New Roman"/>
                <w:color w:val="auto"/>
                <w:sz w:val="20"/>
                <w:szCs w:val="20"/>
                <w:lang w:val="en-US"/>
              </w:rPr>
              <w:t xml:space="preserve">(7.1 </w:t>
            </w:r>
            <w:r w:rsidRPr="00542519">
              <w:rPr>
                <w:rFonts w:eastAsiaTheme="minorEastAsia" w:cs="Times New Roman"/>
                <w:color w:val="auto"/>
                <w:sz w:val="20"/>
                <w:szCs w:val="20"/>
                <w:lang w:val="en-US"/>
              </w:rPr>
              <w:t>vs none</w:t>
            </w:r>
            <w:r>
              <w:rPr>
                <w:rFonts w:eastAsiaTheme="minorEastAsia" w:cs="Times New Roman"/>
                <w:color w:val="auto"/>
                <w:sz w:val="20"/>
                <w:szCs w:val="20"/>
                <w:lang w:val="en-US"/>
              </w:rPr>
              <w:t>)</w:t>
            </w:r>
            <w:r w:rsidRPr="00542519">
              <w:rPr>
                <w:rFonts w:eastAsiaTheme="minorEastAsia" w:cs="Times New Roman"/>
                <w:color w:val="auto"/>
                <w:sz w:val="20"/>
                <w:szCs w:val="20"/>
                <w:lang w:val="en-US"/>
              </w:rPr>
              <w:t>.</w:t>
            </w:r>
          </w:p>
        </w:tc>
      </w:tr>
      <w:tr w:rsidR="00F478FF" w:rsidRPr="00DE6F90" w14:paraId="0F7FB028" w14:textId="77777777" w:rsidTr="00F478FF">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898" w:type="pct"/>
            <w:tcBorders>
              <w:bottom w:val="nil"/>
            </w:tcBorders>
            <w:shd w:val="clear" w:color="auto" w:fill="F2F2F2" w:themeFill="background1" w:themeFillShade="F2"/>
            <w:noWrap/>
          </w:tcPr>
          <w:p w14:paraId="6012FF03" w14:textId="77777777" w:rsidR="00F478FF" w:rsidRDefault="00F478FF" w:rsidP="00F478FF">
            <w:pPr>
              <w:jc w:val="center"/>
              <w:rPr>
                <w:rFonts w:eastAsiaTheme="minorEastAsia" w:cs="Times New Roman"/>
                <w:sz w:val="20"/>
                <w:szCs w:val="20"/>
                <w:lang w:val="en-US"/>
              </w:rPr>
            </w:pPr>
            <w:proofErr w:type="spellStart"/>
            <w:r w:rsidRPr="00D04E53">
              <w:rPr>
                <w:rFonts w:eastAsiaTheme="minorEastAsia" w:cs="Times New Roman"/>
                <w:color w:val="auto"/>
                <w:sz w:val="20"/>
                <w:szCs w:val="20"/>
                <w:lang w:val="en-US"/>
              </w:rPr>
              <w:t>Ezekowitz</w:t>
            </w:r>
            <w:proofErr w:type="spellEnd"/>
            <w:r w:rsidRPr="00D04E53">
              <w:rPr>
                <w:rFonts w:eastAsiaTheme="minorEastAsia" w:cs="Times New Roman"/>
                <w:color w:val="auto"/>
                <w:sz w:val="20"/>
                <w:szCs w:val="20"/>
                <w:lang w:val="en-US"/>
              </w:rPr>
              <w:t xml:space="preserve"> et al.2016</w:t>
            </w:r>
            <w:r w:rsidRPr="00D04E53">
              <w:rPr>
                <w:rFonts w:eastAsiaTheme="minorEastAsia" w:cs="Times New Roman"/>
                <w:sz w:val="20"/>
                <w:szCs w:val="20"/>
                <w:lang w:val="en-US"/>
              </w:rPr>
              <w:fldChar w:fldCharType="begin" w:fldLock="1"/>
            </w:r>
            <w:r>
              <w:rPr>
                <w:rFonts w:eastAsiaTheme="minorEastAsia" w:cs="Times New Roman"/>
                <w:color w:val="auto"/>
                <w:sz w:val="20"/>
                <w:szCs w:val="20"/>
                <w:lang w:val="en-US"/>
              </w:rPr>
              <w:instrText>ADDIN CSL_CITATION {"citationItems":[{"id":"ITEM-1","itemData":{"DOI":"10.1161/CIRCULATIONAHA.115.020950","ISSN":"0009-7322","PMID":"27496855","abstract":"BACKGROUND The RE-LY trial (Randomized Evaluation of Long-Term Anticoagulant Therapy) compared dabigatran 150 and 110 mg twice daily with warfarin in 18 113 patients with atrial fibrillation. Those with prosthetic heart valves, significant mitral stenosis, and valvular heart disease (VHD) requiring intervention were excluded. Others with VHD were included. METHODS This is a post hoc analysis of the RE-LY trial. RESULTS There were 3950 patients with any VHD: 3101 had mitral regurgitation, 1179 with tricuspid regurgitation, 817 had aortic regurgitation, 471 with aortic stenosis, and 193 with mild mitral stenosis. At baseline, patients with any VHD had more heart failure, coronary disease, renal impairment, and persistent atrial fibrillation. Patients with any VHD had higher rates of major bleeds (hazard ratio [HR], 1.32; 95% confidence interval [CI], 1.16-1.5) but similar stroke or systemic embolism event rates (HR, 1.09; 95% CI, 0.88-1.33). For patients receiving dabigatran 110 mg, major bleed rates were lower than for patients taking warfarin (HR, 0.73; 95% CI, 0.56-0.95 with VHD; HR, 0.84; 95% CI, 0.71-0.99 without VHD), and major bleed rates for dabigatran 150 mg were similar to those for warfarin in patients with VHD (HR, 0.82; 95% CI, 0.64-1.06) or without VHD (HR, 0.98; 95% CI, 0.83-1.15). For dabigatran 150 mg, stroke/systemic embolic event rates were lower compared with warfarin in those with VHD (HR, 0.59; 95% CI, 0.37-0.93) and those without VHD (HR, 0.67; 95% CI, 0.52-0.86), and stroke/systemic embolic event rates were similar for warfarin and dabigatran 110 mg regardless of the presence of VHD (HR, 0.97; 95% CI, 0.65-1.45; and HR, 0.88; 95% CI, 0.70-1.10). Intracranial bleeds and death rates for dabigatran 150 and 110 mg were lower compared with warfarin independently of the presence of VHD. CONCLUSIONS The presence of any VHD did not influence the comparison of dabigatran with warfarin. CLINICAL TRIAL REGISTRATION URL: http://www.clinicaltrials.gov. Unique identifier: NCT00262600.","author":[{"dropping-particle":"","family":"Ezekowitz","given":"Michael D.","non-dropping-particle":"","parse-names":false,"suffix":""},{"dropping-particle":"","family":"Nagarakanti","given":"Rangadham","non-dropping-particle":"","parse-names":false,"suffix":""},{"dropping-particle":"","family":"Noack","given":"Herbert","non-dropping-particle":"","parse-names":false,"suffix":""},{"dropping-particle":"","family":"Brueckmann","given":"Martina","non-dropping-particle":"","parse-names":false,"suffix":""},{"dropping-particle":"","family":"Litherland","given":"Claire","non-dropping-particle":"","parse-names":false,"suffix":""},{"dropping-particle":"","family":"Jacobs","given":"Mark","non-dropping-particle":"","parse-names":false,"suffix":""},{"dropping-particle":"","family":"Clemens","given":"Andreas","non-dropping-particle":"","parse-names":false,"suffix":""},{"dropping-particle":"","family":"Reilly","given":"Paul A.","non-dropping-particle":"","parse-names":false,"suffix":""},{"dropping-particle":"","family":"Connolly","given":"Stuart J.","non-dropping-particle":"","parse-names":false,"suffix":""},{"dropping-particle":"","family":"Yusuf","given":"Salim","non-dropping-particle":"","parse-names":false,"suffix":""},{"dropping-particle":"","family":"Wallentin","given":"Lars","non-dropping-particle":"","parse-names":false,"suffix":""}],"container-title":"Circulation","id":"ITEM-1","issue":"8","issued":{"date-parts":[["2016","8","23"]]},"page":"589-598","title":"Comparison of Dabigatran and Warfarin in Patients With Atrial Fibrillation and Valvular Heart DiseaseClinical Perspective","type":"article-journal","volume":"134"},"uris":["http://www.mendeley.com/documents/?uuid=06ab3bef-dcdb-38c0-9386-b3555bc4994b"]}],"mendeley":{"formattedCitation":"(8)","plainTextFormattedCitation":"(8)","previouslyFormattedCitation":"(8)"},"properties":{"noteIndex":0},"schema":"https://github.com/citation-style-language/schema/raw/master/csl-citation.json"}</w:instrText>
            </w:r>
            <w:r w:rsidRPr="00D04E53">
              <w:rPr>
                <w:rFonts w:eastAsiaTheme="minorEastAsia" w:cs="Times New Roman"/>
                <w:sz w:val="20"/>
                <w:szCs w:val="20"/>
                <w:lang w:val="en-US"/>
              </w:rPr>
              <w:fldChar w:fldCharType="separate"/>
            </w:r>
            <w:r w:rsidRPr="00DE6F90">
              <w:rPr>
                <w:rFonts w:eastAsiaTheme="minorEastAsia" w:cs="Times New Roman"/>
                <w:b w:val="0"/>
                <w:noProof/>
                <w:color w:val="auto"/>
                <w:sz w:val="20"/>
                <w:szCs w:val="20"/>
                <w:lang w:val="en-US"/>
              </w:rPr>
              <w:t>(8)</w:t>
            </w:r>
            <w:r w:rsidRPr="00D04E53">
              <w:rPr>
                <w:rFonts w:eastAsiaTheme="minorEastAsia" w:cs="Times New Roman"/>
                <w:sz w:val="20"/>
                <w:szCs w:val="20"/>
                <w:lang w:val="en-US"/>
              </w:rPr>
              <w:fldChar w:fldCharType="end"/>
            </w:r>
          </w:p>
          <w:p w14:paraId="53CE0715" w14:textId="77777777" w:rsidR="00F478FF" w:rsidRPr="00D04E53" w:rsidRDefault="00F478FF" w:rsidP="00F478FF">
            <w:pPr>
              <w:jc w:val="center"/>
              <w:rPr>
                <w:rFonts w:eastAsiaTheme="minorEastAsia" w:cs="Times New Roman"/>
                <w:b w:val="0"/>
                <w:color w:val="auto"/>
                <w:sz w:val="20"/>
                <w:szCs w:val="20"/>
                <w:vertAlign w:val="superscript"/>
                <w:lang w:val="en-US"/>
              </w:rPr>
            </w:pPr>
            <w:r>
              <w:rPr>
                <w:rFonts w:eastAsiaTheme="minorEastAsia" w:cs="Times New Roman"/>
                <w:color w:val="auto"/>
                <w:sz w:val="20"/>
                <w:szCs w:val="20"/>
                <w:lang w:val="en-US"/>
              </w:rPr>
              <w:t>(RE-LY)</w:t>
            </w:r>
          </w:p>
        </w:tc>
        <w:tc>
          <w:tcPr>
            <w:tcW w:w="390" w:type="pct"/>
            <w:tcBorders>
              <w:bottom w:val="nil"/>
            </w:tcBorders>
            <w:shd w:val="clear" w:color="auto" w:fill="F2F2F2" w:themeFill="background1" w:themeFillShade="F2"/>
          </w:tcPr>
          <w:p w14:paraId="21F2872C"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3.950</w:t>
            </w:r>
          </w:p>
        </w:tc>
        <w:tc>
          <w:tcPr>
            <w:tcW w:w="541" w:type="pct"/>
            <w:tcBorders>
              <w:bottom w:val="nil"/>
            </w:tcBorders>
            <w:shd w:val="clear" w:color="auto" w:fill="F2F2F2" w:themeFill="background1" w:themeFillShade="F2"/>
          </w:tcPr>
          <w:p w14:paraId="703874F4"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74</w:t>
            </w:r>
          </w:p>
        </w:tc>
        <w:tc>
          <w:tcPr>
            <w:tcW w:w="931" w:type="pct"/>
            <w:tcBorders>
              <w:bottom w:val="nil"/>
            </w:tcBorders>
            <w:shd w:val="clear" w:color="auto" w:fill="F2F2F2" w:themeFill="background1" w:themeFillShade="F2"/>
          </w:tcPr>
          <w:p w14:paraId="40EBA9E7" w14:textId="77777777" w:rsidR="00F478FF"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 xml:space="preserve">1607 (40.7%) F; </w:t>
            </w:r>
          </w:p>
          <w:p w14:paraId="2BE1E719"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2334 (59.3%) M.</w:t>
            </w:r>
          </w:p>
        </w:tc>
        <w:tc>
          <w:tcPr>
            <w:tcW w:w="621" w:type="pct"/>
            <w:tcBorders>
              <w:bottom w:val="nil"/>
            </w:tcBorders>
            <w:shd w:val="clear" w:color="auto" w:fill="F2F2F2" w:themeFill="background1" w:themeFillShade="F2"/>
          </w:tcPr>
          <w:p w14:paraId="146B7E4E"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2</w:t>
            </w:r>
          </w:p>
        </w:tc>
        <w:tc>
          <w:tcPr>
            <w:tcW w:w="621" w:type="pct"/>
            <w:tcBorders>
              <w:bottom w:val="nil"/>
            </w:tcBorders>
            <w:shd w:val="clear" w:color="auto" w:fill="F2F2F2" w:themeFill="background1" w:themeFillShade="F2"/>
          </w:tcPr>
          <w:p w14:paraId="7AD9301A"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Not identified</w:t>
            </w:r>
          </w:p>
        </w:tc>
        <w:tc>
          <w:tcPr>
            <w:tcW w:w="997" w:type="pct"/>
            <w:tcBorders>
              <w:bottom w:val="nil"/>
            </w:tcBorders>
            <w:shd w:val="clear" w:color="auto" w:fill="F2F2F2" w:themeFill="background1" w:themeFillShade="F2"/>
          </w:tcPr>
          <w:p w14:paraId="7917575E" w14:textId="77777777" w:rsidR="00F478FF" w:rsidRPr="00542519"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SAH</w:t>
            </w:r>
            <w:r>
              <w:rPr>
                <w:rFonts w:eastAsiaTheme="minorEastAsia" w:cs="Times New Roman"/>
                <w:color w:val="auto"/>
                <w:sz w:val="20"/>
                <w:szCs w:val="20"/>
                <w:lang w:val="en-US"/>
              </w:rPr>
              <w:t xml:space="preserve"> (</w:t>
            </w:r>
            <w:r w:rsidRPr="00542519">
              <w:rPr>
                <w:rFonts w:eastAsiaTheme="minorEastAsia" w:cs="Times New Roman"/>
                <w:color w:val="auto"/>
                <w:sz w:val="20"/>
                <w:szCs w:val="20"/>
                <w:lang w:val="en-US"/>
              </w:rPr>
              <w:t>77.2</w:t>
            </w:r>
            <w:r>
              <w:rPr>
                <w:rFonts w:eastAsiaTheme="minorEastAsia" w:cs="Times New Roman"/>
                <w:color w:val="auto"/>
                <w:sz w:val="20"/>
                <w:szCs w:val="20"/>
                <w:lang w:val="en-US"/>
              </w:rPr>
              <w:t>)</w:t>
            </w:r>
            <w:r w:rsidRPr="00542519">
              <w:rPr>
                <w:rFonts w:eastAsiaTheme="minorEastAsia" w:cs="Times New Roman"/>
                <w:color w:val="auto"/>
                <w:sz w:val="20"/>
                <w:szCs w:val="20"/>
                <w:lang w:val="en-US"/>
              </w:rPr>
              <w:t>; history of HF</w:t>
            </w:r>
            <w:r>
              <w:rPr>
                <w:rFonts w:eastAsiaTheme="minorEastAsia" w:cs="Times New Roman"/>
                <w:color w:val="auto"/>
                <w:sz w:val="20"/>
                <w:szCs w:val="20"/>
                <w:lang w:val="en-US"/>
              </w:rPr>
              <w:t xml:space="preserve"> (39.7)</w:t>
            </w:r>
            <w:r w:rsidRPr="00542519">
              <w:rPr>
                <w:rFonts w:eastAsiaTheme="minorEastAsia" w:cs="Times New Roman"/>
                <w:color w:val="auto"/>
                <w:sz w:val="20"/>
                <w:szCs w:val="20"/>
                <w:lang w:val="en-US"/>
              </w:rPr>
              <w:t>; CAD</w:t>
            </w:r>
            <w:r>
              <w:rPr>
                <w:rFonts w:eastAsiaTheme="minorEastAsia" w:cs="Times New Roman"/>
                <w:color w:val="auto"/>
                <w:sz w:val="20"/>
                <w:szCs w:val="20"/>
                <w:lang w:val="en-US"/>
              </w:rPr>
              <w:t xml:space="preserve"> (32.5)</w:t>
            </w:r>
            <w:r w:rsidRPr="00542519">
              <w:rPr>
                <w:rFonts w:eastAsiaTheme="minorEastAsia" w:cs="Times New Roman"/>
                <w:color w:val="auto"/>
                <w:sz w:val="20"/>
                <w:szCs w:val="20"/>
                <w:lang w:val="en-US"/>
              </w:rPr>
              <w:t>; prior stroke/SE/TIA</w:t>
            </w:r>
            <w:r>
              <w:rPr>
                <w:rFonts w:eastAsiaTheme="minorEastAsia" w:cs="Times New Roman"/>
                <w:color w:val="auto"/>
                <w:sz w:val="20"/>
                <w:szCs w:val="20"/>
                <w:lang w:val="en-US"/>
              </w:rPr>
              <w:t xml:space="preserve"> (22.2)</w:t>
            </w:r>
            <w:r w:rsidRPr="00542519">
              <w:rPr>
                <w:rFonts w:eastAsiaTheme="minorEastAsia" w:cs="Times New Roman"/>
                <w:color w:val="auto"/>
                <w:sz w:val="20"/>
                <w:szCs w:val="20"/>
                <w:lang w:val="en-US"/>
              </w:rPr>
              <w:t>; moderate renal insufficiency</w:t>
            </w:r>
            <w:r>
              <w:rPr>
                <w:rFonts w:eastAsiaTheme="minorEastAsia" w:cs="Times New Roman"/>
                <w:color w:val="auto"/>
                <w:sz w:val="20"/>
                <w:szCs w:val="20"/>
                <w:lang w:val="en-US"/>
              </w:rPr>
              <w:t xml:space="preserve"> (21.8);</w:t>
            </w:r>
            <w:r w:rsidRPr="00542519">
              <w:rPr>
                <w:rFonts w:eastAsiaTheme="minorEastAsia" w:cs="Times New Roman"/>
                <w:color w:val="auto"/>
                <w:sz w:val="20"/>
                <w:szCs w:val="20"/>
                <w:lang w:val="en-US"/>
              </w:rPr>
              <w:t xml:space="preserve"> prior AMI</w:t>
            </w:r>
            <w:r>
              <w:rPr>
                <w:rFonts w:eastAsiaTheme="minorEastAsia" w:cs="Times New Roman"/>
                <w:color w:val="auto"/>
                <w:sz w:val="20"/>
                <w:szCs w:val="20"/>
                <w:lang w:val="en-US"/>
              </w:rPr>
              <w:t xml:space="preserve"> (</w:t>
            </w:r>
            <w:r w:rsidRPr="00542519">
              <w:rPr>
                <w:rFonts w:eastAsiaTheme="minorEastAsia" w:cs="Times New Roman"/>
                <w:color w:val="auto"/>
                <w:sz w:val="20"/>
                <w:szCs w:val="20"/>
                <w:lang w:val="en-US"/>
              </w:rPr>
              <w:t>18.1</w:t>
            </w:r>
            <w:r>
              <w:rPr>
                <w:rFonts w:eastAsiaTheme="minorEastAsia" w:cs="Times New Roman"/>
                <w:color w:val="auto"/>
                <w:sz w:val="20"/>
                <w:szCs w:val="20"/>
                <w:lang w:val="en-US"/>
              </w:rPr>
              <w:t>)</w:t>
            </w:r>
            <w:r w:rsidRPr="00542519">
              <w:rPr>
                <w:rFonts w:eastAsiaTheme="minorEastAsia" w:cs="Times New Roman"/>
                <w:color w:val="auto"/>
                <w:sz w:val="20"/>
                <w:szCs w:val="20"/>
                <w:lang w:val="en-US"/>
              </w:rPr>
              <w:t>.</w:t>
            </w:r>
          </w:p>
        </w:tc>
      </w:tr>
      <w:tr w:rsidR="00F478FF" w:rsidRPr="00DE6F90" w14:paraId="7B47DE19" w14:textId="77777777" w:rsidTr="00F478FF">
        <w:trPr>
          <w:trHeight w:val="955"/>
        </w:trPr>
        <w:tc>
          <w:tcPr>
            <w:cnfStyle w:val="001000000000" w:firstRow="0" w:lastRow="0" w:firstColumn="1" w:lastColumn="0" w:oddVBand="0" w:evenVBand="0" w:oddHBand="0" w:evenHBand="0" w:firstRowFirstColumn="0" w:firstRowLastColumn="0" w:lastRowFirstColumn="0" w:lastRowLastColumn="0"/>
            <w:tcW w:w="898" w:type="pct"/>
            <w:tcBorders>
              <w:top w:val="nil"/>
              <w:bottom w:val="nil"/>
            </w:tcBorders>
            <w:noWrap/>
          </w:tcPr>
          <w:p w14:paraId="30959D83" w14:textId="77777777" w:rsidR="00F478FF" w:rsidRPr="006F0FB0" w:rsidRDefault="00F478FF" w:rsidP="00F478FF">
            <w:pPr>
              <w:jc w:val="center"/>
              <w:rPr>
                <w:rFonts w:eastAsiaTheme="minorEastAsia" w:cs="Times New Roman"/>
                <w:sz w:val="20"/>
                <w:szCs w:val="20"/>
                <w:lang w:val="en-US"/>
              </w:rPr>
            </w:pPr>
            <w:r w:rsidRPr="00AD40C0">
              <w:rPr>
                <w:rFonts w:eastAsiaTheme="minorEastAsia" w:cs="Times New Roman"/>
                <w:color w:val="auto"/>
                <w:sz w:val="20"/>
                <w:szCs w:val="20"/>
                <w:lang w:val="en-US"/>
              </w:rPr>
              <w:t>De Caterina et al.2017</w:t>
            </w:r>
            <w:r w:rsidRPr="00D04E53">
              <w:rPr>
                <w:rFonts w:eastAsiaTheme="minorEastAsia" w:cs="Times New Roman"/>
                <w:sz w:val="20"/>
                <w:szCs w:val="20"/>
              </w:rPr>
              <w:fldChar w:fldCharType="begin" w:fldLock="1"/>
            </w:r>
            <w:r>
              <w:rPr>
                <w:rFonts w:eastAsiaTheme="minorEastAsia" w:cs="Times New Roman"/>
                <w:color w:val="auto"/>
                <w:sz w:val="20"/>
                <w:szCs w:val="20"/>
                <w:lang w:val="en-US"/>
              </w:rPr>
              <w:instrText>ADDIN CSL_CITATION {"citationItems":[{"id":"ITEM-1","itemData":{"DOI":"10.1016/J.JACC.2016.12.031","ISSN":"0735-1097","abstract":"BACKGROUND\nThe use of non-vitamin K antagonist oral anticoagulants (NOACs) instead of vitamin K antagonists (VKAs) in patients with atrial fibrillation (AF) and coexisting valvular heart disease (VHD) is of substantial interest. \n\nOBJECTIVES\nThis study explored outcomes in patients with AF with and without VHD in the ENGAGE AF–TIMI 48 (Effective Anticoagulation with factor Xa Next Generation in Atrial Fibrillation-Thrombolysis In Myocardial Infarction 48) trial, comparing edoxaban with warfarin. \n\nMETHODS\nValvular heart disease was defined as history or baseline echocardiography evidence of at least moderate aortic/mitral regurgitation, aortic stenosis, or prior valve surgery (bioprosthesis replacement, valve repair, valvuloplasty). Patients with moderate to severe mitral stenosis or mechanical heart valves were excluded from the trial. Comparisons were made of rates of stroke/systemic embolic event (SSEE), major bleeding, additional efficacy and safety outcomes, as well as net clinical outcomes, in patients with or without VHD treated with edoxaban or warfarin, using adjusted Cox proportional hazards. \n\nRESULTS\nAfter adjustment for multiple baseline characteristics, compared with no-VHD patients (n = 18,222), VHD patients (n = 2,824) had a similar rate of SSEE but higher rates of death (hazard ratio [HR]: 1.40; 95% confidence interval [CI]:1.26 to 1.56; p &lt;0.001), major adverse cardiovascular events (HR: 1.29; 95% CI: 1.16 to 1.43; p &lt;0.001), and major bleeding (HR: 1.21; 95% CI: 1.03 to 1.42; p = 0.02). Higher-dose edoxaban regimen had efficacy similar to warfarin in the presence of VHD (for SSEE, HR: 0.69; 95% CI: 0.44 to 1.07, in patients with VHD, and HR: 0.91; 95% CI: 0.77 to 1.07, in patients without VHD; p interaction [pint] = 0.26; and for less major bleeding, HR: 0.74; 95% CI: 0.53 to 1.02 in patients with VHD, and HR: 0.82; 95% CI: 0.71 to 0.94, in patients with no VHD; pint = 0.57). \n\nCONCLUSIONS\nThe presence of VHD increased the risk of death, major adverse cardiovascular events, and major bleeding but did not affect the relative efficacy or safety of higher-dose edoxaban versus warfarin in AF. (Global Study to Assess the Safety and Effectiveness of Edoxaban (DU-176b) vs. Standard Practice of Dosing With Warfarin in Patients With Atrial Fibrillation [ENGAGE AF-TIMI 48]; NCT00781391)","author":[{"dropping-particle":"","family":"Caterina","given":"Raffaele","non-dropping-particle":"De","parse-names":false,"suffix":""},{"dropping-particle":"","family":"Renda","given":"Giulia","non-dropping-particle":"","parse-names":false,"suffix":""},{"dropping-particle":"","family":"Carnicelli","given":"Anthony P.","non-dropping-particle":"","parse-names":false,"suffix":""},{"dropping-particle":"","family":"Nordio","given":"Francesco","non-dropping-particle":"","parse-names":false,"suffix":""},{"dropping-particle":"","family":"Trevisan","given":"Marco","non-dropping-particle":"","parse-names":false,"suffix":""},{"dropping-particle":"","family":"Mercuri","given":"Michele F.","non-dropping-particle":"","parse-names":false,"suffix":""},{"dropping-particle":"","family":"Ruff","given":"Christian T.","non-dropping-particle":"","parse-names":false,"suffix":""},{"dropping-particle":"","family":"Antman","given":"Elliott M.","non-dropping-particle":"","parse-names":false,"suffix":""},{"dropping-particle":"","family":"Braunwald","given":"Eugene","non-dropping-particle":"","parse-names":false,"suffix":""},{"dropping-particle":"","family":"Giugliano","given":"Robert P.","non-dropping-particle":"","parse-names":false,"suffix":""}],"container-title":"Journal of the American College of Cardiology","id":"ITEM-1","issue":"11","issued":{"date-parts":[["2017","3","21"]]},"page":"1372-1382","publisher":"Elsevier","title":"Valvular Heart Disease Patients on Edoxaban or Warfarin in the ENGAGE AF-TIMI 48 Trial","type":"article-journal","volume":"69"},"uris":["http://www.mendeley.com/documents/?uuid=b8df981c-bf25-30c0-b37d-ea9722c19bce"]}],"mendeley":{"formattedCitation":"(9)","plainTextFormattedCitation":"(9)","previouslyFormattedCitation":"(9)"},"properties":{"noteIndex":0},"schema":"https://github.com/citation-style-language/schema/raw/master/csl-citation.json"}</w:instrText>
            </w:r>
            <w:r w:rsidRPr="00D04E53">
              <w:rPr>
                <w:rFonts w:eastAsiaTheme="minorEastAsia" w:cs="Times New Roman"/>
                <w:sz w:val="20"/>
                <w:szCs w:val="20"/>
              </w:rPr>
              <w:fldChar w:fldCharType="separate"/>
            </w:r>
            <w:r w:rsidRPr="00DE6F90">
              <w:rPr>
                <w:rFonts w:eastAsiaTheme="minorEastAsia" w:cs="Times New Roman"/>
                <w:b w:val="0"/>
                <w:noProof/>
                <w:sz w:val="20"/>
                <w:szCs w:val="20"/>
                <w:lang w:val="en-US"/>
              </w:rPr>
              <w:t>(9)</w:t>
            </w:r>
            <w:r w:rsidRPr="00D04E53">
              <w:rPr>
                <w:rFonts w:eastAsiaTheme="minorEastAsia" w:cs="Times New Roman"/>
                <w:sz w:val="20"/>
                <w:szCs w:val="20"/>
              </w:rPr>
              <w:fldChar w:fldCharType="end"/>
            </w:r>
          </w:p>
          <w:p w14:paraId="76C88028" w14:textId="77777777" w:rsidR="00F478FF" w:rsidRPr="006F0FB0" w:rsidRDefault="00F478FF" w:rsidP="00F478FF">
            <w:pPr>
              <w:jc w:val="center"/>
              <w:rPr>
                <w:rFonts w:eastAsiaTheme="minorEastAsia" w:cs="Times New Roman"/>
                <w:color w:val="auto"/>
                <w:sz w:val="20"/>
                <w:szCs w:val="20"/>
                <w:lang w:val="en-US"/>
              </w:rPr>
            </w:pPr>
            <w:r w:rsidRPr="006F0FB0">
              <w:rPr>
                <w:rFonts w:eastAsiaTheme="minorEastAsia" w:cs="Times New Roman"/>
                <w:color w:val="auto"/>
                <w:sz w:val="20"/>
                <w:szCs w:val="20"/>
                <w:lang w:val="en-US"/>
              </w:rPr>
              <w:t xml:space="preserve">(ENGAGE </w:t>
            </w:r>
          </w:p>
          <w:p w14:paraId="04E96902" w14:textId="77777777" w:rsidR="00F478FF" w:rsidRPr="006F0FB0" w:rsidRDefault="00F478FF" w:rsidP="00F478FF">
            <w:pPr>
              <w:jc w:val="center"/>
              <w:rPr>
                <w:rFonts w:eastAsiaTheme="minorEastAsia" w:cs="Times New Roman"/>
                <w:sz w:val="20"/>
                <w:szCs w:val="20"/>
                <w:lang w:val="en-US"/>
              </w:rPr>
            </w:pPr>
            <w:r w:rsidRPr="006F0FB0">
              <w:rPr>
                <w:rFonts w:eastAsiaTheme="minorEastAsia" w:cs="Times New Roman"/>
                <w:color w:val="auto"/>
                <w:sz w:val="20"/>
                <w:szCs w:val="20"/>
                <w:lang w:val="en-US"/>
              </w:rPr>
              <w:t>AF-TIME 48)</w:t>
            </w:r>
          </w:p>
        </w:tc>
        <w:tc>
          <w:tcPr>
            <w:tcW w:w="390" w:type="pct"/>
            <w:tcBorders>
              <w:top w:val="nil"/>
              <w:bottom w:val="nil"/>
            </w:tcBorders>
          </w:tcPr>
          <w:p w14:paraId="096E298D"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color w:val="auto"/>
                <w:sz w:val="20"/>
                <w:szCs w:val="20"/>
                <w:lang w:val="en-US"/>
              </w:rPr>
            </w:pPr>
            <w:r w:rsidRPr="00542519">
              <w:rPr>
                <w:rFonts w:eastAsiaTheme="minorEastAsia" w:cs="Times New Roman"/>
                <w:color w:val="auto"/>
                <w:sz w:val="20"/>
                <w:szCs w:val="20"/>
                <w:lang w:val="en-US"/>
              </w:rPr>
              <w:t>2.824</w:t>
            </w:r>
          </w:p>
        </w:tc>
        <w:tc>
          <w:tcPr>
            <w:tcW w:w="541" w:type="pct"/>
            <w:tcBorders>
              <w:top w:val="nil"/>
              <w:bottom w:val="nil"/>
            </w:tcBorders>
          </w:tcPr>
          <w:p w14:paraId="623CC60F"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color w:val="auto"/>
                <w:sz w:val="20"/>
                <w:szCs w:val="20"/>
                <w:lang w:val="en-US"/>
              </w:rPr>
            </w:pPr>
            <w:r w:rsidRPr="00542519">
              <w:rPr>
                <w:rFonts w:eastAsiaTheme="minorEastAsia" w:cs="Times New Roman"/>
                <w:color w:val="auto"/>
                <w:sz w:val="20"/>
                <w:szCs w:val="20"/>
                <w:lang w:val="en-US"/>
              </w:rPr>
              <w:t>71.8 ±9.4</w:t>
            </w:r>
          </w:p>
        </w:tc>
        <w:tc>
          <w:tcPr>
            <w:tcW w:w="931" w:type="pct"/>
            <w:tcBorders>
              <w:top w:val="nil"/>
              <w:bottom w:val="nil"/>
            </w:tcBorders>
          </w:tcPr>
          <w:p w14:paraId="5087245C" w14:textId="77777777" w:rsidR="00F478FF"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color w:val="auto"/>
                <w:sz w:val="20"/>
                <w:szCs w:val="20"/>
                <w:lang w:val="en-US"/>
              </w:rPr>
            </w:pPr>
            <w:r w:rsidRPr="00542519">
              <w:rPr>
                <w:rFonts w:eastAsiaTheme="minorEastAsia" w:cs="Times New Roman"/>
                <w:color w:val="auto"/>
                <w:sz w:val="20"/>
                <w:szCs w:val="20"/>
                <w:lang w:val="en-US"/>
              </w:rPr>
              <w:t xml:space="preserve">1.193 (42.2%) F; </w:t>
            </w:r>
          </w:p>
          <w:p w14:paraId="6B8AC160"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color w:val="auto"/>
                <w:sz w:val="20"/>
                <w:szCs w:val="20"/>
                <w:lang w:val="en-US"/>
              </w:rPr>
            </w:pPr>
            <w:r w:rsidRPr="00542519">
              <w:rPr>
                <w:rFonts w:eastAsiaTheme="minorEastAsia" w:cs="Times New Roman"/>
                <w:color w:val="auto"/>
                <w:sz w:val="20"/>
                <w:szCs w:val="20"/>
                <w:lang w:val="en-US"/>
              </w:rPr>
              <w:t>1.631 (57.8%) M.</w:t>
            </w:r>
          </w:p>
        </w:tc>
        <w:tc>
          <w:tcPr>
            <w:tcW w:w="621" w:type="pct"/>
            <w:tcBorders>
              <w:top w:val="nil"/>
              <w:bottom w:val="nil"/>
            </w:tcBorders>
          </w:tcPr>
          <w:p w14:paraId="4529658D"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color w:val="auto"/>
                <w:sz w:val="20"/>
                <w:szCs w:val="20"/>
                <w:lang w:val="en-US"/>
              </w:rPr>
            </w:pPr>
            <w:r w:rsidRPr="00542519">
              <w:rPr>
                <w:rFonts w:eastAsiaTheme="minorEastAsia" w:cs="Times New Roman"/>
                <w:color w:val="auto"/>
                <w:sz w:val="20"/>
                <w:szCs w:val="20"/>
                <w:lang w:val="en-US"/>
              </w:rPr>
              <w:t>4.56±1.43</w:t>
            </w:r>
          </w:p>
        </w:tc>
        <w:tc>
          <w:tcPr>
            <w:tcW w:w="621" w:type="pct"/>
            <w:tcBorders>
              <w:top w:val="nil"/>
              <w:bottom w:val="nil"/>
            </w:tcBorders>
          </w:tcPr>
          <w:p w14:paraId="6029BECB"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color w:val="auto"/>
                <w:sz w:val="20"/>
                <w:szCs w:val="20"/>
                <w:lang w:val="en-US"/>
              </w:rPr>
            </w:pPr>
            <w:r w:rsidRPr="00542519">
              <w:rPr>
                <w:rFonts w:eastAsiaTheme="minorEastAsia" w:cs="Times New Roman"/>
                <w:color w:val="auto"/>
                <w:sz w:val="20"/>
                <w:szCs w:val="20"/>
                <w:lang w:val="en-US"/>
              </w:rPr>
              <w:t>2.55±0.98</w:t>
            </w:r>
          </w:p>
        </w:tc>
        <w:tc>
          <w:tcPr>
            <w:tcW w:w="997" w:type="pct"/>
            <w:tcBorders>
              <w:top w:val="nil"/>
              <w:bottom w:val="nil"/>
            </w:tcBorders>
          </w:tcPr>
          <w:p w14:paraId="3C895327" w14:textId="77777777" w:rsidR="00F478FF" w:rsidRPr="00542519" w:rsidRDefault="00F478FF" w:rsidP="00F478FF">
            <w:pPr>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b/>
                <w:color w:val="auto"/>
                <w:sz w:val="20"/>
                <w:szCs w:val="20"/>
                <w:lang w:val="en-US"/>
              </w:rPr>
            </w:pPr>
            <w:r w:rsidRPr="00542519">
              <w:rPr>
                <w:rFonts w:eastAsiaTheme="minorEastAsia" w:cs="Times New Roman"/>
                <w:color w:val="auto"/>
                <w:sz w:val="20"/>
                <w:szCs w:val="20"/>
                <w:lang w:val="en-US"/>
              </w:rPr>
              <w:t>SAH</w:t>
            </w:r>
            <w:r>
              <w:rPr>
                <w:rFonts w:eastAsiaTheme="minorEastAsia" w:cs="Times New Roman"/>
                <w:color w:val="auto"/>
                <w:sz w:val="20"/>
                <w:szCs w:val="20"/>
                <w:lang w:val="en-US"/>
              </w:rPr>
              <w:t xml:space="preserve"> (93.1)</w:t>
            </w:r>
            <w:r w:rsidRPr="00542519">
              <w:rPr>
                <w:rFonts w:eastAsiaTheme="minorEastAsia" w:cs="Times New Roman"/>
                <w:color w:val="auto"/>
                <w:sz w:val="20"/>
                <w:szCs w:val="20"/>
                <w:lang w:val="en-US"/>
              </w:rPr>
              <w:t>; HF</w:t>
            </w:r>
            <w:r>
              <w:rPr>
                <w:rFonts w:eastAsiaTheme="minorEastAsia" w:cs="Times New Roman"/>
                <w:color w:val="auto"/>
                <w:sz w:val="20"/>
                <w:szCs w:val="20"/>
                <w:lang w:val="en-US"/>
              </w:rPr>
              <w:t xml:space="preserve"> (73.7)</w:t>
            </w:r>
            <w:r w:rsidRPr="00542519">
              <w:rPr>
                <w:rFonts w:eastAsiaTheme="minorEastAsia" w:cs="Times New Roman"/>
                <w:color w:val="auto"/>
                <w:sz w:val="20"/>
                <w:szCs w:val="20"/>
                <w:lang w:val="en-US"/>
              </w:rPr>
              <w:t>; CAD</w:t>
            </w:r>
            <w:r>
              <w:rPr>
                <w:rFonts w:eastAsiaTheme="minorEastAsia" w:cs="Times New Roman"/>
                <w:color w:val="auto"/>
                <w:sz w:val="20"/>
                <w:szCs w:val="20"/>
                <w:lang w:val="en-US"/>
              </w:rPr>
              <w:t xml:space="preserve"> (39.8)</w:t>
            </w:r>
            <w:r w:rsidRPr="00542519">
              <w:rPr>
                <w:rFonts w:eastAsiaTheme="minorEastAsia" w:cs="Times New Roman"/>
                <w:color w:val="auto"/>
                <w:sz w:val="20"/>
                <w:szCs w:val="20"/>
                <w:lang w:val="en-US"/>
              </w:rPr>
              <w:t>; DM</w:t>
            </w:r>
            <w:r>
              <w:rPr>
                <w:rFonts w:eastAsiaTheme="minorEastAsia" w:cs="Times New Roman"/>
                <w:color w:val="auto"/>
                <w:sz w:val="20"/>
                <w:szCs w:val="20"/>
                <w:lang w:val="en-US"/>
              </w:rPr>
              <w:t xml:space="preserve"> (32.2)</w:t>
            </w:r>
            <w:r w:rsidRPr="00542519">
              <w:rPr>
                <w:rFonts w:eastAsiaTheme="minorEastAsia" w:cs="Times New Roman"/>
                <w:color w:val="auto"/>
                <w:sz w:val="20"/>
                <w:szCs w:val="20"/>
                <w:lang w:val="en-US"/>
              </w:rPr>
              <w:t>; prior stroke/TIA</w:t>
            </w:r>
            <w:r>
              <w:rPr>
                <w:rFonts w:eastAsiaTheme="minorEastAsia" w:cs="Times New Roman"/>
                <w:color w:val="auto"/>
                <w:sz w:val="20"/>
                <w:szCs w:val="20"/>
                <w:lang w:val="en-US"/>
              </w:rPr>
              <w:t xml:space="preserve"> (23.7).</w:t>
            </w:r>
          </w:p>
        </w:tc>
      </w:tr>
      <w:tr w:rsidR="00F478FF" w:rsidRPr="00DE6F90" w14:paraId="01A8828C" w14:textId="77777777" w:rsidTr="00F478FF">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898" w:type="pct"/>
            <w:tcBorders>
              <w:top w:val="nil"/>
              <w:bottom w:val="nil"/>
            </w:tcBorders>
            <w:shd w:val="clear" w:color="auto" w:fill="F2F2F2" w:themeFill="background1" w:themeFillShade="F2"/>
            <w:noWrap/>
          </w:tcPr>
          <w:p w14:paraId="0F206A9C" w14:textId="77777777" w:rsidR="00F478FF" w:rsidRPr="0094228C" w:rsidRDefault="00F478FF" w:rsidP="00F478FF">
            <w:pPr>
              <w:jc w:val="center"/>
              <w:rPr>
                <w:rFonts w:eastAsiaTheme="minorEastAsia" w:cs="Times New Roman"/>
                <w:sz w:val="20"/>
                <w:szCs w:val="20"/>
                <w:vertAlign w:val="superscript"/>
                <w:lang w:val="en-US"/>
              </w:rPr>
            </w:pPr>
            <w:proofErr w:type="spellStart"/>
            <w:r w:rsidRPr="005C7159">
              <w:rPr>
                <w:rFonts w:eastAsiaTheme="minorEastAsia" w:cs="Times New Roman"/>
                <w:color w:val="auto"/>
                <w:sz w:val="20"/>
                <w:szCs w:val="20"/>
                <w:lang w:val="en-US"/>
              </w:rPr>
              <w:lastRenderedPageBreak/>
              <w:t>Durães</w:t>
            </w:r>
            <w:proofErr w:type="spellEnd"/>
            <w:r w:rsidRPr="005C7159">
              <w:rPr>
                <w:rFonts w:eastAsiaTheme="minorEastAsia" w:cs="Times New Roman"/>
                <w:color w:val="auto"/>
                <w:sz w:val="20"/>
                <w:szCs w:val="20"/>
                <w:lang w:val="en-US"/>
              </w:rPr>
              <w:t xml:space="preserve"> et al.2020</w:t>
            </w:r>
            <w:r w:rsidRPr="005C7159">
              <w:rPr>
                <w:rFonts w:eastAsiaTheme="minorEastAsia" w:cs="Times New Roman"/>
                <w:color w:val="auto"/>
                <w:sz w:val="20"/>
                <w:szCs w:val="20"/>
                <w:vertAlign w:val="superscript"/>
                <w:lang w:val="en-US"/>
              </w:rPr>
              <w:t>22</w:t>
            </w:r>
          </w:p>
          <w:p w14:paraId="69A68A28" w14:textId="77777777" w:rsidR="00F478FF" w:rsidRPr="005C7159" w:rsidRDefault="00F478FF" w:rsidP="00F478FF">
            <w:pPr>
              <w:jc w:val="center"/>
              <w:rPr>
                <w:rFonts w:eastAsiaTheme="minorEastAsia" w:cs="Times New Roman"/>
                <w:sz w:val="20"/>
                <w:szCs w:val="20"/>
                <w:lang w:val="en-US"/>
              </w:rPr>
            </w:pPr>
            <w:r w:rsidRPr="005C7159">
              <w:rPr>
                <w:rFonts w:eastAsiaTheme="minorEastAsia" w:cs="Times New Roman"/>
                <w:color w:val="auto"/>
                <w:sz w:val="20"/>
                <w:szCs w:val="20"/>
                <w:lang w:val="en-US"/>
              </w:rPr>
              <w:t>(RIWA)</w:t>
            </w:r>
          </w:p>
        </w:tc>
        <w:tc>
          <w:tcPr>
            <w:tcW w:w="390" w:type="pct"/>
            <w:tcBorders>
              <w:top w:val="nil"/>
              <w:bottom w:val="nil"/>
            </w:tcBorders>
            <w:shd w:val="clear" w:color="auto" w:fill="F2F2F2" w:themeFill="background1" w:themeFillShade="F2"/>
          </w:tcPr>
          <w:p w14:paraId="350F162B" w14:textId="77777777" w:rsidR="00F478FF" w:rsidRPr="00390C1D"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US"/>
              </w:rPr>
            </w:pPr>
            <w:r w:rsidRPr="00390C1D">
              <w:rPr>
                <w:rFonts w:eastAsiaTheme="minorEastAsia" w:cs="Times New Roman"/>
                <w:sz w:val="20"/>
                <w:szCs w:val="20"/>
                <w:lang w:val="en-US"/>
              </w:rPr>
              <w:t>44</w:t>
            </w:r>
          </w:p>
        </w:tc>
        <w:tc>
          <w:tcPr>
            <w:tcW w:w="541" w:type="pct"/>
            <w:tcBorders>
              <w:top w:val="nil"/>
              <w:bottom w:val="nil"/>
            </w:tcBorders>
            <w:shd w:val="clear" w:color="auto" w:fill="F2F2F2" w:themeFill="background1" w:themeFillShade="F2"/>
          </w:tcPr>
          <w:p w14:paraId="1ED25035" w14:textId="77777777" w:rsidR="00F478FF" w:rsidRPr="00390C1D"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US"/>
              </w:rPr>
            </w:pPr>
            <w:r>
              <w:rPr>
                <w:rFonts w:eastAsiaTheme="minorEastAsia" w:cs="Times New Roman"/>
                <w:sz w:val="20"/>
                <w:szCs w:val="20"/>
                <w:lang w:val="en-US"/>
              </w:rPr>
              <w:t xml:space="preserve">44.2 </w:t>
            </w:r>
            <w:r>
              <w:rPr>
                <w:rFonts w:eastAsiaTheme="minorEastAsia" w:cs="Times New Roman"/>
                <w:color w:val="auto"/>
                <w:sz w:val="20"/>
                <w:szCs w:val="20"/>
                <w:lang w:val="en-US"/>
              </w:rPr>
              <w:t>±9.5</w:t>
            </w:r>
          </w:p>
        </w:tc>
        <w:tc>
          <w:tcPr>
            <w:tcW w:w="931" w:type="pct"/>
            <w:tcBorders>
              <w:top w:val="nil"/>
              <w:bottom w:val="nil"/>
            </w:tcBorders>
            <w:shd w:val="clear" w:color="auto" w:fill="F2F2F2" w:themeFill="background1" w:themeFillShade="F2"/>
          </w:tcPr>
          <w:p w14:paraId="055BB9E7" w14:textId="77777777" w:rsidR="00F478FF"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color w:val="auto"/>
                <w:sz w:val="20"/>
                <w:szCs w:val="20"/>
                <w:lang w:val="en-US"/>
              </w:rPr>
            </w:pPr>
            <w:r>
              <w:rPr>
                <w:rFonts w:eastAsiaTheme="minorEastAsia" w:cs="Times New Roman"/>
                <w:color w:val="auto"/>
                <w:sz w:val="20"/>
                <w:szCs w:val="20"/>
                <w:lang w:val="en-US"/>
              </w:rPr>
              <w:t xml:space="preserve">27 F (61.3) F; </w:t>
            </w:r>
          </w:p>
          <w:p w14:paraId="2AF792AF" w14:textId="77777777" w:rsidR="00F478FF" w:rsidRPr="00390C1D"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US"/>
              </w:rPr>
            </w:pPr>
            <w:r>
              <w:rPr>
                <w:rFonts w:eastAsiaTheme="minorEastAsia" w:cs="Times New Roman"/>
                <w:color w:val="auto"/>
                <w:sz w:val="20"/>
                <w:szCs w:val="20"/>
                <w:lang w:val="en-US"/>
              </w:rPr>
              <w:t>17 (38.7</w:t>
            </w:r>
            <w:r w:rsidRPr="00542519">
              <w:rPr>
                <w:rFonts w:eastAsiaTheme="minorEastAsia" w:cs="Times New Roman"/>
                <w:color w:val="auto"/>
                <w:sz w:val="20"/>
                <w:szCs w:val="20"/>
                <w:lang w:val="en-US"/>
              </w:rPr>
              <w:t>) M.</w:t>
            </w:r>
          </w:p>
        </w:tc>
        <w:tc>
          <w:tcPr>
            <w:tcW w:w="621" w:type="pct"/>
            <w:tcBorders>
              <w:top w:val="nil"/>
              <w:bottom w:val="nil"/>
            </w:tcBorders>
            <w:shd w:val="clear" w:color="auto" w:fill="F2F2F2" w:themeFill="background1" w:themeFillShade="F2"/>
          </w:tcPr>
          <w:p w14:paraId="76C30D27" w14:textId="77777777" w:rsidR="00F478FF" w:rsidRPr="00390C1D"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US"/>
              </w:rPr>
            </w:pPr>
            <w:r>
              <w:rPr>
                <w:rFonts w:eastAsiaTheme="minorEastAsia" w:cs="Times New Roman"/>
                <w:color w:val="auto"/>
                <w:sz w:val="20"/>
                <w:szCs w:val="20"/>
                <w:lang w:val="en-US"/>
              </w:rPr>
              <w:t>2.3±1.1</w:t>
            </w:r>
          </w:p>
        </w:tc>
        <w:tc>
          <w:tcPr>
            <w:tcW w:w="621" w:type="pct"/>
            <w:tcBorders>
              <w:top w:val="nil"/>
              <w:bottom w:val="nil"/>
            </w:tcBorders>
            <w:shd w:val="clear" w:color="auto" w:fill="F2F2F2" w:themeFill="background1" w:themeFillShade="F2"/>
          </w:tcPr>
          <w:p w14:paraId="33DC793F" w14:textId="77777777" w:rsidR="00F478FF" w:rsidRPr="00390C1D"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US"/>
              </w:rPr>
            </w:pPr>
            <w:r>
              <w:rPr>
                <w:rFonts w:eastAsiaTheme="minorEastAsia" w:cs="Times New Roman"/>
                <w:color w:val="auto"/>
                <w:sz w:val="20"/>
                <w:szCs w:val="20"/>
                <w:lang w:val="en-US"/>
              </w:rPr>
              <w:t>1.8±0.97</w:t>
            </w:r>
          </w:p>
        </w:tc>
        <w:tc>
          <w:tcPr>
            <w:tcW w:w="997" w:type="pct"/>
            <w:tcBorders>
              <w:top w:val="nil"/>
              <w:bottom w:val="nil"/>
            </w:tcBorders>
            <w:shd w:val="clear" w:color="auto" w:fill="F2F2F2" w:themeFill="background1" w:themeFillShade="F2"/>
          </w:tcPr>
          <w:p w14:paraId="2C2424E7" w14:textId="77777777" w:rsidR="00F478FF" w:rsidRPr="00390C1D" w:rsidRDefault="00F478FF" w:rsidP="00F478FF">
            <w:pPr>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0"/>
                <w:szCs w:val="20"/>
                <w:lang w:val="en-US"/>
              </w:rPr>
            </w:pPr>
            <w:r>
              <w:rPr>
                <w:rFonts w:eastAsiaTheme="minorEastAsia" w:cs="Times New Roman"/>
                <w:sz w:val="20"/>
                <w:szCs w:val="20"/>
                <w:lang w:val="en-US"/>
              </w:rPr>
              <w:t>Previous rheumatic fever (26); AF (12); SAH (32); Previous stroke/TIA (10).</w:t>
            </w:r>
          </w:p>
        </w:tc>
      </w:tr>
      <w:tr w:rsidR="00F478FF" w:rsidRPr="00DE6F90" w14:paraId="375058E3" w14:textId="77777777" w:rsidTr="00F478FF">
        <w:trPr>
          <w:cnfStyle w:val="010000000000" w:firstRow="0" w:lastRow="1" w:firstColumn="0" w:lastColumn="0" w:oddVBand="0" w:evenVBand="0" w:oddHBand="0"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898" w:type="pct"/>
            <w:tcBorders>
              <w:top w:val="nil"/>
            </w:tcBorders>
            <w:shd w:val="clear" w:color="auto" w:fill="FFFFFF" w:themeFill="background1"/>
            <w:noWrap/>
          </w:tcPr>
          <w:p w14:paraId="38A4D30E" w14:textId="77777777" w:rsidR="00F478FF" w:rsidRPr="00CE6001" w:rsidRDefault="00F478FF" w:rsidP="00F478FF">
            <w:pPr>
              <w:jc w:val="center"/>
              <w:rPr>
                <w:rFonts w:eastAsiaTheme="minorEastAsia" w:cs="Times New Roman"/>
                <w:sz w:val="20"/>
                <w:szCs w:val="20"/>
                <w:lang w:val="en-US"/>
              </w:rPr>
            </w:pPr>
            <w:proofErr w:type="spellStart"/>
            <w:r w:rsidRPr="00CE6001">
              <w:rPr>
                <w:rFonts w:eastAsiaTheme="minorEastAsia" w:cs="Times New Roman"/>
                <w:color w:val="auto"/>
                <w:sz w:val="20"/>
                <w:szCs w:val="20"/>
                <w:lang w:val="en-US"/>
              </w:rPr>
              <w:t>Guimarães</w:t>
            </w:r>
            <w:proofErr w:type="spellEnd"/>
            <w:r w:rsidRPr="00CE6001">
              <w:rPr>
                <w:rFonts w:eastAsiaTheme="minorEastAsia" w:cs="Times New Roman"/>
                <w:color w:val="auto"/>
                <w:sz w:val="20"/>
                <w:szCs w:val="20"/>
                <w:lang w:val="en-US"/>
              </w:rPr>
              <w:t xml:space="preserve"> et al. </w:t>
            </w:r>
            <w:r>
              <w:rPr>
                <w:rFonts w:eastAsiaTheme="minorEastAsia" w:cs="Times New Roman"/>
                <w:color w:val="auto"/>
                <w:sz w:val="20"/>
                <w:szCs w:val="20"/>
                <w:lang w:val="en-US"/>
              </w:rPr>
              <w:t>2020</w:t>
            </w:r>
            <w:r w:rsidRPr="00CE6001">
              <w:rPr>
                <w:rFonts w:eastAsiaTheme="minorEastAsia" w:cs="Times New Roman"/>
                <w:color w:val="auto"/>
                <w:sz w:val="20"/>
                <w:szCs w:val="20"/>
                <w:vertAlign w:val="superscript"/>
                <w:lang w:val="en-US"/>
              </w:rPr>
              <w:t>23</w:t>
            </w:r>
          </w:p>
          <w:p w14:paraId="2641A1A5" w14:textId="77777777" w:rsidR="00F478FF" w:rsidRPr="00CE6001" w:rsidRDefault="00F478FF" w:rsidP="00F478FF">
            <w:pPr>
              <w:jc w:val="center"/>
              <w:rPr>
                <w:rFonts w:eastAsiaTheme="minorEastAsia" w:cs="Times New Roman"/>
                <w:sz w:val="20"/>
                <w:szCs w:val="20"/>
                <w:lang w:val="en-US"/>
              </w:rPr>
            </w:pPr>
            <w:r w:rsidRPr="00CE6001">
              <w:rPr>
                <w:rFonts w:eastAsiaTheme="minorEastAsia" w:cs="Times New Roman"/>
                <w:color w:val="auto"/>
                <w:sz w:val="20"/>
                <w:szCs w:val="20"/>
                <w:lang w:val="en-US"/>
              </w:rPr>
              <w:t>(</w:t>
            </w:r>
            <w:r>
              <w:rPr>
                <w:rFonts w:eastAsiaTheme="minorEastAsia" w:cs="Times New Roman"/>
                <w:color w:val="auto"/>
                <w:sz w:val="20"/>
                <w:szCs w:val="20"/>
                <w:lang w:val="en-US"/>
              </w:rPr>
              <w:t>RIVER</w:t>
            </w:r>
            <w:r w:rsidRPr="00CE6001">
              <w:rPr>
                <w:rFonts w:eastAsiaTheme="minorEastAsia" w:cs="Times New Roman"/>
                <w:color w:val="auto"/>
                <w:sz w:val="20"/>
                <w:szCs w:val="20"/>
                <w:lang w:val="en-US"/>
              </w:rPr>
              <w:t>)</w:t>
            </w:r>
          </w:p>
        </w:tc>
        <w:tc>
          <w:tcPr>
            <w:tcW w:w="390" w:type="pct"/>
            <w:tcBorders>
              <w:top w:val="nil"/>
            </w:tcBorders>
            <w:shd w:val="clear" w:color="auto" w:fill="FFFFFF" w:themeFill="background1"/>
          </w:tcPr>
          <w:p w14:paraId="3EE308EA" w14:textId="77777777" w:rsidR="00F478FF" w:rsidRPr="00390C1D" w:rsidRDefault="00F478FF" w:rsidP="00F478FF">
            <w:pPr>
              <w:jc w:val="center"/>
              <w:cnfStyle w:val="010000000000" w:firstRow="0" w:lastRow="1" w:firstColumn="0" w:lastColumn="0" w:oddVBand="0" w:evenVBand="0" w:oddHBand="0" w:evenHBand="0" w:firstRowFirstColumn="0" w:firstRowLastColumn="0" w:lastRowFirstColumn="0" w:lastRowLastColumn="0"/>
              <w:rPr>
                <w:rFonts w:eastAsiaTheme="minorEastAsia" w:cs="Times New Roman"/>
                <w:b w:val="0"/>
                <w:sz w:val="20"/>
                <w:szCs w:val="20"/>
                <w:lang w:val="en-US"/>
              </w:rPr>
            </w:pPr>
            <w:r w:rsidRPr="00390C1D">
              <w:rPr>
                <w:rFonts w:eastAsiaTheme="minorEastAsia" w:cs="Times New Roman"/>
                <w:b w:val="0"/>
                <w:sz w:val="20"/>
                <w:szCs w:val="20"/>
                <w:lang w:val="en-US"/>
              </w:rPr>
              <w:t>1005</w:t>
            </w:r>
          </w:p>
        </w:tc>
        <w:tc>
          <w:tcPr>
            <w:tcW w:w="541" w:type="pct"/>
            <w:tcBorders>
              <w:top w:val="nil"/>
            </w:tcBorders>
            <w:shd w:val="clear" w:color="auto" w:fill="FFFFFF" w:themeFill="background1"/>
          </w:tcPr>
          <w:p w14:paraId="26D9C7E9" w14:textId="77777777" w:rsidR="00F478FF" w:rsidRPr="00390C1D" w:rsidRDefault="00F478FF" w:rsidP="00F478FF">
            <w:pPr>
              <w:jc w:val="center"/>
              <w:cnfStyle w:val="010000000000" w:firstRow="0" w:lastRow="1" w:firstColumn="0" w:lastColumn="0" w:oddVBand="0" w:evenVBand="0" w:oddHBand="0" w:evenHBand="0" w:firstRowFirstColumn="0" w:firstRowLastColumn="0" w:lastRowFirstColumn="0" w:lastRowLastColumn="0"/>
              <w:rPr>
                <w:rFonts w:eastAsiaTheme="minorEastAsia" w:cs="Times New Roman"/>
                <w:b w:val="0"/>
                <w:sz w:val="20"/>
                <w:szCs w:val="20"/>
                <w:lang w:val="en-US"/>
              </w:rPr>
            </w:pPr>
            <w:r>
              <w:rPr>
                <w:rFonts w:eastAsiaTheme="minorEastAsia" w:cs="Times New Roman"/>
                <w:b w:val="0"/>
                <w:sz w:val="20"/>
                <w:szCs w:val="20"/>
                <w:lang w:val="en-US"/>
              </w:rPr>
              <w:t xml:space="preserve">59.3 </w:t>
            </w:r>
            <w:r>
              <w:rPr>
                <w:rFonts w:eastAsiaTheme="minorEastAsia" w:cs="Times New Roman"/>
                <w:b w:val="0"/>
                <w:color w:val="auto"/>
                <w:sz w:val="20"/>
                <w:szCs w:val="20"/>
                <w:lang w:val="en-US"/>
              </w:rPr>
              <w:t>±12.2</w:t>
            </w:r>
          </w:p>
        </w:tc>
        <w:tc>
          <w:tcPr>
            <w:tcW w:w="931" w:type="pct"/>
            <w:tcBorders>
              <w:top w:val="nil"/>
            </w:tcBorders>
            <w:shd w:val="clear" w:color="auto" w:fill="FFFFFF" w:themeFill="background1"/>
          </w:tcPr>
          <w:p w14:paraId="0BD6F364" w14:textId="77777777" w:rsidR="00F478FF" w:rsidRPr="00D46F2A" w:rsidRDefault="00F478FF" w:rsidP="00F478FF">
            <w:pPr>
              <w:jc w:val="center"/>
              <w:cnfStyle w:val="010000000000" w:firstRow="0" w:lastRow="1" w:firstColumn="0" w:lastColumn="0" w:oddVBand="0" w:evenVBand="0" w:oddHBand="0" w:evenHBand="0" w:firstRowFirstColumn="0" w:firstRowLastColumn="0" w:lastRowFirstColumn="0" w:lastRowLastColumn="0"/>
              <w:rPr>
                <w:rFonts w:eastAsiaTheme="minorEastAsia" w:cs="Times New Roman"/>
                <w:b w:val="0"/>
                <w:color w:val="auto"/>
                <w:sz w:val="20"/>
                <w:szCs w:val="20"/>
                <w:lang w:val="en-US"/>
              </w:rPr>
            </w:pPr>
            <w:r>
              <w:rPr>
                <w:rFonts w:eastAsiaTheme="minorEastAsia" w:cs="Times New Roman"/>
                <w:b w:val="0"/>
                <w:color w:val="auto"/>
                <w:sz w:val="20"/>
                <w:szCs w:val="20"/>
                <w:lang w:val="en-US"/>
              </w:rPr>
              <w:t>607 (60</w:t>
            </w:r>
            <w:r w:rsidRPr="00D46F2A">
              <w:rPr>
                <w:rFonts w:eastAsiaTheme="minorEastAsia" w:cs="Times New Roman"/>
                <w:b w:val="0"/>
                <w:color w:val="auto"/>
                <w:sz w:val="20"/>
                <w:szCs w:val="20"/>
                <w:lang w:val="en-US"/>
              </w:rPr>
              <w:t>.</w:t>
            </w:r>
            <w:r>
              <w:rPr>
                <w:rFonts w:eastAsiaTheme="minorEastAsia" w:cs="Times New Roman"/>
                <w:b w:val="0"/>
                <w:color w:val="auto"/>
                <w:sz w:val="20"/>
                <w:szCs w:val="20"/>
                <w:lang w:val="en-US"/>
              </w:rPr>
              <w:t>4</w:t>
            </w:r>
            <w:r w:rsidRPr="00D46F2A">
              <w:rPr>
                <w:rFonts w:eastAsiaTheme="minorEastAsia" w:cs="Times New Roman"/>
                <w:b w:val="0"/>
                <w:color w:val="auto"/>
                <w:sz w:val="20"/>
                <w:szCs w:val="20"/>
                <w:lang w:val="en-US"/>
              </w:rPr>
              <w:t xml:space="preserve">) F; </w:t>
            </w:r>
          </w:p>
          <w:p w14:paraId="5043EA37" w14:textId="77777777" w:rsidR="00F478FF" w:rsidRPr="00390C1D" w:rsidRDefault="00F478FF" w:rsidP="00F478FF">
            <w:pPr>
              <w:jc w:val="center"/>
              <w:cnfStyle w:val="010000000000" w:firstRow="0" w:lastRow="1" w:firstColumn="0" w:lastColumn="0" w:oddVBand="0" w:evenVBand="0" w:oddHBand="0" w:evenHBand="0" w:firstRowFirstColumn="0" w:firstRowLastColumn="0" w:lastRowFirstColumn="0" w:lastRowLastColumn="0"/>
              <w:rPr>
                <w:rFonts w:eastAsiaTheme="minorEastAsia" w:cs="Times New Roman"/>
                <w:b w:val="0"/>
                <w:sz w:val="20"/>
                <w:szCs w:val="20"/>
                <w:lang w:val="en-US"/>
              </w:rPr>
            </w:pPr>
            <w:r>
              <w:rPr>
                <w:rFonts w:eastAsiaTheme="minorEastAsia" w:cs="Times New Roman"/>
                <w:b w:val="0"/>
                <w:color w:val="auto"/>
                <w:sz w:val="20"/>
                <w:szCs w:val="20"/>
                <w:lang w:val="en-US"/>
              </w:rPr>
              <w:t>398 (39.6</w:t>
            </w:r>
            <w:r w:rsidRPr="00D46F2A">
              <w:rPr>
                <w:rFonts w:eastAsiaTheme="minorEastAsia" w:cs="Times New Roman"/>
                <w:b w:val="0"/>
                <w:color w:val="auto"/>
                <w:sz w:val="20"/>
                <w:szCs w:val="20"/>
                <w:lang w:val="en-US"/>
              </w:rPr>
              <w:t>) M.</w:t>
            </w:r>
          </w:p>
        </w:tc>
        <w:tc>
          <w:tcPr>
            <w:tcW w:w="621" w:type="pct"/>
            <w:tcBorders>
              <w:top w:val="nil"/>
            </w:tcBorders>
            <w:shd w:val="clear" w:color="auto" w:fill="FFFFFF" w:themeFill="background1"/>
          </w:tcPr>
          <w:p w14:paraId="587D243C" w14:textId="77777777" w:rsidR="00F478FF" w:rsidRPr="00D46F2A" w:rsidRDefault="00F478FF" w:rsidP="00F478FF">
            <w:pPr>
              <w:tabs>
                <w:tab w:val="center" w:pos="458"/>
              </w:tabs>
              <w:cnfStyle w:val="010000000000" w:firstRow="0" w:lastRow="1" w:firstColumn="0" w:lastColumn="0" w:oddVBand="0" w:evenVBand="0" w:oddHBand="0" w:evenHBand="0" w:firstRowFirstColumn="0" w:firstRowLastColumn="0" w:lastRowFirstColumn="0" w:lastRowLastColumn="0"/>
              <w:rPr>
                <w:rFonts w:eastAsiaTheme="minorEastAsia" w:cs="Times New Roman"/>
                <w:b w:val="0"/>
                <w:sz w:val="20"/>
                <w:szCs w:val="20"/>
                <w:lang w:val="en-US"/>
              </w:rPr>
            </w:pPr>
            <w:r>
              <w:rPr>
                <w:rFonts w:eastAsiaTheme="minorEastAsia" w:cs="Times New Roman"/>
                <w:b w:val="0"/>
                <w:color w:val="auto"/>
                <w:sz w:val="20"/>
                <w:szCs w:val="20"/>
                <w:lang w:val="en-US"/>
              </w:rPr>
              <w:tab/>
              <w:t>2.6±1.4</w:t>
            </w:r>
          </w:p>
        </w:tc>
        <w:tc>
          <w:tcPr>
            <w:tcW w:w="621" w:type="pct"/>
            <w:tcBorders>
              <w:top w:val="nil"/>
            </w:tcBorders>
            <w:shd w:val="clear" w:color="auto" w:fill="FFFFFF" w:themeFill="background1"/>
          </w:tcPr>
          <w:p w14:paraId="53E3ECFC" w14:textId="77777777" w:rsidR="00F478FF" w:rsidRPr="00D46F2A" w:rsidRDefault="00F478FF" w:rsidP="00F478FF">
            <w:pPr>
              <w:jc w:val="center"/>
              <w:cnfStyle w:val="010000000000" w:firstRow="0" w:lastRow="1" w:firstColumn="0" w:lastColumn="0" w:oddVBand="0" w:evenVBand="0" w:oddHBand="0" w:evenHBand="0" w:firstRowFirstColumn="0" w:firstRowLastColumn="0" w:lastRowFirstColumn="0" w:lastRowLastColumn="0"/>
              <w:rPr>
                <w:rFonts w:eastAsiaTheme="minorEastAsia" w:cs="Times New Roman"/>
                <w:b w:val="0"/>
                <w:sz w:val="20"/>
                <w:szCs w:val="20"/>
                <w:lang w:val="en-US"/>
              </w:rPr>
            </w:pPr>
            <w:r>
              <w:rPr>
                <w:rFonts w:eastAsiaTheme="minorEastAsia" w:cs="Times New Roman"/>
                <w:b w:val="0"/>
                <w:color w:val="auto"/>
                <w:sz w:val="20"/>
                <w:szCs w:val="20"/>
                <w:lang w:val="en-US"/>
              </w:rPr>
              <w:t>1.6±0.9</w:t>
            </w:r>
          </w:p>
        </w:tc>
        <w:tc>
          <w:tcPr>
            <w:tcW w:w="997" w:type="pct"/>
            <w:tcBorders>
              <w:top w:val="nil"/>
            </w:tcBorders>
            <w:shd w:val="clear" w:color="auto" w:fill="FFFFFF" w:themeFill="background1"/>
          </w:tcPr>
          <w:p w14:paraId="6A075B8E" w14:textId="77777777" w:rsidR="00F478FF" w:rsidRPr="00D46F2A" w:rsidRDefault="00F478FF" w:rsidP="00F478FF">
            <w:pPr>
              <w:jc w:val="center"/>
              <w:cnfStyle w:val="010000000000" w:firstRow="0" w:lastRow="1" w:firstColumn="0" w:lastColumn="0" w:oddVBand="0" w:evenVBand="0" w:oddHBand="0" w:evenHBand="0" w:firstRowFirstColumn="0" w:firstRowLastColumn="0" w:lastRowFirstColumn="0" w:lastRowLastColumn="0"/>
              <w:rPr>
                <w:rFonts w:eastAsiaTheme="minorEastAsia" w:cs="Times New Roman"/>
                <w:b w:val="0"/>
                <w:sz w:val="20"/>
                <w:szCs w:val="20"/>
                <w:lang w:val="en-US"/>
              </w:rPr>
            </w:pPr>
            <w:r>
              <w:rPr>
                <w:rFonts w:eastAsiaTheme="minorEastAsia" w:cs="Times New Roman"/>
                <w:b w:val="0"/>
                <w:sz w:val="20"/>
                <w:szCs w:val="20"/>
                <w:lang w:val="en-US"/>
              </w:rPr>
              <w:t xml:space="preserve">SAH (60.7); HF (38.8); Dyslipidemia (33.6); DM (13.7); </w:t>
            </w:r>
            <w:r>
              <w:rPr>
                <w:rFonts w:eastAsiaTheme="minorEastAsia" w:cs="Times New Roman"/>
                <w:sz w:val="20"/>
                <w:szCs w:val="20"/>
                <w:lang w:val="en-US"/>
              </w:rPr>
              <w:t xml:space="preserve"> </w:t>
            </w:r>
            <w:r>
              <w:rPr>
                <w:rFonts w:eastAsiaTheme="minorEastAsia" w:cs="Times New Roman"/>
                <w:b w:val="0"/>
                <w:sz w:val="20"/>
                <w:szCs w:val="20"/>
                <w:lang w:val="en-US"/>
              </w:rPr>
              <w:t>P</w:t>
            </w:r>
            <w:r w:rsidRPr="00D75533">
              <w:rPr>
                <w:rFonts w:eastAsiaTheme="minorEastAsia" w:cs="Times New Roman"/>
                <w:b w:val="0"/>
                <w:sz w:val="20"/>
                <w:szCs w:val="20"/>
                <w:lang w:val="en-US"/>
              </w:rPr>
              <w:t>revious stroke</w:t>
            </w:r>
            <w:r>
              <w:rPr>
                <w:rFonts w:eastAsiaTheme="minorEastAsia" w:cs="Times New Roman"/>
                <w:b w:val="0"/>
                <w:sz w:val="20"/>
                <w:szCs w:val="20"/>
                <w:lang w:val="en-US"/>
              </w:rPr>
              <w:t xml:space="preserve"> (12.8)</w:t>
            </w:r>
          </w:p>
        </w:tc>
      </w:tr>
    </w:tbl>
    <w:p w14:paraId="206ED170" w14:textId="77777777" w:rsidR="00F478FF" w:rsidRDefault="00F478FF" w:rsidP="00F478FF">
      <w:pPr>
        <w:ind w:left="-397" w:right="-227"/>
        <w:jc w:val="both"/>
        <w:rPr>
          <w:rFonts w:cs="Times New Roman"/>
          <w:b/>
          <w:szCs w:val="24"/>
        </w:rPr>
      </w:pPr>
      <w:proofErr w:type="gramStart"/>
      <w:r w:rsidRPr="00F478FF">
        <w:rPr>
          <w:rFonts w:cs="Times New Roman"/>
          <w:szCs w:val="24"/>
        </w:rPr>
        <w:t xml:space="preserve">N = number; VHD = </w:t>
      </w:r>
      <w:proofErr w:type="spellStart"/>
      <w:r w:rsidRPr="00F478FF">
        <w:rPr>
          <w:rFonts w:cs="Times New Roman"/>
          <w:szCs w:val="24"/>
        </w:rPr>
        <w:t>valvular</w:t>
      </w:r>
      <w:proofErr w:type="spellEnd"/>
      <w:r w:rsidRPr="00F478FF">
        <w:rPr>
          <w:rFonts w:cs="Times New Roman"/>
          <w:szCs w:val="24"/>
        </w:rPr>
        <w:t xml:space="preserve"> heart disease; NOAC = new oral anticoagulant; </w:t>
      </w:r>
      <w:proofErr w:type="spellStart"/>
      <w:r w:rsidRPr="00F478FF">
        <w:rPr>
          <w:rFonts w:cs="Times New Roman"/>
          <w:szCs w:val="24"/>
        </w:rPr>
        <w:t>CrCl</w:t>
      </w:r>
      <w:proofErr w:type="spellEnd"/>
      <w:r w:rsidRPr="00F478FF">
        <w:rPr>
          <w:rFonts w:cs="Times New Roman"/>
          <w:szCs w:val="24"/>
        </w:rPr>
        <w:t xml:space="preserve"> =creatinine clearence; TE = thromboembolism; AF = atrial fibrillation; DG = Dabigatran group; WG = Warfarin group; M = male; F = female; SAH = systemic arterial hypertension; HF = heart Failure; DM = diabetes mellitus; SE = systemic embolism; TIA = transient ischemic event; NYHA = functional classification of the New York Heart Association; CAD = coronary artery disease; AMI = acute myocardial infarction</w:t>
      </w:r>
      <w:r w:rsidRPr="00F478FF">
        <w:rPr>
          <w:rFonts w:cs="Times New Roman"/>
          <w:b/>
          <w:szCs w:val="24"/>
        </w:rPr>
        <w:t>.</w:t>
      </w:r>
      <w:proofErr w:type="gramEnd"/>
    </w:p>
    <w:p w14:paraId="179D182C" w14:textId="77777777" w:rsidR="00F478FF" w:rsidRDefault="00F478FF" w:rsidP="00F478FF">
      <w:pPr>
        <w:ind w:left="-397" w:right="-227"/>
        <w:jc w:val="both"/>
        <w:rPr>
          <w:rFonts w:cs="Times New Roman"/>
          <w:szCs w:val="24"/>
        </w:rPr>
      </w:pPr>
    </w:p>
    <w:p w14:paraId="00B51932" w14:textId="77777777" w:rsidR="00F478FF" w:rsidRDefault="00F478FF" w:rsidP="00F478FF">
      <w:pPr>
        <w:ind w:left="-397" w:right="-227"/>
        <w:jc w:val="both"/>
        <w:rPr>
          <w:rFonts w:cs="Times New Roman"/>
          <w:szCs w:val="24"/>
        </w:rPr>
      </w:pPr>
    </w:p>
    <w:p w14:paraId="3E943209" w14:textId="77777777" w:rsidR="00F478FF" w:rsidRDefault="00F478FF" w:rsidP="00F478FF">
      <w:pPr>
        <w:ind w:left="-397" w:right="-227"/>
        <w:jc w:val="both"/>
        <w:rPr>
          <w:rFonts w:cs="Times New Roman"/>
          <w:szCs w:val="24"/>
        </w:rPr>
      </w:pPr>
    </w:p>
    <w:p w14:paraId="565056D1" w14:textId="77777777" w:rsidR="00F478FF" w:rsidRDefault="00F478FF" w:rsidP="00F478FF">
      <w:pPr>
        <w:ind w:left="-397" w:right="-227"/>
        <w:jc w:val="both"/>
        <w:rPr>
          <w:rFonts w:cs="Times New Roman"/>
          <w:szCs w:val="24"/>
        </w:rPr>
      </w:pPr>
    </w:p>
    <w:p w14:paraId="631F632B" w14:textId="77777777" w:rsidR="00F478FF" w:rsidRDefault="00F478FF" w:rsidP="00F478FF">
      <w:pPr>
        <w:ind w:left="-397" w:right="-227"/>
        <w:jc w:val="both"/>
        <w:rPr>
          <w:rFonts w:cs="Times New Roman"/>
          <w:szCs w:val="24"/>
        </w:rPr>
      </w:pPr>
    </w:p>
    <w:p w14:paraId="462C6141" w14:textId="77777777" w:rsidR="00F478FF" w:rsidRDefault="00F478FF" w:rsidP="00F478FF">
      <w:pPr>
        <w:ind w:left="-397" w:right="-227"/>
        <w:jc w:val="both"/>
        <w:rPr>
          <w:rFonts w:cs="Times New Roman"/>
          <w:szCs w:val="24"/>
        </w:rPr>
      </w:pPr>
    </w:p>
    <w:p w14:paraId="2F9BE563" w14:textId="77777777" w:rsidR="00F478FF" w:rsidRDefault="00F478FF" w:rsidP="00F478FF">
      <w:pPr>
        <w:ind w:left="-397" w:right="-227"/>
        <w:jc w:val="both"/>
        <w:rPr>
          <w:rFonts w:cs="Times New Roman"/>
          <w:szCs w:val="24"/>
        </w:rPr>
      </w:pPr>
    </w:p>
    <w:p w14:paraId="0ABBDA97" w14:textId="77777777" w:rsidR="00F478FF" w:rsidRDefault="00F478FF" w:rsidP="00F478FF">
      <w:pPr>
        <w:ind w:left="-397" w:right="-227"/>
        <w:jc w:val="both"/>
        <w:rPr>
          <w:rFonts w:cs="Times New Roman"/>
          <w:szCs w:val="24"/>
        </w:rPr>
      </w:pPr>
    </w:p>
    <w:p w14:paraId="63BD7B3D" w14:textId="77777777" w:rsidR="00F478FF" w:rsidRDefault="00F478FF" w:rsidP="00F478FF">
      <w:pPr>
        <w:ind w:left="-397" w:right="-227"/>
        <w:jc w:val="both"/>
        <w:rPr>
          <w:rFonts w:cs="Times New Roman"/>
          <w:szCs w:val="24"/>
        </w:rPr>
      </w:pPr>
    </w:p>
    <w:p w14:paraId="772DCFB0" w14:textId="77777777" w:rsidR="00F478FF" w:rsidRDefault="00F478FF" w:rsidP="00F478FF">
      <w:pPr>
        <w:ind w:left="-397" w:right="-227"/>
        <w:jc w:val="both"/>
        <w:rPr>
          <w:rFonts w:cs="Times New Roman"/>
          <w:szCs w:val="24"/>
        </w:rPr>
      </w:pPr>
    </w:p>
    <w:p w14:paraId="33858ECC" w14:textId="77777777" w:rsidR="00F478FF" w:rsidRDefault="00F478FF" w:rsidP="00F478FF">
      <w:pPr>
        <w:ind w:left="-397" w:right="-227"/>
        <w:jc w:val="both"/>
        <w:rPr>
          <w:rFonts w:cs="Times New Roman"/>
          <w:szCs w:val="24"/>
        </w:rPr>
      </w:pPr>
    </w:p>
    <w:p w14:paraId="25C3E554" w14:textId="77777777" w:rsidR="00F478FF" w:rsidRDefault="00F478FF" w:rsidP="00F478FF">
      <w:pPr>
        <w:ind w:left="-397" w:right="-227"/>
        <w:jc w:val="both"/>
        <w:rPr>
          <w:rFonts w:cs="Times New Roman"/>
          <w:szCs w:val="24"/>
        </w:rPr>
      </w:pPr>
    </w:p>
    <w:p w14:paraId="67418A59" w14:textId="77777777" w:rsidR="00F478FF" w:rsidRDefault="00F478FF" w:rsidP="00F478FF">
      <w:pPr>
        <w:ind w:left="-397" w:right="-227"/>
        <w:jc w:val="both"/>
        <w:rPr>
          <w:rFonts w:cs="Times New Roman"/>
          <w:szCs w:val="24"/>
        </w:rPr>
      </w:pPr>
    </w:p>
    <w:p w14:paraId="5865796F" w14:textId="77777777" w:rsidR="00F478FF" w:rsidRDefault="00F478FF" w:rsidP="00F478FF">
      <w:pPr>
        <w:ind w:left="-397" w:right="-227"/>
        <w:jc w:val="both"/>
        <w:rPr>
          <w:rFonts w:cs="Times New Roman"/>
          <w:szCs w:val="24"/>
        </w:rPr>
      </w:pPr>
    </w:p>
    <w:p w14:paraId="47F06FE4" w14:textId="77777777" w:rsidR="00F478FF" w:rsidRDefault="00F478FF" w:rsidP="00F478FF">
      <w:pPr>
        <w:ind w:left="-397" w:right="-227"/>
        <w:jc w:val="both"/>
        <w:rPr>
          <w:rFonts w:cs="Times New Roman"/>
          <w:szCs w:val="24"/>
        </w:rPr>
      </w:pPr>
    </w:p>
    <w:p w14:paraId="6E014C20" w14:textId="77777777" w:rsidR="00F478FF" w:rsidRDefault="00F478FF" w:rsidP="00F478FF">
      <w:pPr>
        <w:ind w:left="-397" w:right="-227"/>
        <w:jc w:val="both"/>
        <w:rPr>
          <w:rFonts w:cs="Times New Roman"/>
          <w:szCs w:val="24"/>
        </w:rPr>
      </w:pPr>
    </w:p>
    <w:p w14:paraId="4FD11F7A" w14:textId="77777777" w:rsidR="00F478FF" w:rsidRPr="00F478FF" w:rsidRDefault="00F478FF" w:rsidP="00F478FF">
      <w:pPr>
        <w:ind w:left="-397" w:right="-227"/>
        <w:jc w:val="both"/>
        <w:rPr>
          <w:rFonts w:cs="Times New Roman"/>
          <w:szCs w:val="24"/>
        </w:rPr>
      </w:pPr>
    </w:p>
    <w:p w14:paraId="5665686A" w14:textId="77777777" w:rsidR="00F478FF" w:rsidRPr="00F478FF" w:rsidRDefault="00F478FF" w:rsidP="00F478FF">
      <w:pPr>
        <w:ind w:left="-113" w:right="-283"/>
        <w:jc w:val="both"/>
        <w:rPr>
          <w:rFonts w:cs="Times New Roman"/>
          <w:szCs w:val="24"/>
        </w:rPr>
      </w:pPr>
      <w:r w:rsidRPr="00F478FF">
        <w:rPr>
          <w:rFonts w:cs="Times New Roman"/>
          <w:b/>
          <w:szCs w:val="24"/>
        </w:rPr>
        <w:lastRenderedPageBreak/>
        <w:t xml:space="preserve">File 5: Figure E1. </w:t>
      </w:r>
      <w:r w:rsidRPr="00F478FF">
        <w:rPr>
          <w:rFonts w:cs="Times New Roman"/>
          <w:szCs w:val="24"/>
        </w:rPr>
        <w:t>Risk of bias summary for each included study according to the Cochrane Collaboration Tool’s classification.</w:t>
      </w:r>
    </w:p>
    <w:p w14:paraId="0B63833A" w14:textId="77777777" w:rsidR="00F478FF" w:rsidRPr="00264E4F" w:rsidRDefault="00F478FF" w:rsidP="00F478FF">
      <w:pPr>
        <w:spacing w:line="480" w:lineRule="auto"/>
        <w:ind w:left="-113" w:right="-283"/>
        <w:jc w:val="center"/>
        <w:rPr>
          <w:rFonts w:cs="Times New Roman"/>
          <w:sz w:val="20"/>
          <w:szCs w:val="20"/>
        </w:rPr>
      </w:pPr>
      <w:r>
        <w:rPr>
          <w:rFonts w:cs="Times New Roman"/>
          <w:noProof/>
          <w:sz w:val="20"/>
          <w:szCs w:val="20"/>
          <w:lang w:eastAsia="pt-BR"/>
        </w:rPr>
        <w:drawing>
          <wp:inline distT="0" distB="0" distL="0" distR="0" wp14:anchorId="7C27B96A" wp14:editId="42135E4C">
            <wp:extent cx="4792323" cy="7467600"/>
            <wp:effectExtent l="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k of bias summary.png"/>
                    <pic:cNvPicPr/>
                  </pic:nvPicPr>
                  <pic:blipFill rotWithShape="1">
                    <a:blip r:embed="rId8">
                      <a:extLst>
                        <a:ext uri="{28A0092B-C50C-407E-A947-70E740481C1C}">
                          <a14:useLocalDpi xmlns:a14="http://schemas.microsoft.com/office/drawing/2010/main" val="0"/>
                        </a:ext>
                      </a:extLst>
                    </a:blip>
                    <a:srcRect r="2111"/>
                    <a:stretch/>
                  </pic:blipFill>
                  <pic:spPr bwMode="auto">
                    <a:xfrm>
                      <a:off x="0" y="0"/>
                      <a:ext cx="4813455" cy="750052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3ADFDF3" w14:textId="77777777" w:rsidR="00F478FF" w:rsidRPr="00F478FF" w:rsidRDefault="00F478FF" w:rsidP="00F478FF">
      <w:pPr>
        <w:spacing w:line="480" w:lineRule="auto"/>
        <w:ind w:left="-113" w:right="-283"/>
        <w:jc w:val="both"/>
        <w:rPr>
          <w:rFonts w:cs="Times New Roman"/>
          <w:szCs w:val="24"/>
        </w:rPr>
      </w:pPr>
      <w:r w:rsidRPr="00F478FF">
        <w:rPr>
          <w:rFonts w:cs="Times New Roman"/>
          <w:szCs w:val="24"/>
        </w:rPr>
        <w:t>The red circle indicates uncertain data and the green circle low risk of bias.</w:t>
      </w:r>
    </w:p>
    <w:p w14:paraId="44F3F765" w14:textId="77777777" w:rsidR="00F478FF" w:rsidRPr="00F478FF" w:rsidRDefault="00F478FF" w:rsidP="00F478FF">
      <w:pPr>
        <w:spacing w:line="480" w:lineRule="auto"/>
        <w:ind w:left="-113" w:right="-283"/>
        <w:jc w:val="both"/>
        <w:rPr>
          <w:rFonts w:cs="Times New Roman"/>
          <w:szCs w:val="24"/>
        </w:rPr>
      </w:pPr>
      <w:r w:rsidRPr="00F478FF">
        <w:rPr>
          <w:rFonts w:cs="Times New Roman"/>
          <w:b/>
          <w:szCs w:val="24"/>
        </w:rPr>
        <w:lastRenderedPageBreak/>
        <w:t xml:space="preserve">File 6: Table E3. </w:t>
      </w:r>
      <w:r w:rsidRPr="00F478FF">
        <w:rPr>
          <w:rFonts w:cs="Times New Roman"/>
          <w:szCs w:val="24"/>
        </w:rPr>
        <w:t xml:space="preserve">GRADE assessments (summary of findings) – </w:t>
      </w:r>
      <w:proofErr w:type="spellStart"/>
      <w:r w:rsidRPr="00F478FF">
        <w:rPr>
          <w:rFonts w:cs="Times New Roman"/>
          <w:szCs w:val="24"/>
        </w:rPr>
        <w:t>Valvular</w:t>
      </w:r>
      <w:proofErr w:type="spellEnd"/>
      <w:r w:rsidRPr="00F478FF">
        <w:rPr>
          <w:rFonts w:cs="Times New Roman"/>
          <w:szCs w:val="24"/>
        </w:rPr>
        <w:t xml:space="preserve"> Heart Disease.</w:t>
      </w:r>
    </w:p>
    <w:tbl>
      <w:tblPr>
        <w:tblW w:w="5251" w:type="pct"/>
        <w:tblInd w:w="-142" w:type="dxa"/>
        <w:tblLayout w:type="fixed"/>
        <w:tblCellMar>
          <w:top w:w="75" w:type="dxa"/>
          <w:left w:w="75" w:type="dxa"/>
          <w:bottom w:w="75" w:type="dxa"/>
          <w:right w:w="75" w:type="dxa"/>
        </w:tblCellMar>
        <w:tblLook w:val="04A0" w:firstRow="1" w:lastRow="0" w:firstColumn="1" w:lastColumn="0" w:noHBand="0" w:noVBand="1"/>
      </w:tblPr>
      <w:tblGrid>
        <w:gridCol w:w="2070"/>
        <w:gridCol w:w="1208"/>
        <w:gridCol w:w="1550"/>
        <w:gridCol w:w="1692"/>
        <w:gridCol w:w="1140"/>
        <w:gridCol w:w="1793"/>
        <w:gridCol w:w="815"/>
      </w:tblGrid>
      <w:tr w:rsidR="00F478FF" w:rsidRPr="00DE6F90" w14:paraId="23068BD3" w14:textId="77777777" w:rsidTr="001263A3">
        <w:trPr>
          <w:cantSplit/>
          <w:tblHeader/>
        </w:trPr>
        <w:tc>
          <w:tcPr>
            <w:tcW w:w="5000" w:type="pct"/>
            <w:gridSpan w:val="7"/>
            <w:tcBorders>
              <w:top w:val="nil"/>
              <w:left w:val="nil"/>
              <w:bottom w:val="nil"/>
              <w:right w:val="nil"/>
            </w:tcBorders>
            <w:vAlign w:val="center"/>
            <w:hideMark/>
          </w:tcPr>
          <w:p w14:paraId="5E66A64C" w14:textId="77777777" w:rsidR="00F478FF" w:rsidRPr="007A6D5E" w:rsidRDefault="00F478FF" w:rsidP="001263A3">
            <w:pPr>
              <w:rPr>
                <w:rFonts w:ascii="Arial" w:eastAsia="Times New Roman" w:hAnsi="Arial" w:cs="Arial"/>
                <w:sz w:val="20"/>
                <w:szCs w:val="20"/>
              </w:rPr>
            </w:pPr>
          </w:p>
        </w:tc>
      </w:tr>
      <w:tr w:rsidR="00F478FF" w:rsidRPr="00DE6F90" w14:paraId="1C19029F" w14:textId="77777777" w:rsidTr="001263A3">
        <w:trPr>
          <w:cantSplit/>
          <w:tblHeader/>
        </w:trPr>
        <w:tc>
          <w:tcPr>
            <w:tcW w:w="5000" w:type="pct"/>
            <w:gridSpan w:val="7"/>
            <w:tcBorders>
              <w:top w:val="single" w:sz="12" w:space="0" w:color="000000"/>
              <w:left w:val="nil"/>
              <w:bottom w:val="single" w:sz="12" w:space="0" w:color="000000"/>
              <w:right w:val="nil"/>
            </w:tcBorders>
            <w:vAlign w:val="center"/>
            <w:hideMark/>
          </w:tcPr>
          <w:p w14:paraId="4D2EEBCD" w14:textId="77777777" w:rsidR="00F478FF" w:rsidRPr="008508A5" w:rsidRDefault="00F478FF" w:rsidP="001263A3">
            <w:pPr>
              <w:pStyle w:val="sof-title"/>
              <w:spacing w:before="0" w:beforeAutospacing="0" w:after="0" w:afterAutospacing="0"/>
              <w:rPr>
                <w:rFonts w:ascii="Arial" w:hAnsi="Arial" w:cs="Arial"/>
                <w:sz w:val="20"/>
                <w:szCs w:val="20"/>
                <w:lang w:val="en-US"/>
              </w:rPr>
            </w:pPr>
            <w:r>
              <w:rPr>
                <w:rFonts w:ascii="Arial" w:hAnsi="Arial" w:cs="Arial"/>
                <w:b/>
                <w:bCs/>
                <w:sz w:val="20"/>
                <w:szCs w:val="20"/>
                <w:lang w:val="en-US"/>
              </w:rPr>
              <w:t>DOACs</w:t>
            </w:r>
            <w:r w:rsidRPr="008508A5">
              <w:rPr>
                <w:rFonts w:ascii="Arial" w:hAnsi="Arial" w:cs="Arial"/>
                <w:b/>
                <w:bCs/>
                <w:sz w:val="20"/>
                <w:szCs w:val="20"/>
                <w:lang w:val="en-US"/>
              </w:rPr>
              <w:t xml:space="preserve"> compared to Warfarin for </w:t>
            </w:r>
            <w:proofErr w:type="spellStart"/>
            <w:r w:rsidRPr="008508A5">
              <w:rPr>
                <w:rFonts w:ascii="Arial" w:hAnsi="Arial" w:cs="Arial"/>
                <w:b/>
                <w:bCs/>
                <w:sz w:val="20"/>
                <w:szCs w:val="20"/>
                <w:lang w:val="en-US"/>
              </w:rPr>
              <w:t>Valvular</w:t>
            </w:r>
            <w:proofErr w:type="spellEnd"/>
            <w:r w:rsidRPr="008508A5">
              <w:rPr>
                <w:rFonts w:ascii="Arial" w:hAnsi="Arial" w:cs="Arial"/>
                <w:b/>
                <w:bCs/>
                <w:sz w:val="20"/>
                <w:szCs w:val="20"/>
                <w:lang w:val="en-US"/>
              </w:rPr>
              <w:t xml:space="preserve"> Heart Disease</w:t>
            </w:r>
          </w:p>
        </w:tc>
      </w:tr>
      <w:tr w:rsidR="00F478FF" w:rsidRPr="00DE6F90" w14:paraId="5A535B66" w14:textId="77777777" w:rsidTr="001263A3">
        <w:trPr>
          <w:cantSplit/>
          <w:tblHeader/>
        </w:trPr>
        <w:tc>
          <w:tcPr>
            <w:tcW w:w="5000" w:type="pct"/>
            <w:gridSpan w:val="7"/>
            <w:tcBorders>
              <w:top w:val="single" w:sz="12" w:space="0" w:color="000000"/>
              <w:left w:val="nil"/>
              <w:bottom w:val="single" w:sz="12" w:space="0" w:color="000000"/>
              <w:right w:val="nil"/>
            </w:tcBorders>
            <w:vAlign w:val="center"/>
            <w:hideMark/>
          </w:tcPr>
          <w:p w14:paraId="06865DDD" w14:textId="77777777" w:rsidR="00F478FF" w:rsidRPr="008508A5" w:rsidRDefault="00F478FF" w:rsidP="001263A3">
            <w:pPr>
              <w:rPr>
                <w:rFonts w:ascii="Arial" w:eastAsia="Times New Roman" w:hAnsi="Arial" w:cs="Arial"/>
                <w:sz w:val="20"/>
                <w:szCs w:val="20"/>
              </w:rPr>
            </w:pPr>
            <w:r w:rsidRPr="008508A5">
              <w:rPr>
                <w:rFonts w:ascii="Arial" w:eastAsia="Times New Roman" w:hAnsi="Arial" w:cs="Arial"/>
                <w:b/>
                <w:bCs/>
                <w:sz w:val="20"/>
                <w:szCs w:val="20"/>
              </w:rPr>
              <w:t>Patient or population</w:t>
            </w:r>
            <w:r w:rsidRPr="008508A5">
              <w:rPr>
                <w:rFonts w:ascii="Arial" w:eastAsia="Times New Roman" w:hAnsi="Arial" w:cs="Arial"/>
                <w:sz w:val="20"/>
                <w:szCs w:val="20"/>
              </w:rPr>
              <w:t xml:space="preserve">: </w:t>
            </w:r>
            <w:proofErr w:type="spellStart"/>
            <w:r w:rsidRPr="008508A5">
              <w:rPr>
                <w:rFonts w:ascii="Arial" w:eastAsia="Times New Roman" w:hAnsi="Arial" w:cs="Arial"/>
                <w:sz w:val="20"/>
                <w:szCs w:val="20"/>
              </w:rPr>
              <w:t>Valvular</w:t>
            </w:r>
            <w:proofErr w:type="spellEnd"/>
            <w:r w:rsidRPr="008508A5">
              <w:rPr>
                <w:rFonts w:ascii="Arial" w:eastAsia="Times New Roman" w:hAnsi="Arial" w:cs="Arial"/>
                <w:sz w:val="20"/>
                <w:szCs w:val="20"/>
              </w:rPr>
              <w:t xml:space="preserve"> Heart Disease </w:t>
            </w:r>
          </w:p>
          <w:p w14:paraId="6BCBA16D" w14:textId="77777777" w:rsidR="00F478FF" w:rsidRPr="008508A5" w:rsidRDefault="00F478FF" w:rsidP="001263A3">
            <w:pPr>
              <w:rPr>
                <w:rFonts w:ascii="Arial" w:eastAsia="Times New Roman" w:hAnsi="Arial" w:cs="Arial"/>
                <w:sz w:val="20"/>
                <w:szCs w:val="20"/>
              </w:rPr>
            </w:pPr>
            <w:r w:rsidRPr="008508A5">
              <w:rPr>
                <w:rFonts w:ascii="Arial" w:eastAsia="Times New Roman" w:hAnsi="Arial" w:cs="Arial"/>
                <w:b/>
                <w:bCs/>
                <w:sz w:val="20"/>
                <w:szCs w:val="20"/>
              </w:rPr>
              <w:t>Setting</w:t>
            </w:r>
            <w:r w:rsidRPr="008508A5">
              <w:rPr>
                <w:rFonts w:ascii="Arial" w:eastAsia="Times New Roman" w:hAnsi="Arial" w:cs="Arial"/>
                <w:sz w:val="20"/>
                <w:szCs w:val="20"/>
              </w:rPr>
              <w:t xml:space="preserve">: </w:t>
            </w:r>
          </w:p>
          <w:p w14:paraId="7DFCD100" w14:textId="77777777" w:rsidR="00F478FF" w:rsidRPr="008508A5" w:rsidRDefault="00F478FF" w:rsidP="001263A3">
            <w:pPr>
              <w:rPr>
                <w:rFonts w:ascii="Arial" w:eastAsia="Times New Roman" w:hAnsi="Arial" w:cs="Arial"/>
                <w:sz w:val="20"/>
                <w:szCs w:val="20"/>
              </w:rPr>
            </w:pPr>
            <w:r w:rsidRPr="008508A5">
              <w:rPr>
                <w:rFonts w:ascii="Arial" w:eastAsia="Times New Roman" w:hAnsi="Arial" w:cs="Arial"/>
                <w:b/>
                <w:bCs/>
                <w:sz w:val="20"/>
                <w:szCs w:val="20"/>
              </w:rPr>
              <w:t>Intervention</w:t>
            </w:r>
            <w:r>
              <w:rPr>
                <w:rFonts w:ascii="Arial" w:eastAsia="Times New Roman" w:hAnsi="Arial" w:cs="Arial"/>
                <w:sz w:val="20"/>
                <w:szCs w:val="20"/>
              </w:rPr>
              <w:t>: DOACs</w:t>
            </w:r>
          </w:p>
          <w:p w14:paraId="66EAD752" w14:textId="77777777" w:rsidR="00F478FF" w:rsidRPr="008508A5" w:rsidRDefault="00F478FF" w:rsidP="001263A3">
            <w:pPr>
              <w:rPr>
                <w:rFonts w:ascii="Arial" w:eastAsia="Times New Roman" w:hAnsi="Arial" w:cs="Arial"/>
                <w:sz w:val="20"/>
                <w:szCs w:val="20"/>
              </w:rPr>
            </w:pPr>
            <w:r w:rsidRPr="008508A5">
              <w:rPr>
                <w:rFonts w:ascii="Arial" w:eastAsia="Times New Roman" w:hAnsi="Arial" w:cs="Arial"/>
                <w:b/>
                <w:bCs/>
                <w:sz w:val="20"/>
                <w:szCs w:val="20"/>
              </w:rPr>
              <w:t>Comparison</w:t>
            </w:r>
            <w:r w:rsidRPr="008508A5">
              <w:rPr>
                <w:rFonts w:ascii="Arial" w:eastAsia="Times New Roman" w:hAnsi="Arial" w:cs="Arial"/>
                <w:sz w:val="20"/>
                <w:szCs w:val="20"/>
              </w:rPr>
              <w:t xml:space="preserve">: Warfarin </w:t>
            </w:r>
          </w:p>
        </w:tc>
      </w:tr>
      <w:tr w:rsidR="00F478FF" w:rsidRPr="008508A5" w14:paraId="241B6216" w14:textId="77777777" w:rsidTr="001263A3">
        <w:trPr>
          <w:cantSplit/>
          <w:tblHeader/>
        </w:trPr>
        <w:tc>
          <w:tcPr>
            <w:tcW w:w="1008" w:type="pct"/>
            <w:vMerge w:val="restart"/>
            <w:tcBorders>
              <w:right w:val="single" w:sz="6" w:space="0" w:color="EFEFEF"/>
            </w:tcBorders>
            <w:shd w:val="clear" w:color="auto" w:fill="4A442A" w:themeFill="background2" w:themeFillShade="40"/>
            <w:vAlign w:val="center"/>
            <w:hideMark/>
          </w:tcPr>
          <w:p w14:paraId="4AE64680" w14:textId="77777777" w:rsidR="00F478FF" w:rsidRPr="00356380" w:rsidRDefault="00F478FF" w:rsidP="001263A3">
            <w:pPr>
              <w:pStyle w:val="NormalWeb"/>
              <w:spacing w:before="0" w:beforeAutospacing="0" w:after="0" w:afterAutospacing="0"/>
              <w:jc w:val="center"/>
              <w:rPr>
                <w:rFonts w:ascii="Arial" w:hAnsi="Arial" w:cs="Arial"/>
                <w:color w:val="FFFFFF"/>
                <w:sz w:val="20"/>
                <w:szCs w:val="20"/>
              </w:rPr>
            </w:pPr>
            <w:r w:rsidRPr="00356380">
              <w:rPr>
                <w:rFonts w:ascii="Arial" w:hAnsi="Arial" w:cs="Arial"/>
                <w:color w:val="FFFFFF"/>
                <w:sz w:val="20"/>
                <w:szCs w:val="20"/>
                <w:shd w:val="clear" w:color="auto" w:fill="4A442A" w:themeFill="background2" w:themeFillShade="40"/>
              </w:rPr>
              <w:t>Outcome</w:t>
            </w:r>
            <w:r w:rsidRPr="00356380">
              <w:rPr>
                <w:rFonts w:ascii="Arial" w:hAnsi="Arial" w:cs="Arial"/>
                <w:color w:val="FFFFFF"/>
                <w:sz w:val="20"/>
                <w:szCs w:val="20"/>
              </w:rPr>
              <w:t>s</w:t>
            </w:r>
          </w:p>
        </w:tc>
        <w:tc>
          <w:tcPr>
            <w:tcW w:w="1343" w:type="pct"/>
            <w:gridSpan w:val="2"/>
            <w:tcBorders>
              <w:top w:val="single" w:sz="6" w:space="0" w:color="EFEFEF"/>
              <w:right w:val="single" w:sz="6" w:space="0" w:color="EFEFEF"/>
            </w:tcBorders>
            <w:shd w:val="clear" w:color="auto" w:fill="E0E0E0"/>
            <w:hideMark/>
          </w:tcPr>
          <w:p w14:paraId="7F2B6C4C" w14:textId="77777777" w:rsidR="00F478FF" w:rsidRPr="00356380" w:rsidRDefault="00F478FF" w:rsidP="001263A3">
            <w:pPr>
              <w:pStyle w:val="NormalWeb"/>
              <w:spacing w:before="0" w:beforeAutospacing="0" w:after="0" w:afterAutospacing="0"/>
              <w:jc w:val="center"/>
              <w:rPr>
                <w:rFonts w:ascii="Arial" w:hAnsi="Arial" w:cs="Arial"/>
                <w:b/>
                <w:bCs/>
                <w:sz w:val="20"/>
                <w:szCs w:val="20"/>
              </w:rPr>
            </w:pPr>
            <w:r w:rsidRPr="00356380">
              <w:rPr>
                <w:rFonts w:ascii="Arial" w:hAnsi="Arial" w:cs="Arial"/>
                <w:b/>
                <w:bCs/>
                <w:sz w:val="20"/>
                <w:szCs w:val="20"/>
              </w:rPr>
              <w:t>Anticipated absolute effects</w:t>
            </w:r>
            <w:r w:rsidRPr="00356380">
              <w:rPr>
                <w:rFonts w:ascii="Arial" w:hAnsi="Arial" w:cs="Arial"/>
                <w:b/>
                <w:bCs/>
                <w:sz w:val="20"/>
                <w:szCs w:val="20"/>
                <w:vertAlign w:val="superscript"/>
              </w:rPr>
              <w:t>*</w:t>
            </w:r>
            <w:r w:rsidRPr="00356380">
              <w:rPr>
                <w:rFonts w:ascii="Arial" w:hAnsi="Arial" w:cs="Arial"/>
                <w:b/>
                <w:bCs/>
                <w:sz w:val="20"/>
                <w:szCs w:val="20"/>
              </w:rPr>
              <w:t xml:space="preserve"> </w:t>
            </w:r>
            <w:r w:rsidRPr="00356380">
              <w:rPr>
                <w:rFonts w:ascii="Arial" w:hAnsi="Arial" w:cs="Arial"/>
                <w:sz w:val="20"/>
                <w:szCs w:val="20"/>
              </w:rPr>
              <w:t>(95% CI)</w:t>
            </w:r>
            <w:r w:rsidRPr="00356380">
              <w:rPr>
                <w:rFonts w:ascii="Arial" w:hAnsi="Arial" w:cs="Arial"/>
                <w:b/>
                <w:bCs/>
                <w:sz w:val="20"/>
                <w:szCs w:val="20"/>
              </w:rPr>
              <w:t xml:space="preserve"> </w:t>
            </w:r>
          </w:p>
        </w:tc>
        <w:tc>
          <w:tcPr>
            <w:tcW w:w="824" w:type="pct"/>
            <w:vMerge w:val="restart"/>
            <w:tcBorders>
              <w:right w:val="single" w:sz="6" w:space="0" w:color="EFEFEF"/>
            </w:tcBorders>
            <w:shd w:val="clear" w:color="auto" w:fill="4A442A" w:themeFill="background2" w:themeFillShade="40"/>
            <w:vAlign w:val="center"/>
            <w:hideMark/>
          </w:tcPr>
          <w:p w14:paraId="3FE68A9B" w14:textId="77777777" w:rsidR="00F478FF" w:rsidRPr="008508A5" w:rsidRDefault="00F478FF" w:rsidP="001263A3">
            <w:pPr>
              <w:pStyle w:val="NormalWeb"/>
              <w:spacing w:before="0" w:beforeAutospacing="0" w:after="0" w:afterAutospacing="0"/>
              <w:jc w:val="center"/>
              <w:rPr>
                <w:rFonts w:ascii="Arial" w:hAnsi="Arial" w:cs="Arial"/>
                <w:color w:val="FFFFFF"/>
                <w:sz w:val="20"/>
                <w:szCs w:val="20"/>
              </w:rPr>
            </w:pPr>
            <w:r w:rsidRPr="00356380">
              <w:rPr>
                <w:rFonts w:ascii="Arial" w:hAnsi="Arial" w:cs="Arial"/>
                <w:color w:val="FFFFFF"/>
                <w:sz w:val="20"/>
                <w:szCs w:val="20"/>
              </w:rPr>
              <w:t xml:space="preserve">Relative </w:t>
            </w:r>
            <w:r w:rsidRPr="008508A5">
              <w:rPr>
                <w:rFonts w:ascii="Arial" w:hAnsi="Arial" w:cs="Arial"/>
                <w:color w:val="FFFFFF"/>
                <w:sz w:val="20"/>
                <w:szCs w:val="20"/>
              </w:rPr>
              <w:t>effect</w:t>
            </w:r>
            <w:r w:rsidRPr="008508A5">
              <w:rPr>
                <w:rFonts w:ascii="Arial" w:hAnsi="Arial" w:cs="Arial"/>
                <w:color w:val="FFFFFF"/>
                <w:sz w:val="20"/>
                <w:szCs w:val="20"/>
              </w:rPr>
              <w:br/>
              <w:t xml:space="preserve">(95% CI) </w:t>
            </w:r>
          </w:p>
        </w:tc>
        <w:tc>
          <w:tcPr>
            <w:tcW w:w="555" w:type="pct"/>
            <w:vMerge w:val="restart"/>
            <w:tcBorders>
              <w:right w:val="single" w:sz="6" w:space="0" w:color="EFEFEF"/>
            </w:tcBorders>
            <w:shd w:val="clear" w:color="auto" w:fill="4A442A" w:themeFill="background2" w:themeFillShade="40"/>
            <w:vAlign w:val="center"/>
            <w:hideMark/>
          </w:tcPr>
          <w:p w14:paraId="0A6044D6" w14:textId="77777777" w:rsidR="00F478FF" w:rsidRPr="008508A5" w:rsidRDefault="00F478FF" w:rsidP="001263A3">
            <w:pPr>
              <w:pStyle w:val="NormalWeb"/>
              <w:spacing w:before="0" w:beforeAutospacing="0" w:after="0" w:afterAutospacing="0"/>
              <w:jc w:val="center"/>
              <w:rPr>
                <w:rFonts w:ascii="Arial" w:hAnsi="Arial" w:cs="Arial"/>
                <w:color w:val="FFFFFF"/>
                <w:sz w:val="20"/>
                <w:szCs w:val="20"/>
              </w:rPr>
            </w:pPr>
            <w:r w:rsidRPr="008508A5">
              <w:rPr>
                <w:rFonts w:ascii="Arial" w:hAnsi="Arial" w:cs="Arial"/>
                <w:color w:val="FFFFFF"/>
                <w:sz w:val="20"/>
                <w:szCs w:val="20"/>
              </w:rPr>
              <w:t xml:space="preserve">№ of participants </w:t>
            </w:r>
            <w:r w:rsidRPr="008508A5">
              <w:rPr>
                <w:rFonts w:ascii="Arial" w:hAnsi="Arial" w:cs="Arial"/>
                <w:color w:val="FFFFFF"/>
                <w:sz w:val="20"/>
                <w:szCs w:val="20"/>
              </w:rPr>
              <w:br/>
              <w:t xml:space="preserve">(studies) </w:t>
            </w:r>
          </w:p>
        </w:tc>
        <w:tc>
          <w:tcPr>
            <w:tcW w:w="873" w:type="pct"/>
            <w:vMerge w:val="restart"/>
            <w:tcBorders>
              <w:right w:val="single" w:sz="6" w:space="0" w:color="EFEFEF"/>
            </w:tcBorders>
            <w:shd w:val="clear" w:color="auto" w:fill="4A442A" w:themeFill="background2" w:themeFillShade="40"/>
            <w:vAlign w:val="center"/>
            <w:hideMark/>
          </w:tcPr>
          <w:p w14:paraId="2A3D8821" w14:textId="77777777" w:rsidR="00F478FF" w:rsidRPr="008508A5" w:rsidRDefault="00F478FF" w:rsidP="001263A3">
            <w:pPr>
              <w:pStyle w:val="NormalWeb"/>
              <w:spacing w:before="0" w:beforeAutospacing="0" w:after="0" w:afterAutospacing="0"/>
              <w:jc w:val="center"/>
              <w:rPr>
                <w:rFonts w:ascii="Arial" w:hAnsi="Arial" w:cs="Arial"/>
                <w:color w:val="FFFFFF"/>
                <w:sz w:val="20"/>
                <w:szCs w:val="20"/>
              </w:rPr>
            </w:pPr>
            <w:r w:rsidRPr="008508A5">
              <w:rPr>
                <w:rFonts w:ascii="Arial" w:hAnsi="Arial" w:cs="Arial"/>
                <w:color w:val="FFFFFF"/>
                <w:sz w:val="20"/>
                <w:szCs w:val="20"/>
              </w:rPr>
              <w:t>Certainty of the evidence</w:t>
            </w:r>
            <w:r w:rsidRPr="008508A5">
              <w:rPr>
                <w:rFonts w:ascii="Arial" w:hAnsi="Arial" w:cs="Arial"/>
                <w:color w:val="FFFFFF"/>
                <w:sz w:val="20"/>
                <w:szCs w:val="20"/>
              </w:rPr>
              <w:br/>
              <w:t xml:space="preserve">(GRADE) </w:t>
            </w:r>
          </w:p>
        </w:tc>
        <w:tc>
          <w:tcPr>
            <w:tcW w:w="397" w:type="pct"/>
            <w:vMerge w:val="restart"/>
            <w:tcBorders>
              <w:right w:val="single" w:sz="6" w:space="0" w:color="EFEFEF"/>
            </w:tcBorders>
            <w:shd w:val="clear" w:color="auto" w:fill="4A442A" w:themeFill="background2" w:themeFillShade="40"/>
            <w:vAlign w:val="center"/>
            <w:hideMark/>
          </w:tcPr>
          <w:p w14:paraId="159C3148" w14:textId="77777777" w:rsidR="00F478FF" w:rsidRPr="008508A5" w:rsidRDefault="00F478FF" w:rsidP="001263A3">
            <w:pPr>
              <w:pStyle w:val="NormalWeb"/>
              <w:spacing w:before="0" w:beforeAutospacing="0" w:after="0" w:afterAutospacing="0"/>
              <w:jc w:val="center"/>
              <w:rPr>
                <w:rFonts w:ascii="Arial" w:hAnsi="Arial" w:cs="Arial"/>
                <w:color w:val="FFFFFF"/>
                <w:sz w:val="20"/>
                <w:szCs w:val="20"/>
              </w:rPr>
            </w:pPr>
            <w:r w:rsidRPr="008508A5">
              <w:rPr>
                <w:rFonts w:ascii="Arial" w:hAnsi="Arial" w:cs="Arial"/>
                <w:color w:val="FFFFFF"/>
                <w:sz w:val="20"/>
                <w:szCs w:val="20"/>
              </w:rPr>
              <w:t>Comments</w:t>
            </w:r>
          </w:p>
        </w:tc>
      </w:tr>
      <w:tr w:rsidR="00F478FF" w:rsidRPr="008508A5" w14:paraId="781064A1" w14:textId="77777777" w:rsidTr="001263A3">
        <w:trPr>
          <w:cantSplit/>
          <w:tblHeader/>
        </w:trPr>
        <w:tc>
          <w:tcPr>
            <w:tcW w:w="1008" w:type="pct"/>
            <w:vMerge/>
            <w:tcBorders>
              <w:right w:val="single" w:sz="6" w:space="0" w:color="EFEFEF"/>
            </w:tcBorders>
            <w:shd w:val="clear" w:color="auto" w:fill="4A442A" w:themeFill="background2" w:themeFillShade="40"/>
            <w:vAlign w:val="center"/>
            <w:hideMark/>
          </w:tcPr>
          <w:p w14:paraId="498EB20B" w14:textId="77777777" w:rsidR="00F478FF" w:rsidRPr="008508A5" w:rsidRDefault="00F478FF" w:rsidP="001263A3">
            <w:pPr>
              <w:rPr>
                <w:rFonts w:ascii="Arial" w:hAnsi="Arial" w:cs="Arial"/>
                <w:color w:val="FFFFFF"/>
                <w:sz w:val="20"/>
                <w:szCs w:val="20"/>
              </w:rPr>
            </w:pPr>
          </w:p>
        </w:tc>
        <w:tc>
          <w:tcPr>
            <w:tcW w:w="588" w:type="pct"/>
            <w:tcBorders>
              <w:top w:val="single" w:sz="6" w:space="0" w:color="EFEFEF"/>
              <w:right w:val="single" w:sz="6" w:space="0" w:color="EFEFEF"/>
            </w:tcBorders>
            <w:shd w:val="clear" w:color="auto" w:fill="E0E0E0"/>
            <w:hideMark/>
          </w:tcPr>
          <w:p w14:paraId="025137DA" w14:textId="77777777" w:rsidR="00F478FF" w:rsidRPr="008508A5" w:rsidRDefault="00F478FF" w:rsidP="001263A3">
            <w:pPr>
              <w:pStyle w:val="first-letter"/>
              <w:spacing w:before="0" w:beforeAutospacing="0" w:after="0" w:afterAutospacing="0"/>
              <w:jc w:val="center"/>
              <w:rPr>
                <w:rFonts w:ascii="Arial" w:hAnsi="Arial" w:cs="Arial"/>
                <w:b/>
                <w:bCs/>
                <w:sz w:val="20"/>
                <w:szCs w:val="20"/>
              </w:rPr>
            </w:pPr>
            <w:proofErr w:type="spellStart"/>
            <w:r w:rsidRPr="008508A5">
              <w:rPr>
                <w:rFonts w:ascii="Arial" w:hAnsi="Arial" w:cs="Arial"/>
                <w:b/>
                <w:bCs/>
                <w:sz w:val="20"/>
                <w:szCs w:val="20"/>
              </w:rPr>
              <w:t>Risk</w:t>
            </w:r>
            <w:proofErr w:type="spellEnd"/>
            <w:r w:rsidRPr="008508A5">
              <w:rPr>
                <w:rFonts w:ascii="Arial" w:hAnsi="Arial" w:cs="Arial"/>
                <w:b/>
                <w:bCs/>
                <w:sz w:val="20"/>
                <w:szCs w:val="20"/>
              </w:rPr>
              <w:t xml:space="preserve"> </w:t>
            </w:r>
            <w:proofErr w:type="spellStart"/>
            <w:r w:rsidRPr="008508A5">
              <w:rPr>
                <w:rFonts w:ascii="Arial" w:hAnsi="Arial" w:cs="Arial"/>
                <w:b/>
                <w:bCs/>
                <w:sz w:val="20"/>
                <w:szCs w:val="20"/>
              </w:rPr>
              <w:t>with</w:t>
            </w:r>
            <w:proofErr w:type="spellEnd"/>
            <w:r w:rsidRPr="008508A5">
              <w:rPr>
                <w:rFonts w:ascii="Arial" w:hAnsi="Arial" w:cs="Arial"/>
                <w:b/>
                <w:bCs/>
                <w:sz w:val="20"/>
                <w:szCs w:val="20"/>
              </w:rPr>
              <w:t xml:space="preserve"> Warfarin</w:t>
            </w:r>
          </w:p>
        </w:tc>
        <w:tc>
          <w:tcPr>
            <w:tcW w:w="755" w:type="pct"/>
            <w:tcBorders>
              <w:top w:val="single" w:sz="6" w:space="0" w:color="EFEFEF"/>
              <w:right w:val="single" w:sz="6" w:space="0" w:color="EFEFEF"/>
            </w:tcBorders>
            <w:shd w:val="clear" w:color="auto" w:fill="E0E0E0"/>
            <w:hideMark/>
          </w:tcPr>
          <w:p w14:paraId="00D8503C" w14:textId="77777777" w:rsidR="00F478FF" w:rsidRPr="008508A5" w:rsidRDefault="00F478FF" w:rsidP="001263A3">
            <w:pPr>
              <w:pStyle w:val="first-letter"/>
              <w:spacing w:before="0" w:beforeAutospacing="0" w:after="0" w:afterAutospacing="0"/>
              <w:jc w:val="center"/>
              <w:rPr>
                <w:rFonts w:ascii="Arial" w:hAnsi="Arial" w:cs="Arial"/>
                <w:b/>
                <w:bCs/>
                <w:sz w:val="20"/>
                <w:szCs w:val="20"/>
              </w:rPr>
            </w:pPr>
            <w:proofErr w:type="spellStart"/>
            <w:r w:rsidRPr="008508A5">
              <w:rPr>
                <w:rFonts w:ascii="Arial" w:hAnsi="Arial" w:cs="Arial"/>
                <w:b/>
                <w:bCs/>
                <w:sz w:val="20"/>
                <w:szCs w:val="20"/>
              </w:rPr>
              <w:t>Risk</w:t>
            </w:r>
            <w:proofErr w:type="spellEnd"/>
            <w:r w:rsidRPr="008508A5">
              <w:rPr>
                <w:rFonts w:ascii="Arial" w:hAnsi="Arial" w:cs="Arial"/>
                <w:b/>
                <w:bCs/>
                <w:sz w:val="20"/>
                <w:szCs w:val="20"/>
              </w:rPr>
              <w:t xml:space="preserve"> </w:t>
            </w:r>
            <w:proofErr w:type="spellStart"/>
            <w:r w:rsidRPr="008508A5">
              <w:rPr>
                <w:rFonts w:ascii="Arial" w:hAnsi="Arial" w:cs="Arial"/>
                <w:b/>
                <w:bCs/>
                <w:sz w:val="20"/>
                <w:szCs w:val="20"/>
              </w:rPr>
              <w:t>with</w:t>
            </w:r>
            <w:proofErr w:type="spellEnd"/>
            <w:r w:rsidRPr="008508A5">
              <w:rPr>
                <w:rFonts w:ascii="Arial" w:hAnsi="Arial" w:cs="Arial"/>
                <w:b/>
                <w:bCs/>
                <w:sz w:val="20"/>
                <w:szCs w:val="20"/>
              </w:rPr>
              <w:t xml:space="preserve"> DOACS</w:t>
            </w:r>
          </w:p>
        </w:tc>
        <w:tc>
          <w:tcPr>
            <w:tcW w:w="824" w:type="pct"/>
            <w:vMerge/>
            <w:tcBorders>
              <w:right w:val="single" w:sz="6" w:space="0" w:color="EFEFEF"/>
            </w:tcBorders>
            <w:shd w:val="clear" w:color="auto" w:fill="4A442A" w:themeFill="background2" w:themeFillShade="40"/>
            <w:vAlign w:val="center"/>
            <w:hideMark/>
          </w:tcPr>
          <w:p w14:paraId="058ABD75" w14:textId="77777777" w:rsidR="00F478FF" w:rsidRPr="008508A5" w:rsidRDefault="00F478FF" w:rsidP="001263A3">
            <w:pPr>
              <w:rPr>
                <w:rFonts w:ascii="Arial" w:hAnsi="Arial" w:cs="Arial"/>
                <w:color w:val="FFFFFF"/>
                <w:sz w:val="20"/>
                <w:szCs w:val="20"/>
              </w:rPr>
            </w:pPr>
          </w:p>
        </w:tc>
        <w:tc>
          <w:tcPr>
            <w:tcW w:w="555" w:type="pct"/>
            <w:vMerge/>
            <w:tcBorders>
              <w:right w:val="single" w:sz="6" w:space="0" w:color="EFEFEF"/>
            </w:tcBorders>
            <w:shd w:val="clear" w:color="auto" w:fill="4A442A" w:themeFill="background2" w:themeFillShade="40"/>
            <w:vAlign w:val="center"/>
            <w:hideMark/>
          </w:tcPr>
          <w:p w14:paraId="3692E9B2" w14:textId="77777777" w:rsidR="00F478FF" w:rsidRPr="008508A5" w:rsidRDefault="00F478FF" w:rsidP="001263A3">
            <w:pPr>
              <w:rPr>
                <w:rFonts w:ascii="Arial" w:hAnsi="Arial" w:cs="Arial"/>
                <w:color w:val="FFFFFF"/>
                <w:sz w:val="20"/>
                <w:szCs w:val="20"/>
              </w:rPr>
            </w:pPr>
          </w:p>
        </w:tc>
        <w:tc>
          <w:tcPr>
            <w:tcW w:w="873" w:type="pct"/>
            <w:vMerge/>
            <w:tcBorders>
              <w:right w:val="single" w:sz="6" w:space="0" w:color="EFEFEF"/>
            </w:tcBorders>
            <w:shd w:val="clear" w:color="auto" w:fill="4A442A" w:themeFill="background2" w:themeFillShade="40"/>
            <w:vAlign w:val="center"/>
            <w:hideMark/>
          </w:tcPr>
          <w:p w14:paraId="3D1C2138" w14:textId="77777777" w:rsidR="00F478FF" w:rsidRPr="008508A5" w:rsidRDefault="00F478FF" w:rsidP="001263A3">
            <w:pPr>
              <w:rPr>
                <w:rFonts w:ascii="Arial" w:hAnsi="Arial" w:cs="Arial"/>
                <w:color w:val="FFFFFF"/>
                <w:sz w:val="20"/>
                <w:szCs w:val="20"/>
              </w:rPr>
            </w:pPr>
          </w:p>
        </w:tc>
        <w:tc>
          <w:tcPr>
            <w:tcW w:w="397" w:type="pct"/>
            <w:vMerge/>
            <w:tcBorders>
              <w:right w:val="single" w:sz="6" w:space="0" w:color="EFEFEF"/>
            </w:tcBorders>
            <w:shd w:val="clear" w:color="auto" w:fill="4A442A" w:themeFill="background2" w:themeFillShade="40"/>
            <w:vAlign w:val="center"/>
            <w:hideMark/>
          </w:tcPr>
          <w:p w14:paraId="7B333F4D" w14:textId="77777777" w:rsidR="00F478FF" w:rsidRPr="008508A5" w:rsidRDefault="00F478FF" w:rsidP="001263A3">
            <w:pPr>
              <w:rPr>
                <w:rFonts w:ascii="Arial" w:hAnsi="Arial" w:cs="Arial"/>
                <w:color w:val="FFFFFF"/>
                <w:sz w:val="20"/>
                <w:szCs w:val="20"/>
              </w:rPr>
            </w:pPr>
          </w:p>
        </w:tc>
      </w:tr>
      <w:tr w:rsidR="00F478FF" w:rsidRPr="008508A5" w14:paraId="20E894DB" w14:textId="77777777" w:rsidTr="001263A3">
        <w:trPr>
          <w:cantSplit/>
        </w:trPr>
        <w:tc>
          <w:tcPr>
            <w:tcW w:w="1008" w:type="pct"/>
            <w:tcBorders>
              <w:top w:val="single" w:sz="6" w:space="0" w:color="000000"/>
              <w:left w:val="nil"/>
              <w:bottom w:val="single" w:sz="6" w:space="0" w:color="000000"/>
              <w:right w:val="nil"/>
            </w:tcBorders>
            <w:vAlign w:val="center"/>
            <w:hideMark/>
          </w:tcPr>
          <w:p w14:paraId="27F177D7" w14:textId="77777777" w:rsidR="00F478FF" w:rsidRPr="008508A5" w:rsidRDefault="00F478FF" w:rsidP="001263A3">
            <w:pPr>
              <w:jc w:val="center"/>
              <w:rPr>
                <w:rFonts w:ascii="Arial" w:eastAsia="Times New Roman" w:hAnsi="Arial" w:cs="Arial"/>
                <w:sz w:val="20"/>
                <w:szCs w:val="20"/>
              </w:rPr>
            </w:pPr>
            <w:r w:rsidRPr="008508A5">
              <w:rPr>
                <w:rStyle w:val="label"/>
                <w:rFonts w:ascii="Arial" w:eastAsia="Times New Roman" w:hAnsi="Arial" w:cs="Arial"/>
                <w:sz w:val="20"/>
                <w:szCs w:val="20"/>
              </w:rPr>
              <w:t>Stroke or systemic embolism</w:t>
            </w:r>
            <w:r w:rsidRPr="008508A5">
              <w:rPr>
                <w:rFonts w:ascii="Arial" w:eastAsia="Times New Roman" w:hAnsi="Arial" w:cs="Arial"/>
                <w:sz w:val="20"/>
                <w:szCs w:val="20"/>
              </w:rPr>
              <w:t xml:space="preserve"> </w:t>
            </w:r>
          </w:p>
        </w:tc>
        <w:tc>
          <w:tcPr>
            <w:tcW w:w="588" w:type="pct"/>
            <w:tcBorders>
              <w:top w:val="single" w:sz="6" w:space="0" w:color="000000"/>
              <w:left w:val="nil"/>
              <w:bottom w:val="single" w:sz="6" w:space="0" w:color="000000"/>
              <w:right w:val="nil"/>
            </w:tcBorders>
            <w:vAlign w:val="center"/>
            <w:hideMark/>
          </w:tcPr>
          <w:p w14:paraId="758F369D" w14:textId="77777777" w:rsidR="00F478FF" w:rsidRPr="000C333E" w:rsidRDefault="00F478FF" w:rsidP="001263A3">
            <w:pPr>
              <w:rPr>
                <w:rFonts w:ascii="Arial" w:eastAsia="Times New Roman" w:hAnsi="Arial" w:cs="Arial"/>
                <w:sz w:val="20"/>
                <w:szCs w:val="20"/>
              </w:rPr>
            </w:pPr>
            <w:r w:rsidRPr="000C333E">
              <w:rPr>
                <w:rFonts w:ascii="Arial" w:eastAsia="Times New Roman" w:hAnsi="Arial" w:cs="Arial"/>
                <w:sz w:val="20"/>
                <w:szCs w:val="20"/>
              </w:rPr>
              <w:t xml:space="preserve">35 per 1.000 </w:t>
            </w:r>
          </w:p>
        </w:tc>
        <w:tc>
          <w:tcPr>
            <w:tcW w:w="755" w:type="pct"/>
            <w:tcBorders>
              <w:top w:val="single" w:sz="6" w:space="0" w:color="000000"/>
              <w:left w:val="nil"/>
              <w:bottom w:val="single" w:sz="6" w:space="0" w:color="000000"/>
              <w:right w:val="nil"/>
            </w:tcBorders>
            <w:shd w:val="clear" w:color="auto" w:fill="EBEBEB"/>
            <w:hideMark/>
          </w:tcPr>
          <w:p w14:paraId="122F1821" w14:textId="77777777" w:rsidR="00F478FF" w:rsidRPr="000C333E" w:rsidRDefault="00F478FF" w:rsidP="001263A3">
            <w:pPr>
              <w:jc w:val="center"/>
              <w:rPr>
                <w:rFonts w:ascii="Arial" w:eastAsia="Times New Roman" w:hAnsi="Arial" w:cs="Arial"/>
                <w:sz w:val="20"/>
                <w:szCs w:val="20"/>
              </w:rPr>
            </w:pPr>
            <w:r w:rsidRPr="000C333E">
              <w:rPr>
                <w:rStyle w:val="cell-value"/>
                <w:rFonts w:ascii="Arial" w:eastAsia="Times New Roman" w:hAnsi="Arial" w:cs="Arial"/>
                <w:b/>
                <w:bCs/>
              </w:rPr>
              <w:t>28 per 1.000</w:t>
            </w:r>
            <w:r w:rsidRPr="000C333E">
              <w:rPr>
                <w:rFonts w:ascii="Arial" w:eastAsia="Times New Roman" w:hAnsi="Arial" w:cs="Arial"/>
                <w:sz w:val="20"/>
                <w:szCs w:val="20"/>
              </w:rPr>
              <w:br/>
            </w:r>
            <w:r w:rsidRPr="000C333E">
              <w:rPr>
                <w:rStyle w:val="cell-value"/>
                <w:rFonts w:ascii="Arial" w:eastAsia="Times New Roman" w:hAnsi="Arial" w:cs="Arial"/>
              </w:rPr>
              <w:t>(24 to 33)</w:t>
            </w:r>
            <w:r w:rsidRPr="000C333E">
              <w:rPr>
                <w:rFonts w:ascii="Arial" w:eastAsia="Times New Roman" w:hAnsi="Arial" w:cs="Arial"/>
                <w:sz w:val="20"/>
                <w:szCs w:val="20"/>
              </w:rPr>
              <w:t xml:space="preserve"> </w:t>
            </w:r>
          </w:p>
        </w:tc>
        <w:tc>
          <w:tcPr>
            <w:tcW w:w="824" w:type="pct"/>
            <w:tcBorders>
              <w:top w:val="single" w:sz="6" w:space="0" w:color="000000"/>
              <w:left w:val="nil"/>
              <w:bottom w:val="single" w:sz="6" w:space="0" w:color="000000"/>
              <w:right w:val="nil"/>
            </w:tcBorders>
            <w:vAlign w:val="center"/>
            <w:hideMark/>
          </w:tcPr>
          <w:p w14:paraId="33BD5D77" w14:textId="77777777" w:rsidR="00F478FF" w:rsidRPr="000C333E" w:rsidRDefault="00F478FF" w:rsidP="001263A3">
            <w:pPr>
              <w:jc w:val="center"/>
              <w:rPr>
                <w:rFonts w:ascii="Arial" w:eastAsia="Times New Roman" w:hAnsi="Arial" w:cs="Arial"/>
                <w:sz w:val="20"/>
                <w:szCs w:val="20"/>
              </w:rPr>
            </w:pPr>
            <w:r w:rsidRPr="000C333E">
              <w:rPr>
                <w:rStyle w:val="block"/>
                <w:rFonts w:ascii="Arial" w:eastAsia="Times New Roman" w:hAnsi="Arial" w:cs="Arial"/>
              </w:rPr>
              <w:t>RR 0.80</w:t>
            </w:r>
            <w:r w:rsidRPr="000C333E">
              <w:rPr>
                <w:rFonts w:ascii="Arial" w:eastAsia="Times New Roman" w:hAnsi="Arial" w:cs="Arial"/>
                <w:sz w:val="20"/>
                <w:szCs w:val="20"/>
              </w:rPr>
              <w:br/>
            </w:r>
            <w:r w:rsidRPr="000C333E">
              <w:rPr>
                <w:rStyle w:val="cell"/>
                <w:rFonts w:ascii="Arial" w:eastAsia="Times New Roman" w:hAnsi="Arial" w:cs="Arial"/>
                <w:sz w:val="20"/>
                <w:szCs w:val="20"/>
              </w:rPr>
              <w:t>(0.68 to 0.94)</w:t>
            </w:r>
            <w:r w:rsidRPr="000C333E">
              <w:rPr>
                <w:rFonts w:ascii="Arial" w:eastAsia="Times New Roman" w:hAnsi="Arial" w:cs="Arial"/>
                <w:sz w:val="20"/>
                <w:szCs w:val="20"/>
              </w:rPr>
              <w:t xml:space="preserve"> </w:t>
            </w:r>
          </w:p>
        </w:tc>
        <w:tc>
          <w:tcPr>
            <w:tcW w:w="555" w:type="pct"/>
            <w:tcBorders>
              <w:top w:val="single" w:sz="6" w:space="0" w:color="000000"/>
              <w:left w:val="nil"/>
              <w:bottom w:val="single" w:sz="6" w:space="0" w:color="000000"/>
              <w:right w:val="nil"/>
            </w:tcBorders>
            <w:vAlign w:val="center"/>
            <w:hideMark/>
          </w:tcPr>
          <w:p w14:paraId="02B76FE8" w14:textId="77777777" w:rsidR="00F478FF" w:rsidRPr="000C333E" w:rsidRDefault="00F478FF" w:rsidP="001263A3">
            <w:pPr>
              <w:jc w:val="center"/>
              <w:rPr>
                <w:rFonts w:ascii="Arial" w:eastAsia="Times New Roman" w:hAnsi="Arial" w:cs="Arial"/>
                <w:sz w:val="20"/>
                <w:szCs w:val="20"/>
              </w:rPr>
            </w:pPr>
            <w:r w:rsidRPr="000C333E">
              <w:rPr>
                <w:rFonts w:ascii="Arial" w:eastAsia="Times New Roman" w:hAnsi="Arial" w:cs="Arial"/>
                <w:sz w:val="20"/>
                <w:szCs w:val="20"/>
              </w:rPr>
              <w:t>18686</w:t>
            </w:r>
            <w:r w:rsidRPr="000C333E">
              <w:rPr>
                <w:rFonts w:ascii="Arial" w:eastAsia="Times New Roman" w:hAnsi="Arial" w:cs="Arial"/>
                <w:sz w:val="20"/>
                <w:szCs w:val="20"/>
              </w:rPr>
              <w:br/>
              <w:t xml:space="preserve">(8 RCTs) </w:t>
            </w:r>
          </w:p>
        </w:tc>
        <w:tc>
          <w:tcPr>
            <w:tcW w:w="873" w:type="pct"/>
            <w:tcBorders>
              <w:top w:val="single" w:sz="6" w:space="0" w:color="000000"/>
              <w:left w:val="nil"/>
              <w:bottom w:val="single" w:sz="6" w:space="0" w:color="000000"/>
              <w:right w:val="nil"/>
            </w:tcBorders>
            <w:vAlign w:val="center"/>
            <w:hideMark/>
          </w:tcPr>
          <w:p w14:paraId="524CCA4E" w14:textId="77777777" w:rsidR="00F478FF" w:rsidRPr="000C333E" w:rsidRDefault="00F478FF" w:rsidP="001263A3">
            <w:pPr>
              <w:jc w:val="center"/>
              <w:rPr>
                <w:rFonts w:ascii="Arial" w:eastAsia="Times New Roman" w:hAnsi="Arial" w:cs="Arial"/>
                <w:sz w:val="20"/>
                <w:szCs w:val="20"/>
              </w:rPr>
            </w:pPr>
            <w:r w:rsidRPr="000C333E">
              <w:rPr>
                <w:rStyle w:val="quality-sign"/>
                <w:rFonts w:ascii="Cambria Math" w:eastAsia="Times New Roman" w:hAnsi="Cambria Math" w:cs="Cambria Math"/>
                <w:sz w:val="20"/>
                <w:szCs w:val="20"/>
              </w:rPr>
              <w:t>⨁⨁⨁◯</w:t>
            </w:r>
            <w:r w:rsidRPr="000C333E">
              <w:rPr>
                <w:rFonts w:ascii="Arial" w:eastAsia="Times New Roman" w:hAnsi="Arial" w:cs="Arial"/>
                <w:sz w:val="20"/>
                <w:szCs w:val="20"/>
              </w:rPr>
              <w:br/>
            </w:r>
            <w:r w:rsidRPr="000C333E">
              <w:rPr>
                <w:rStyle w:val="quality-text"/>
                <w:rFonts w:ascii="Arial" w:eastAsia="Times New Roman" w:hAnsi="Arial" w:cs="Arial"/>
                <w:sz w:val="20"/>
                <w:szCs w:val="20"/>
              </w:rPr>
              <w:t>MODERATE</w:t>
            </w:r>
            <w:r w:rsidRPr="000C333E">
              <w:rPr>
                <w:rFonts w:ascii="Arial" w:eastAsia="Times New Roman" w:hAnsi="Arial" w:cs="Arial"/>
                <w:sz w:val="20"/>
                <w:szCs w:val="20"/>
              </w:rPr>
              <w:t xml:space="preserve"> </w:t>
            </w:r>
            <w:r w:rsidRPr="000C333E">
              <w:rPr>
                <w:rFonts w:ascii="Arial" w:eastAsia="Times New Roman" w:hAnsi="Arial" w:cs="Arial"/>
                <w:sz w:val="20"/>
                <w:szCs w:val="20"/>
                <w:vertAlign w:val="superscript"/>
              </w:rPr>
              <w:t>a</w:t>
            </w:r>
          </w:p>
        </w:tc>
        <w:tc>
          <w:tcPr>
            <w:tcW w:w="397" w:type="pct"/>
            <w:tcBorders>
              <w:top w:val="single" w:sz="6" w:space="0" w:color="000000"/>
              <w:left w:val="nil"/>
              <w:bottom w:val="single" w:sz="6" w:space="0" w:color="000000"/>
              <w:right w:val="nil"/>
            </w:tcBorders>
            <w:vAlign w:val="center"/>
            <w:hideMark/>
          </w:tcPr>
          <w:p w14:paraId="66FA06ED" w14:textId="77777777" w:rsidR="00F478FF" w:rsidRPr="008508A5" w:rsidRDefault="00F478FF" w:rsidP="001263A3">
            <w:pPr>
              <w:jc w:val="center"/>
              <w:rPr>
                <w:rFonts w:ascii="Arial" w:eastAsia="Times New Roman" w:hAnsi="Arial" w:cs="Arial"/>
                <w:sz w:val="20"/>
                <w:szCs w:val="20"/>
              </w:rPr>
            </w:pPr>
          </w:p>
        </w:tc>
      </w:tr>
      <w:tr w:rsidR="00F478FF" w:rsidRPr="008508A5" w14:paraId="5FFC1860" w14:textId="77777777" w:rsidTr="001263A3">
        <w:trPr>
          <w:cantSplit/>
        </w:trPr>
        <w:tc>
          <w:tcPr>
            <w:tcW w:w="1008" w:type="pct"/>
            <w:tcBorders>
              <w:top w:val="single" w:sz="6" w:space="0" w:color="000000"/>
              <w:left w:val="nil"/>
              <w:bottom w:val="single" w:sz="6" w:space="0" w:color="000000"/>
              <w:right w:val="nil"/>
            </w:tcBorders>
            <w:vAlign w:val="center"/>
            <w:hideMark/>
          </w:tcPr>
          <w:p w14:paraId="15A35879" w14:textId="77777777" w:rsidR="00F478FF" w:rsidRPr="008508A5" w:rsidRDefault="00F478FF" w:rsidP="001263A3">
            <w:pPr>
              <w:jc w:val="center"/>
              <w:rPr>
                <w:rFonts w:ascii="Arial" w:eastAsia="Times New Roman" w:hAnsi="Arial" w:cs="Arial"/>
                <w:sz w:val="20"/>
                <w:szCs w:val="20"/>
              </w:rPr>
            </w:pPr>
            <w:r w:rsidRPr="008508A5">
              <w:rPr>
                <w:rStyle w:val="label"/>
                <w:rFonts w:ascii="Arial" w:eastAsia="Times New Roman" w:hAnsi="Arial" w:cs="Arial"/>
                <w:sz w:val="20"/>
                <w:szCs w:val="20"/>
              </w:rPr>
              <w:t xml:space="preserve">Intracranial </w:t>
            </w:r>
            <w:proofErr w:type="spellStart"/>
            <w:r w:rsidRPr="008508A5">
              <w:rPr>
                <w:rStyle w:val="label"/>
                <w:rFonts w:ascii="Arial" w:eastAsia="Times New Roman" w:hAnsi="Arial" w:cs="Arial"/>
                <w:sz w:val="20"/>
                <w:szCs w:val="20"/>
              </w:rPr>
              <w:t>Haemorrhage</w:t>
            </w:r>
            <w:proofErr w:type="spellEnd"/>
            <w:r w:rsidRPr="008508A5">
              <w:rPr>
                <w:rFonts w:ascii="Arial" w:eastAsia="Times New Roman" w:hAnsi="Arial" w:cs="Arial"/>
                <w:sz w:val="20"/>
                <w:szCs w:val="20"/>
              </w:rPr>
              <w:t xml:space="preserve"> </w:t>
            </w:r>
          </w:p>
        </w:tc>
        <w:tc>
          <w:tcPr>
            <w:tcW w:w="588" w:type="pct"/>
            <w:tcBorders>
              <w:top w:val="single" w:sz="6" w:space="0" w:color="000000"/>
              <w:left w:val="nil"/>
              <w:bottom w:val="single" w:sz="6" w:space="0" w:color="000000"/>
              <w:right w:val="nil"/>
            </w:tcBorders>
            <w:vAlign w:val="center"/>
            <w:hideMark/>
          </w:tcPr>
          <w:p w14:paraId="3685D54D" w14:textId="77777777" w:rsidR="00F478FF" w:rsidRPr="000C333E" w:rsidRDefault="00F478FF" w:rsidP="001263A3">
            <w:pPr>
              <w:rPr>
                <w:rFonts w:ascii="Arial" w:eastAsia="Times New Roman" w:hAnsi="Arial" w:cs="Arial"/>
                <w:sz w:val="20"/>
                <w:szCs w:val="20"/>
              </w:rPr>
            </w:pPr>
            <w:r w:rsidRPr="000C333E">
              <w:rPr>
                <w:rFonts w:ascii="Arial" w:eastAsia="Times New Roman" w:hAnsi="Arial" w:cs="Arial"/>
                <w:sz w:val="20"/>
                <w:szCs w:val="20"/>
              </w:rPr>
              <w:t xml:space="preserve">15 per 1.000 </w:t>
            </w:r>
          </w:p>
        </w:tc>
        <w:tc>
          <w:tcPr>
            <w:tcW w:w="755" w:type="pct"/>
            <w:tcBorders>
              <w:top w:val="single" w:sz="6" w:space="0" w:color="000000"/>
              <w:left w:val="nil"/>
              <w:bottom w:val="single" w:sz="6" w:space="0" w:color="000000"/>
              <w:right w:val="nil"/>
            </w:tcBorders>
            <w:shd w:val="clear" w:color="auto" w:fill="EBEBEB"/>
            <w:hideMark/>
          </w:tcPr>
          <w:p w14:paraId="4754BF6B" w14:textId="77777777" w:rsidR="00F478FF" w:rsidRPr="000C333E" w:rsidRDefault="00F478FF" w:rsidP="001263A3">
            <w:pPr>
              <w:jc w:val="center"/>
              <w:rPr>
                <w:rFonts w:ascii="Arial" w:eastAsia="Times New Roman" w:hAnsi="Arial" w:cs="Arial"/>
                <w:sz w:val="20"/>
                <w:szCs w:val="20"/>
              </w:rPr>
            </w:pPr>
            <w:r w:rsidRPr="000C333E">
              <w:rPr>
                <w:rStyle w:val="cell-value"/>
                <w:rFonts w:ascii="Arial" w:eastAsia="Times New Roman" w:hAnsi="Arial" w:cs="Arial"/>
                <w:b/>
                <w:bCs/>
              </w:rPr>
              <w:t>6 per 1.000</w:t>
            </w:r>
            <w:r w:rsidRPr="000C333E">
              <w:rPr>
                <w:rFonts w:ascii="Arial" w:eastAsia="Times New Roman" w:hAnsi="Arial" w:cs="Arial"/>
                <w:sz w:val="20"/>
                <w:szCs w:val="20"/>
              </w:rPr>
              <w:br/>
            </w:r>
            <w:r w:rsidRPr="000C333E">
              <w:rPr>
                <w:rStyle w:val="cell-value"/>
                <w:rFonts w:ascii="Arial" w:eastAsia="Times New Roman" w:hAnsi="Arial" w:cs="Arial"/>
              </w:rPr>
              <w:t>(4 to 10)</w:t>
            </w:r>
            <w:r w:rsidRPr="000C333E">
              <w:rPr>
                <w:rFonts w:ascii="Arial" w:eastAsia="Times New Roman" w:hAnsi="Arial" w:cs="Arial"/>
                <w:sz w:val="20"/>
                <w:szCs w:val="20"/>
              </w:rPr>
              <w:t xml:space="preserve"> </w:t>
            </w:r>
          </w:p>
        </w:tc>
        <w:tc>
          <w:tcPr>
            <w:tcW w:w="824" w:type="pct"/>
            <w:tcBorders>
              <w:top w:val="single" w:sz="6" w:space="0" w:color="000000"/>
              <w:left w:val="nil"/>
              <w:bottom w:val="single" w:sz="6" w:space="0" w:color="000000"/>
              <w:right w:val="nil"/>
            </w:tcBorders>
            <w:vAlign w:val="center"/>
            <w:hideMark/>
          </w:tcPr>
          <w:p w14:paraId="19403A8C" w14:textId="77777777" w:rsidR="00F478FF" w:rsidRPr="000C333E" w:rsidRDefault="00F478FF" w:rsidP="001263A3">
            <w:pPr>
              <w:jc w:val="center"/>
              <w:rPr>
                <w:rFonts w:ascii="Arial" w:eastAsia="Times New Roman" w:hAnsi="Arial" w:cs="Arial"/>
                <w:sz w:val="20"/>
                <w:szCs w:val="20"/>
              </w:rPr>
            </w:pPr>
            <w:r w:rsidRPr="000C333E">
              <w:rPr>
                <w:rStyle w:val="block"/>
                <w:rFonts w:ascii="Arial" w:eastAsia="Times New Roman" w:hAnsi="Arial" w:cs="Arial"/>
              </w:rPr>
              <w:t>RR 0.40</w:t>
            </w:r>
            <w:r w:rsidRPr="000C333E">
              <w:rPr>
                <w:rFonts w:ascii="Arial" w:eastAsia="Times New Roman" w:hAnsi="Arial" w:cs="Arial"/>
                <w:sz w:val="20"/>
                <w:szCs w:val="20"/>
              </w:rPr>
              <w:br/>
            </w:r>
            <w:r w:rsidRPr="000C333E">
              <w:rPr>
                <w:rStyle w:val="cell"/>
                <w:rFonts w:ascii="Arial" w:eastAsia="Times New Roman" w:hAnsi="Arial" w:cs="Arial"/>
                <w:sz w:val="20"/>
                <w:szCs w:val="20"/>
              </w:rPr>
              <w:t>(0.24 to 0.66)</w:t>
            </w:r>
            <w:r w:rsidRPr="000C333E">
              <w:rPr>
                <w:rFonts w:ascii="Arial" w:eastAsia="Times New Roman" w:hAnsi="Arial" w:cs="Arial"/>
                <w:sz w:val="20"/>
                <w:szCs w:val="20"/>
              </w:rPr>
              <w:t xml:space="preserve"> </w:t>
            </w:r>
          </w:p>
        </w:tc>
        <w:tc>
          <w:tcPr>
            <w:tcW w:w="555" w:type="pct"/>
            <w:tcBorders>
              <w:top w:val="single" w:sz="6" w:space="0" w:color="000000"/>
              <w:left w:val="nil"/>
              <w:bottom w:val="single" w:sz="6" w:space="0" w:color="000000"/>
              <w:right w:val="nil"/>
            </w:tcBorders>
            <w:vAlign w:val="center"/>
            <w:hideMark/>
          </w:tcPr>
          <w:p w14:paraId="5012DC0F" w14:textId="77777777" w:rsidR="00F478FF" w:rsidRPr="000C333E" w:rsidRDefault="00F478FF" w:rsidP="001263A3">
            <w:pPr>
              <w:jc w:val="center"/>
              <w:rPr>
                <w:rFonts w:ascii="Arial" w:eastAsia="Times New Roman" w:hAnsi="Arial" w:cs="Arial"/>
                <w:sz w:val="20"/>
                <w:szCs w:val="20"/>
              </w:rPr>
            </w:pPr>
            <w:r w:rsidRPr="000C333E">
              <w:rPr>
                <w:rFonts w:ascii="Arial" w:eastAsia="Times New Roman" w:hAnsi="Arial" w:cs="Arial"/>
                <w:sz w:val="20"/>
                <w:szCs w:val="20"/>
              </w:rPr>
              <w:t>15487</w:t>
            </w:r>
            <w:r w:rsidRPr="000C333E">
              <w:rPr>
                <w:rFonts w:ascii="Arial" w:eastAsia="Times New Roman" w:hAnsi="Arial" w:cs="Arial"/>
                <w:sz w:val="20"/>
                <w:szCs w:val="20"/>
              </w:rPr>
              <w:br/>
              <w:t xml:space="preserve">(6 RCTs) </w:t>
            </w:r>
          </w:p>
        </w:tc>
        <w:tc>
          <w:tcPr>
            <w:tcW w:w="873" w:type="pct"/>
            <w:tcBorders>
              <w:top w:val="single" w:sz="6" w:space="0" w:color="000000"/>
              <w:left w:val="nil"/>
              <w:bottom w:val="single" w:sz="6" w:space="0" w:color="000000"/>
              <w:right w:val="nil"/>
            </w:tcBorders>
            <w:vAlign w:val="center"/>
            <w:hideMark/>
          </w:tcPr>
          <w:p w14:paraId="7E91050F" w14:textId="77777777" w:rsidR="00F478FF" w:rsidRPr="000C333E" w:rsidRDefault="00F478FF" w:rsidP="001263A3">
            <w:pPr>
              <w:jc w:val="center"/>
              <w:rPr>
                <w:rFonts w:ascii="Arial" w:eastAsia="Times New Roman" w:hAnsi="Arial" w:cs="Arial"/>
                <w:sz w:val="20"/>
                <w:szCs w:val="20"/>
              </w:rPr>
            </w:pPr>
            <w:r w:rsidRPr="000C333E">
              <w:rPr>
                <w:rStyle w:val="quality-sign"/>
                <w:rFonts w:ascii="Cambria Math" w:eastAsia="Times New Roman" w:hAnsi="Cambria Math" w:cs="Cambria Math"/>
                <w:sz w:val="20"/>
                <w:szCs w:val="20"/>
              </w:rPr>
              <w:t>⨁⨁◯◯</w:t>
            </w:r>
            <w:r w:rsidRPr="000C333E">
              <w:rPr>
                <w:rFonts w:ascii="Arial" w:eastAsia="Times New Roman" w:hAnsi="Arial" w:cs="Arial"/>
                <w:sz w:val="20"/>
                <w:szCs w:val="20"/>
              </w:rPr>
              <w:br/>
            </w:r>
            <w:r w:rsidRPr="000C333E">
              <w:rPr>
                <w:rStyle w:val="quality-text"/>
                <w:rFonts w:ascii="Arial" w:eastAsia="Times New Roman" w:hAnsi="Arial" w:cs="Arial"/>
                <w:sz w:val="20"/>
                <w:szCs w:val="20"/>
              </w:rPr>
              <w:t>LOW</w:t>
            </w:r>
            <w:r w:rsidRPr="000C333E">
              <w:rPr>
                <w:rFonts w:ascii="Arial" w:eastAsia="Times New Roman" w:hAnsi="Arial" w:cs="Arial"/>
                <w:sz w:val="20"/>
                <w:szCs w:val="20"/>
              </w:rPr>
              <w:t xml:space="preserve"> </w:t>
            </w:r>
            <w:proofErr w:type="spellStart"/>
            <w:r w:rsidRPr="000C333E">
              <w:rPr>
                <w:rFonts w:ascii="Arial" w:eastAsia="Times New Roman" w:hAnsi="Arial" w:cs="Arial"/>
                <w:sz w:val="20"/>
                <w:szCs w:val="20"/>
                <w:vertAlign w:val="superscript"/>
              </w:rPr>
              <w:t>a</w:t>
            </w:r>
            <w:r w:rsidRPr="000C333E">
              <w:rPr>
                <w:rStyle w:val="comma"/>
                <w:rFonts w:ascii="Arial" w:eastAsia="Times New Roman" w:hAnsi="Arial" w:cs="Arial"/>
                <w:sz w:val="20"/>
                <w:szCs w:val="20"/>
                <w:vertAlign w:val="superscript"/>
              </w:rPr>
              <w:t>,</w:t>
            </w:r>
            <w:r w:rsidRPr="000C333E">
              <w:rPr>
                <w:rFonts w:ascii="Arial" w:eastAsia="Times New Roman" w:hAnsi="Arial" w:cs="Arial"/>
                <w:sz w:val="20"/>
                <w:szCs w:val="20"/>
                <w:vertAlign w:val="superscript"/>
              </w:rPr>
              <w:t>b</w:t>
            </w:r>
            <w:proofErr w:type="spellEnd"/>
          </w:p>
        </w:tc>
        <w:tc>
          <w:tcPr>
            <w:tcW w:w="397" w:type="pct"/>
            <w:tcBorders>
              <w:top w:val="single" w:sz="6" w:space="0" w:color="000000"/>
              <w:left w:val="nil"/>
              <w:bottom w:val="single" w:sz="6" w:space="0" w:color="000000"/>
              <w:right w:val="nil"/>
            </w:tcBorders>
            <w:vAlign w:val="center"/>
            <w:hideMark/>
          </w:tcPr>
          <w:p w14:paraId="1C7C19F2" w14:textId="77777777" w:rsidR="00F478FF" w:rsidRPr="008508A5" w:rsidRDefault="00F478FF" w:rsidP="001263A3">
            <w:pPr>
              <w:jc w:val="center"/>
              <w:rPr>
                <w:rFonts w:ascii="Arial" w:eastAsia="Times New Roman" w:hAnsi="Arial" w:cs="Arial"/>
                <w:sz w:val="20"/>
                <w:szCs w:val="20"/>
              </w:rPr>
            </w:pPr>
          </w:p>
        </w:tc>
      </w:tr>
      <w:tr w:rsidR="00F478FF" w:rsidRPr="008508A5" w14:paraId="1AD68EF8" w14:textId="77777777" w:rsidTr="001263A3">
        <w:trPr>
          <w:cantSplit/>
        </w:trPr>
        <w:tc>
          <w:tcPr>
            <w:tcW w:w="1008" w:type="pct"/>
            <w:tcBorders>
              <w:top w:val="single" w:sz="6" w:space="0" w:color="000000"/>
              <w:left w:val="nil"/>
              <w:bottom w:val="single" w:sz="6" w:space="0" w:color="000000"/>
              <w:right w:val="nil"/>
            </w:tcBorders>
            <w:vAlign w:val="center"/>
            <w:hideMark/>
          </w:tcPr>
          <w:p w14:paraId="6540154E" w14:textId="77777777" w:rsidR="00F478FF" w:rsidRPr="008508A5" w:rsidRDefault="00F478FF" w:rsidP="001263A3">
            <w:pPr>
              <w:jc w:val="center"/>
              <w:rPr>
                <w:rFonts w:ascii="Arial" w:eastAsia="Times New Roman" w:hAnsi="Arial" w:cs="Arial"/>
                <w:sz w:val="20"/>
                <w:szCs w:val="20"/>
              </w:rPr>
            </w:pPr>
            <w:r w:rsidRPr="008508A5">
              <w:rPr>
                <w:rStyle w:val="label"/>
                <w:rFonts w:ascii="Arial" w:eastAsia="Times New Roman" w:hAnsi="Arial" w:cs="Arial"/>
                <w:sz w:val="20"/>
                <w:szCs w:val="20"/>
              </w:rPr>
              <w:t>Major Bleeding</w:t>
            </w:r>
            <w:r w:rsidRPr="008508A5">
              <w:rPr>
                <w:rFonts w:ascii="Arial" w:eastAsia="Times New Roman" w:hAnsi="Arial" w:cs="Arial"/>
                <w:sz w:val="20"/>
                <w:szCs w:val="20"/>
              </w:rPr>
              <w:t xml:space="preserve"> </w:t>
            </w:r>
          </w:p>
        </w:tc>
        <w:tc>
          <w:tcPr>
            <w:tcW w:w="588" w:type="pct"/>
            <w:tcBorders>
              <w:top w:val="single" w:sz="6" w:space="0" w:color="000000"/>
              <w:left w:val="nil"/>
              <w:bottom w:val="single" w:sz="6" w:space="0" w:color="000000"/>
              <w:right w:val="nil"/>
            </w:tcBorders>
            <w:vAlign w:val="center"/>
            <w:hideMark/>
          </w:tcPr>
          <w:p w14:paraId="667E49E5" w14:textId="77777777" w:rsidR="00F478FF" w:rsidRPr="000C333E" w:rsidRDefault="00F478FF" w:rsidP="001263A3">
            <w:pPr>
              <w:rPr>
                <w:rFonts w:ascii="Arial" w:eastAsia="Times New Roman" w:hAnsi="Arial" w:cs="Arial"/>
                <w:sz w:val="20"/>
                <w:szCs w:val="20"/>
              </w:rPr>
            </w:pPr>
            <w:r w:rsidRPr="000C333E">
              <w:rPr>
                <w:rFonts w:ascii="Arial" w:eastAsia="Times New Roman" w:hAnsi="Arial" w:cs="Arial"/>
                <w:sz w:val="20"/>
                <w:szCs w:val="20"/>
              </w:rPr>
              <w:t xml:space="preserve">61 per 1.000 </w:t>
            </w:r>
          </w:p>
        </w:tc>
        <w:tc>
          <w:tcPr>
            <w:tcW w:w="755" w:type="pct"/>
            <w:tcBorders>
              <w:top w:val="single" w:sz="6" w:space="0" w:color="000000"/>
              <w:left w:val="nil"/>
              <w:bottom w:val="single" w:sz="6" w:space="0" w:color="000000"/>
              <w:right w:val="nil"/>
            </w:tcBorders>
            <w:shd w:val="clear" w:color="auto" w:fill="EBEBEB"/>
            <w:hideMark/>
          </w:tcPr>
          <w:p w14:paraId="15E5BA00" w14:textId="77777777" w:rsidR="00F478FF" w:rsidRPr="000C333E" w:rsidRDefault="00F478FF" w:rsidP="001263A3">
            <w:pPr>
              <w:jc w:val="center"/>
              <w:rPr>
                <w:rFonts w:ascii="Arial" w:eastAsia="Times New Roman" w:hAnsi="Arial" w:cs="Arial"/>
                <w:sz w:val="20"/>
                <w:szCs w:val="20"/>
              </w:rPr>
            </w:pPr>
            <w:r w:rsidRPr="000C333E">
              <w:rPr>
                <w:rStyle w:val="cell-value"/>
                <w:rFonts w:ascii="Arial" w:eastAsia="Times New Roman" w:hAnsi="Arial" w:cs="Arial"/>
                <w:b/>
                <w:bCs/>
              </w:rPr>
              <w:t>51 per 1.000</w:t>
            </w:r>
            <w:r w:rsidRPr="000C333E">
              <w:rPr>
                <w:rFonts w:ascii="Arial" w:eastAsia="Times New Roman" w:hAnsi="Arial" w:cs="Arial"/>
                <w:sz w:val="20"/>
                <w:szCs w:val="20"/>
              </w:rPr>
              <w:br/>
            </w:r>
            <w:r w:rsidRPr="000C333E">
              <w:rPr>
                <w:rStyle w:val="cell-value"/>
                <w:rFonts w:ascii="Arial" w:eastAsia="Times New Roman" w:hAnsi="Arial" w:cs="Arial"/>
              </w:rPr>
              <w:t>(34 to 76)</w:t>
            </w:r>
            <w:r w:rsidRPr="000C333E">
              <w:rPr>
                <w:rFonts w:ascii="Arial" w:eastAsia="Times New Roman" w:hAnsi="Arial" w:cs="Arial"/>
                <w:sz w:val="20"/>
                <w:szCs w:val="20"/>
              </w:rPr>
              <w:t xml:space="preserve"> </w:t>
            </w:r>
          </w:p>
        </w:tc>
        <w:tc>
          <w:tcPr>
            <w:tcW w:w="824" w:type="pct"/>
            <w:tcBorders>
              <w:top w:val="single" w:sz="6" w:space="0" w:color="000000"/>
              <w:left w:val="nil"/>
              <w:bottom w:val="single" w:sz="6" w:space="0" w:color="000000"/>
              <w:right w:val="nil"/>
            </w:tcBorders>
            <w:vAlign w:val="center"/>
            <w:hideMark/>
          </w:tcPr>
          <w:p w14:paraId="291D4361" w14:textId="77777777" w:rsidR="00F478FF" w:rsidRPr="000C333E" w:rsidRDefault="00F478FF" w:rsidP="001263A3">
            <w:pPr>
              <w:jc w:val="center"/>
              <w:rPr>
                <w:rFonts w:ascii="Arial" w:eastAsia="Times New Roman" w:hAnsi="Arial" w:cs="Arial"/>
                <w:sz w:val="20"/>
                <w:szCs w:val="20"/>
              </w:rPr>
            </w:pPr>
            <w:r w:rsidRPr="000C333E">
              <w:rPr>
                <w:rStyle w:val="block"/>
                <w:rFonts w:ascii="Arial" w:eastAsia="Times New Roman" w:hAnsi="Arial" w:cs="Arial"/>
              </w:rPr>
              <w:t>RR 0.83</w:t>
            </w:r>
            <w:r w:rsidRPr="000C333E">
              <w:rPr>
                <w:rFonts w:ascii="Arial" w:eastAsia="Times New Roman" w:hAnsi="Arial" w:cs="Arial"/>
                <w:sz w:val="20"/>
                <w:szCs w:val="20"/>
              </w:rPr>
              <w:br/>
            </w:r>
            <w:r w:rsidRPr="000C333E">
              <w:rPr>
                <w:rStyle w:val="cell"/>
                <w:rFonts w:ascii="Arial" w:eastAsia="Times New Roman" w:hAnsi="Arial" w:cs="Arial"/>
                <w:sz w:val="20"/>
                <w:szCs w:val="20"/>
              </w:rPr>
              <w:t>(0.56 to 1.24)</w:t>
            </w:r>
            <w:r w:rsidRPr="000C333E">
              <w:rPr>
                <w:rFonts w:ascii="Arial" w:eastAsia="Times New Roman" w:hAnsi="Arial" w:cs="Arial"/>
                <w:sz w:val="20"/>
                <w:szCs w:val="20"/>
              </w:rPr>
              <w:t xml:space="preserve"> </w:t>
            </w:r>
          </w:p>
        </w:tc>
        <w:tc>
          <w:tcPr>
            <w:tcW w:w="555" w:type="pct"/>
            <w:tcBorders>
              <w:top w:val="single" w:sz="6" w:space="0" w:color="000000"/>
              <w:left w:val="nil"/>
              <w:bottom w:val="single" w:sz="6" w:space="0" w:color="000000"/>
              <w:right w:val="nil"/>
            </w:tcBorders>
            <w:vAlign w:val="center"/>
            <w:hideMark/>
          </w:tcPr>
          <w:p w14:paraId="62AEAE9D" w14:textId="77777777" w:rsidR="00F478FF" w:rsidRPr="000C333E" w:rsidRDefault="00F478FF" w:rsidP="001263A3">
            <w:pPr>
              <w:jc w:val="center"/>
              <w:rPr>
                <w:rFonts w:ascii="Arial" w:eastAsia="Times New Roman" w:hAnsi="Arial" w:cs="Arial"/>
                <w:sz w:val="20"/>
                <w:szCs w:val="20"/>
              </w:rPr>
            </w:pPr>
            <w:r w:rsidRPr="000C333E">
              <w:rPr>
                <w:rFonts w:ascii="Arial" w:eastAsia="Times New Roman" w:hAnsi="Arial" w:cs="Arial"/>
                <w:sz w:val="20"/>
                <w:szCs w:val="20"/>
              </w:rPr>
              <w:t>16826</w:t>
            </w:r>
            <w:r w:rsidRPr="000C333E">
              <w:rPr>
                <w:rFonts w:ascii="Arial" w:eastAsia="Times New Roman" w:hAnsi="Arial" w:cs="Arial"/>
                <w:sz w:val="20"/>
                <w:szCs w:val="20"/>
              </w:rPr>
              <w:br/>
              <w:t xml:space="preserve">(7 RCTs) </w:t>
            </w:r>
          </w:p>
        </w:tc>
        <w:tc>
          <w:tcPr>
            <w:tcW w:w="873" w:type="pct"/>
            <w:tcBorders>
              <w:top w:val="single" w:sz="6" w:space="0" w:color="000000"/>
              <w:left w:val="nil"/>
              <w:bottom w:val="single" w:sz="6" w:space="0" w:color="000000"/>
              <w:right w:val="nil"/>
            </w:tcBorders>
            <w:vAlign w:val="center"/>
            <w:hideMark/>
          </w:tcPr>
          <w:p w14:paraId="626D96B9" w14:textId="77777777" w:rsidR="00F478FF" w:rsidRPr="000C333E" w:rsidRDefault="00F478FF" w:rsidP="001263A3">
            <w:pPr>
              <w:jc w:val="center"/>
              <w:rPr>
                <w:rFonts w:ascii="Arial" w:eastAsia="Times New Roman" w:hAnsi="Arial" w:cs="Arial"/>
                <w:sz w:val="20"/>
                <w:szCs w:val="20"/>
              </w:rPr>
            </w:pPr>
            <w:r w:rsidRPr="000C333E">
              <w:rPr>
                <w:rStyle w:val="quality-sign"/>
                <w:rFonts w:ascii="Cambria Math" w:eastAsia="Times New Roman" w:hAnsi="Cambria Math" w:cs="Cambria Math"/>
                <w:sz w:val="20"/>
                <w:szCs w:val="20"/>
              </w:rPr>
              <w:t>⨁⨁◯◯</w:t>
            </w:r>
            <w:r w:rsidRPr="000C333E">
              <w:rPr>
                <w:rFonts w:ascii="Arial" w:eastAsia="Times New Roman" w:hAnsi="Arial" w:cs="Arial"/>
                <w:sz w:val="20"/>
                <w:szCs w:val="20"/>
              </w:rPr>
              <w:br/>
            </w:r>
            <w:r w:rsidRPr="000C333E">
              <w:rPr>
                <w:rStyle w:val="quality-text"/>
                <w:rFonts w:ascii="Arial" w:eastAsia="Times New Roman" w:hAnsi="Arial" w:cs="Arial"/>
                <w:sz w:val="20"/>
                <w:szCs w:val="20"/>
              </w:rPr>
              <w:t>LOW</w:t>
            </w:r>
            <w:r w:rsidRPr="000C333E">
              <w:rPr>
                <w:rFonts w:ascii="Arial" w:eastAsia="Times New Roman" w:hAnsi="Arial" w:cs="Arial"/>
                <w:sz w:val="20"/>
                <w:szCs w:val="20"/>
              </w:rPr>
              <w:t xml:space="preserve"> </w:t>
            </w:r>
            <w:proofErr w:type="spellStart"/>
            <w:r w:rsidRPr="000C333E">
              <w:rPr>
                <w:rFonts w:ascii="Arial" w:eastAsia="Times New Roman" w:hAnsi="Arial" w:cs="Arial"/>
                <w:sz w:val="20"/>
                <w:szCs w:val="20"/>
                <w:vertAlign w:val="superscript"/>
              </w:rPr>
              <w:t>a</w:t>
            </w:r>
            <w:r w:rsidRPr="000C333E">
              <w:rPr>
                <w:rStyle w:val="comma"/>
                <w:rFonts w:ascii="Arial" w:eastAsia="Times New Roman" w:hAnsi="Arial" w:cs="Arial"/>
                <w:sz w:val="20"/>
                <w:szCs w:val="20"/>
                <w:vertAlign w:val="superscript"/>
              </w:rPr>
              <w:t>,</w:t>
            </w:r>
            <w:r w:rsidRPr="000C333E">
              <w:rPr>
                <w:rFonts w:ascii="Arial" w:eastAsia="Times New Roman" w:hAnsi="Arial" w:cs="Arial"/>
                <w:sz w:val="20"/>
                <w:szCs w:val="20"/>
                <w:vertAlign w:val="superscript"/>
              </w:rPr>
              <w:t>b</w:t>
            </w:r>
            <w:proofErr w:type="spellEnd"/>
          </w:p>
        </w:tc>
        <w:tc>
          <w:tcPr>
            <w:tcW w:w="397" w:type="pct"/>
            <w:tcBorders>
              <w:top w:val="single" w:sz="6" w:space="0" w:color="000000"/>
              <w:left w:val="nil"/>
              <w:bottom w:val="single" w:sz="6" w:space="0" w:color="000000"/>
              <w:right w:val="nil"/>
            </w:tcBorders>
            <w:vAlign w:val="center"/>
            <w:hideMark/>
          </w:tcPr>
          <w:p w14:paraId="213C214F" w14:textId="77777777" w:rsidR="00F478FF" w:rsidRPr="008508A5" w:rsidRDefault="00F478FF" w:rsidP="001263A3">
            <w:pPr>
              <w:jc w:val="center"/>
              <w:rPr>
                <w:rFonts w:ascii="Arial" w:eastAsia="Times New Roman" w:hAnsi="Arial" w:cs="Arial"/>
                <w:sz w:val="20"/>
                <w:szCs w:val="20"/>
              </w:rPr>
            </w:pPr>
          </w:p>
        </w:tc>
      </w:tr>
      <w:tr w:rsidR="00F478FF" w:rsidRPr="00930C07" w14:paraId="523EECD6" w14:textId="77777777" w:rsidTr="001263A3">
        <w:trPr>
          <w:cantSplit/>
        </w:trPr>
        <w:tc>
          <w:tcPr>
            <w:tcW w:w="5000" w:type="pct"/>
            <w:gridSpan w:val="7"/>
            <w:tcBorders>
              <w:top w:val="single" w:sz="6" w:space="0" w:color="000000"/>
              <w:left w:val="nil"/>
              <w:bottom w:val="single" w:sz="6" w:space="0" w:color="000000"/>
              <w:right w:val="nil"/>
            </w:tcBorders>
            <w:vAlign w:val="center"/>
            <w:hideMark/>
          </w:tcPr>
          <w:p w14:paraId="34378D92" w14:textId="77777777" w:rsidR="00F478FF" w:rsidRPr="008508A5" w:rsidRDefault="00F478FF" w:rsidP="001263A3">
            <w:pPr>
              <w:rPr>
                <w:rFonts w:ascii="Arial" w:eastAsia="Times New Roman" w:hAnsi="Arial" w:cs="Arial"/>
                <w:sz w:val="20"/>
                <w:szCs w:val="20"/>
              </w:rPr>
            </w:pPr>
            <w:r w:rsidRPr="008508A5">
              <w:rPr>
                <w:rFonts w:ascii="Arial" w:eastAsia="Times New Roman" w:hAnsi="Arial" w:cs="Arial"/>
                <w:sz w:val="20"/>
                <w:szCs w:val="20"/>
              </w:rPr>
              <w:t>*</w:t>
            </w:r>
            <w:r w:rsidRPr="008508A5">
              <w:rPr>
                <w:rFonts w:ascii="Arial" w:eastAsia="Times New Roman" w:hAnsi="Arial" w:cs="Arial"/>
                <w:b/>
                <w:bCs/>
                <w:sz w:val="20"/>
                <w:szCs w:val="20"/>
              </w:rPr>
              <w:t>The risk in the intervention group</w:t>
            </w:r>
            <w:r w:rsidRPr="008508A5">
              <w:rPr>
                <w:rFonts w:ascii="Arial" w:eastAsia="Times New Roman" w:hAnsi="Arial" w:cs="Arial"/>
                <w:sz w:val="20"/>
                <w:szCs w:val="20"/>
              </w:rPr>
              <w:t xml:space="preserve"> (and its 95% confidence interval) </w:t>
            </w:r>
            <w:proofErr w:type="gramStart"/>
            <w:r w:rsidRPr="008508A5">
              <w:rPr>
                <w:rFonts w:ascii="Arial" w:eastAsia="Times New Roman" w:hAnsi="Arial" w:cs="Arial"/>
                <w:sz w:val="20"/>
                <w:szCs w:val="20"/>
              </w:rPr>
              <w:t>is based</w:t>
            </w:r>
            <w:proofErr w:type="gramEnd"/>
            <w:r w:rsidRPr="008508A5">
              <w:rPr>
                <w:rFonts w:ascii="Arial" w:eastAsia="Times New Roman" w:hAnsi="Arial" w:cs="Arial"/>
                <w:sz w:val="20"/>
                <w:szCs w:val="20"/>
              </w:rPr>
              <w:t xml:space="preserve"> on the assumed risk in the comparison group and the </w:t>
            </w:r>
            <w:r w:rsidRPr="008508A5">
              <w:rPr>
                <w:rFonts w:ascii="Arial" w:eastAsia="Times New Roman" w:hAnsi="Arial" w:cs="Arial"/>
                <w:b/>
                <w:bCs/>
                <w:sz w:val="20"/>
                <w:szCs w:val="20"/>
              </w:rPr>
              <w:t>relative effect</w:t>
            </w:r>
            <w:r w:rsidRPr="008508A5">
              <w:rPr>
                <w:rFonts w:ascii="Arial" w:eastAsia="Times New Roman" w:hAnsi="Arial" w:cs="Arial"/>
                <w:sz w:val="20"/>
                <w:szCs w:val="20"/>
              </w:rPr>
              <w:t xml:space="preserve"> of the intervention (and its 95% CI). </w:t>
            </w:r>
            <w:r w:rsidRPr="008508A5">
              <w:rPr>
                <w:rFonts w:ascii="Arial" w:eastAsia="Times New Roman" w:hAnsi="Arial" w:cs="Arial"/>
                <w:sz w:val="20"/>
                <w:szCs w:val="20"/>
              </w:rPr>
              <w:br/>
            </w:r>
            <w:r w:rsidRPr="008508A5">
              <w:rPr>
                <w:rFonts w:ascii="Arial" w:eastAsia="Times New Roman" w:hAnsi="Arial" w:cs="Arial"/>
                <w:sz w:val="20"/>
                <w:szCs w:val="20"/>
              </w:rPr>
              <w:br/>
            </w:r>
            <w:r w:rsidRPr="008508A5">
              <w:rPr>
                <w:rFonts w:ascii="Arial" w:eastAsia="Times New Roman" w:hAnsi="Arial" w:cs="Arial"/>
                <w:b/>
                <w:bCs/>
                <w:sz w:val="20"/>
                <w:szCs w:val="20"/>
              </w:rPr>
              <w:t>CI:</w:t>
            </w:r>
            <w:r w:rsidRPr="008508A5">
              <w:rPr>
                <w:rFonts w:ascii="Arial" w:eastAsia="Times New Roman" w:hAnsi="Arial" w:cs="Arial"/>
                <w:sz w:val="20"/>
                <w:szCs w:val="20"/>
              </w:rPr>
              <w:t xml:space="preserve"> Confidence interval; </w:t>
            </w:r>
            <w:r w:rsidRPr="008508A5">
              <w:rPr>
                <w:rFonts w:ascii="Arial" w:eastAsia="Times New Roman" w:hAnsi="Arial" w:cs="Arial"/>
                <w:b/>
                <w:bCs/>
                <w:sz w:val="20"/>
                <w:szCs w:val="20"/>
              </w:rPr>
              <w:t>RR:</w:t>
            </w:r>
            <w:r w:rsidRPr="008508A5">
              <w:rPr>
                <w:rFonts w:ascii="Arial" w:eastAsia="Times New Roman" w:hAnsi="Arial" w:cs="Arial"/>
                <w:sz w:val="20"/>
                <w:szCs w:val="20"/>
              </w:rPr>
              <w:t xml:space="preserve"> Risk ratio </w:t>
            </w:r>
          </w:p>
        </w:tc>
      </w:tr>
      <w:tr w:rsidR="00F478FF" w:rsidRPr="00DE6F90" w14:paraId="3F5343D0" w14:textId="77777777" w:rsidTr="001263A3">
        <w:trPr>
          <w:cantSplit/>
        </w:trPr>
        <w:tc>
          <w:tcPr>
            <w:tcW w:w="5000" w:type="pct"/>
            <w:gridSpan w:val="7"/>
            <w:tcBorders>
              <w:top w:val="single" w:sz="6" w:space="0" w:color="000000"/>
              <w:left w:val="nil"/>
              <w:bottom w:val="single" w:sz="6" w:space="0" w:color="000000"/>
              <w:right w:val="nil"/>
            </w:tcBorders>
            <w:vAlign w:val="center"/>
            <w:hideMark/>
          </w:tcPr>
          <w:p w14:paraId="53109C91" w14:textId="77777777" w:rsidR="00F478FF" w:rsidRPr="008508A5" w:rsidRDefault="00F478FF" w:rsidP="001263A3">
            <w:pPr>
              <w:rPr>
                <w:rFonts w:ascii="Arial" w:eastAsia="Times New Roman" w:hAnsi="Arial" w:cs="Arial"/>
                <w:sz w:val="20"/>
                <w:szCs w:val="20"/>
              </w:rPr>
            </w:pPr>
            <w:r w:rsidRPr="008508A5">
              <w:rPr>
                <w:rFonts w:ascii="Arial" w:eastAsia="Times New Roman" w:hAnsi="Arial" w:cs="Arial"/>
                <w:b/>
                <w:bCs/>
                <w:sz w:val="20"/>
                <w:szCs w:val="20"/>
              </w:rPr>
              <w:t>GRADE Working Group grades of evidence</w:t>
            </w:r>
            <w:r w:rsidRPr="008508A5">
              <w:rPr>
                <w:rFonts w:ascii="Arial" w:eastAsia="Times New Roman" w:hAnsi="Arial" w:cs="Arial"/>
                <w:sz w:val="20"/>
                <w:szCs w:val="20"/>
              </w:rPr>
              <w:br/>
            </w:r>
            <w:r w:rsidRPr="008508A5">
              <w:rPr>
                <w:rFonts w:ascii="Arial" w:eastAsia="Times New Roman" w:hAnsi="Arial" w:cs="Arial"/>
                <w:b/>
                <w:bCs/>
                <w:sz w:val="20"/>
                <w:szCs w:val="20"/>
              </w:rPr>
              <w:t>High certainty:</w:t>
            </w:r>
            <w:r w:rsidRPr="008508A5">
              <w:rPr>
                <w:rFonts w:ascii="Arial" w:eastAsia="Times New Roman" w:hAnsi="Arial" w:cs="Arial"/>
                <w:sz w:val="20"/>
                <w:szCs w:val="20"/>
              </w:rPr>
              <w:t xml:space="preserve"> We are very confident that the true effect lies close to that of the estimate of the effect</w:t>
            </w:r>
            <w:r w:rsidRPr="008508A5">
              <w:rPr>
                <w:rFonts w:ascii="Arial" w:eastAsia="Times New Roman" w:hAnsi="Arial" w:cs="Arial"/>
                <w:sz w:val="20"/>
                <w:szCs w:val="20"/>
              </w:rPr>
              <w:br/>
            </w:r>
            <w:r w:rsidRPr="008508A5">
              <w:rPr>
                <w:rFonts w:ascii="Arial" w:eastAsia="Times New Roman" w:hAnsi="Arial" w:cs="Arial"/>
                <w:b/>
                <w:bCs/>
                <w:sz w:val="20"/>
                <w:szCs w:val="20"/>
              </w:rPr>
              <w:t>Moderate certainty:</w:t>
            </w:r>
            <w:r w:rsidRPr="008508A5">
              <w:rPr>
                <w:rFonts w:ascii="Arial" w:eastAsia="Times New Roman" w:hAnsi="Arial" w:cs="Arial"/>
                <w:sz w:val="20"/>
                <w:szCs w:val="20"/>
              </w:rPr>
              <w:t xml:space="preserve"> We are moderately confident in the effect estimate: The true effect is likely to be close to the estimate of the effect, but there is a possibility that it is substantially different</w:t>
            </w:r>
            <w:r w:rsidRPr="008508A5">
              <w:rPr>
                <w:rFonts w:ascii="Arial" w:eastAsia="Times New Roman" w:hAnsi="Arial" w:cs="Arial"/>
                <w:sz w:val="20"/>
                <w:szCs w:val="20"/>
              </w:rPr>
              <w:br/>
            </w:r>
            <w:r w:rsidRPr="008508A5">
              <w:rPr>
                <w:rFonts w:ascii="Arial" w:eastAsia="Times New Roman" w:hAnsi="Arial" w:cs="Arial"/>
                <w:b/>
                <w:bCs/>
                <w:sz w:val="20"/>
                <w:szCs w:val="20"/>
              </w:rPr>
              <w:t>Low certainty:</w:t>
            </w:r>
            <w:r w:rsidRPr="008508A5">
              <w:rPr>
                <w:rFonts w:ascii="Arial" w:eastAsia="Times New Roman" w:hAnsi="Arial" w:cs="Arial"/>
                <w:sz w:val="20"/>
                <w:szCs w:val="20"/>
              </w:rPr>
              <w:t xml:space="preserve"> Our confidence in the effect estimate is limited: The true effect may be substantially different from the estimate of the effect</w:t>
            </w:r>
            <w:r w:rsidRPr="008508A5">
              <w:rPr>
                <w:rFonts w:ascii="Arial" w:eastAsia="Times New Roman" w:hAnsi="Arial" w:cs="Arial"/>
                <w:sz w:val="20"/>
                <w:szCs w:val="20"/>
              </w:rPr>
              <w:br/>
            </w:r>
            <w:r w:rsidRPr="008508A5">
              <w:rPr>
                <w:rFonts w:ascii="Arial" w:eastAsia="Times New Roman" w:hAnsi="Arial" w:cs="Arial"/>
                <w:b/>
                <w:bCs/>
                <w:sz w:val="20"/>
                <w:szCs w:val="20"/>
              </w:rPr>
              <w:t>Very low certainty:</w:t>
            </w:r>
            <w:r w:rsidRPr="008508A5">
              <w:rPr>
                <w:rFonts w:ascii="Arial" w:eastAsia="Times New Roman" w:hAnsi="Arial" w:cs="Arial"/>
                <w:sz w:val="20"/>
                <w:szCs w:val="20"/>
              </w:rPr>
              <w:t xml:space="preserve"> We have very little confidence in the effect estimate: The true effect is likely to be substantially different from the estimate of effect </w:t>
            </w:r>
          </w:p>
        </w:tc>
      </w:tr>
    </w:tbl>
    <w:p w14:paraId="785D53EE" w14:textId="77777777" w:rsidR="00F478FF" w:rsidRPr="008508A5" w:rsidRDefault="00F478FF" w:rsidP="00F478FF">
      <w:pPr>
        <w:pStyle w:val="Ttulo4"/>
        <w:rPr>
          <w:rFonts w:ascii="Arial" w:eastAsia="Times New Roman" w:hAnsi="Arial" w:cs="Arial"/>
          <w:color w:val="000000"/>
          <w:sz w:val="20"/>
          <w:szCs w:val="20"/>
          <w:lang w:val="en"/>
        </w:rPr>
      </w:pPr>
      <w:r w:rsidRPr="008508A5">
        <w:rPr>
          <w:rFonts w:ascii="Arial" w:eastAsia="Times New Roman" w:hAnsi="Arial" w:cs="Arial"/>
          <w:color w:val="000000"/>
          <w:sz w:val="20"/>
          <w:szCs w:val="20"/>
          <w:lang w:val="en"/>
        </w:rPr>
        <w:t>Explanations</w:t>
      </w:r>
    </w:p>
    <w:p w14:paraId="2F69DBB4" w14:textId="77777777" w:rsidR="00F478FF" w:rsidRPr="008508A5" w:rsidRDefault="00F478FF" w:rsidP="00F478FF">
      <w:pPr>
        <w:rPr>
          <w:rFonts w:ascii="Arial" w:eastAsia="Times New Roman" w:hAnsi="Arial" w:cs="Arial"/>
          <w:color w:val="000000"/>
          <w:sz w:val="20"/>
          <w:szCs w:val="20"/>
          <w:lang w:val="en"/>
        </w:rPr>
      </w:pPr>
      <w:r w:rsidRPr="008508A5">
        <w:rPr>
          <w:rFonts w:ascii="Arial" w:eastAsia="Times New Roman" w:hAnsi="Arial" w:cs="Arial"/>
          <w:color w:val="000000"/>
          <w:sz w:val="20"/>
          <w:szCs w:val="20"/>
          <w:lang w:val="en"/>
        </w:rPr>
        <w:t xml:space="preserve">a. Studies without allocation concealment, blinding, and/or sample size calculation. </w:t>
      </w:r>
    </w:p>
    <w:p w14:paraId="0B1E672E" w14:textId="77777777" w:rsidR="00F478FF" w:rsidRDefault="00F478FF" w:rsidP="00F478FF">
      <w:pPr>
        <w:rPr>
          <w:rFonts w:ascii="Arial" w:eastAsia="Times New Roman" w:hAnsi="Arial" w:cs="Arial"/>
          <w:color w:val="000000"/>
          <w:sz w:val="20"/>
          <w:szCs w:val="20"/>
          <w:lang w:val="en"/>
        </w:rPr>
      </w:pPr>
      <w:r w:rsidRPr="008508A5">
        <w:rPr>
          <w:rFonts w:ascii="Arial" w:eastAsia="Times New Roman" w:hAnsi="Arial" w:cs="Arial"/>
          <w:color w:val="000000"/>
          <w:sz w:val="20"/>
          <w:szCs w:val="20"/>
          <w:lang w:val="en"/>
        </w:rPr>
        <w:t xml:space="preserve">b. Meta-analysis with statistical significance in heterogeneity test and high I2. </w:t>
      </w:r>
    </w:p>
    <w:p w14:paraId="0FFFC439" w14:textId="77777777" w:rsidR="00F478FF" w:rsidRPr="00F478FF" w:rsidRDefault="00F478FF" w:rsidP="00F478FF">
      <w:pPr>
        <w:spacing w:line="480" w:lineRule="auto"/>
        <w:ind w:left="-113" w:right="-283"/>
        <w:jc w:val="both"/>
        <w:rPr>
          <w:rFonts w:cs="Times New Roman"/>
          <w:szCs w:val="24"/>
        </w:rPr>
      </w:pPr>
      <w:r w:rsidRPr="00F478FF">
        <w:rPr>
          <w:rFonts w:cs="Times New Roman"/>
          <w:b/>
          <w:szCs w:val="24"/>
        </w:rPr>
        <w:lastRenderedPageBreak/>
        <w:t xml:space="preserve">File 7: Table E4. </w:t>
      </w:r>
      <w:r w:rsidRPr="00F478FF">
        <w:rPr>
          <w:rFonts w:cs="Times New Roman"/>
          <w:szCs w:val="24"/>
        </w:rPr>
        <w:t xml:space="preserve">GRADE assessments (summary of findings) - </w:t>
      </w:r>
      <w:proofErr w:type="spellStart"/>
      <w:r w:rsidRPr="00F478FF">
        <w:rPr>
          <w:rFonts w:cs="Times New Roman"/>
          <w:szCs w:val="24"/>
        </w:rPr>
        <w:t>Bioprosthetic</w:t>
      </w:r>
      <w:proofErr w:type="spellEnd"/>
      <w:r w:rsidRPr="00F478FF">
        <w:rPr>
          <w:rFonts w:cs="Times New Roman"/>
          <w:szCs w:val="24"/>
        </w:rPr>
        <w:t xml:space="preserve"> heart valves.</w:t>
      </w:r>
    </w:p>
    <w:tbl>
      <w:tblPr>
        <w:tblW w:w="5251" w:type="pct"/>
        <w:tblInd w:w="-142" w:type="dxa"/>
        <w:tblCellMar>
          <w:top w:w="75" w:type="dxa"/>
          <w:left w:w="75" w:type="dxa"/>
          <w:bottom w:w="75" w:type="dxa"/>
          <w:right w:w="75" w:type="dxa"/>
        </w:tblCellMar>
        <w:tblLook w:val="04A0" w:firstRow="1" w:lastRow="0" w:firstColumn="1" w:lastColumn="0" w:noHBand="0" w:noVBand="1"/>
      </w:tblPr>
      <w:tblGrid>
        <w:gridCol w:w="1849"/>
        <w:gridCol w:w="1236"/>
        <w:gridCol w:w="1493"/>
        <w:gridCol w:w="1238"/>
        <w:gridCol w:w="1349"/>
        <w:gridCol w:w="1491"/>
        <w:gridCol w:w="1612"/>
      </w:tblGrid>
      <w:tr w:rsidR="00F478FF" w:rsidRPr="00DE6F90" w14:paraId="399B1A34" w14:textId="77777777" w:rsidTr="001263A3">
        <w:trPr>
          <w:cantSplit/>
          <w:tblHeader/>
        </w:trPr>
        <w:tc>
          <w:tcPr>
            <w:tcW w:w="5000" w:type="pct"/>
            <w:gridSpan w:val="7"/>
            <w:tcBorders>
              <w:top w:val="nil"/>
              <w:left w:val="nil"/>
              <w:bottom w:val="nil"/>
              <w:right w:val="nil"/>
            </w:tcBorders>
            <w:vAlign w:val="center"/>
            <w:hideMark/>
          </w:tcPr>
          <w:p w14:paraId="62177973" w14:textId="77777777" w:rsidR="00F478FF" w:rsidRPr="007A6D5E" w:rsidRDefault="00F478FF" w:rsidP="001263A3">
            <w:pPr>
              <w:rPr>
                <w:rFonts w:ascii="Arial" w:eastAsia="Times New Roman" w:hAnsi="Arial" w:cs="Arial"/>
                <w:sz w:val="20"/>
                <w:szCs w:val="20"/>
              </w:rPr>
            </w:pPr>
          </w:p>
        </w:tc>
      </w:tr>
      <w:tr w:rsidR="00F478FF" w:rsidRPr="00DE6F90" w14:paraId="227E9230" w14:textId="77777777" w:rsidTr="001263A3">
        <w:trPr>
          <w:cantSplit/>
          <w:tblHeader/>
        </w:trPr>
        <w:tc>
          <w:tcPr>
            <w:tcW w:w="5000" w:type="pct"/>
            <w:gridSpan w:val="7"/>
            <w:tcBorders>
              <w:top w:val="single" w:sz="12" w:space="0" w:color="000000"/>
              <w:left w:val="nil"/>
              <w:bottom w:val="single" w:sz="12" w:space="0" w:color="000000"/>
              <w:right w:val="nil"/>
            </w:tcBorders>
            <w:vAlign w:val="center"/>
            <w:hideMark/>
          </w:tcPr>
          <w:p w14:paraId="0E49062D" w14:textId="77777777" w:rsidR="00F478FF" w:rsidRPr="0085266E" w:rsidRDefault="00F478FF" w:rsidP="001263A3">
            <w:pPr>
              <w:pStyle w:val="sof-title"/>
              <w:spacing w:before="0" w:beforeAutospacing="0" w:after="0" w:afterAutospacing="0"/>
              <w:rPr>
                <w:rFonts w:ascii="Arial" w:hAnsi="Arial" w:cs="Arial"/>
                <w:sz w:val="20"/>
                <w:szCs w:val="20"/>
                <w:lang w:val="en-US"/>
              </w:rPr>
            </w:pPr>
            <w:r>
              <w:rPr>
                <w:rFonts w:ascii="Arial" w:hAnsi="Arial" w:cs="Arial"/>
                <w:b/>
                <w:bCs/>
                <w:sz w:val="20"/>
                <w:szCs w:val="20"/>
                <w:lang w:val="en-US"/>
              </w:rPr>
              <w:t>DOACs</w:t>
            </w:r>
            <w:r w:rsidRPr="0085266E">
              <w:rPr>
                <w:rFonts w:ascii="Arial" w:hAnsi="Arial" w:cs="Arial"/>
                <w:b/>
                <w:bCs/>
                <w:sz w:val="20"/>
                <w:szCs w:val="20"/>
                <w:lang w:val="en-US"/>
              </w:rPr>
              <w:t xml:space="preserve"> compared to Warfarin for </w:t>
            </w:r>
            <w:proofErr w:type="spellStart"/>
            <w:r w:rsidRPr="0085266E">
              <w:rPr>
                <w:rFonts w:ascii="Arial" w:hAnsi="Arial" w:cs="Arial"/>
                <w:b/>
                <w:bCs/>
                <w:sz w:val="20"/>
                <w:szCs w:val="20"/>
                <w:lang w:val="en-US"/>
              </w:rPr>
              <w:t>Valvular</w:t>
            </w:r>
            <w:proofErr w:type="spellEnd"/>
            <w:r w:rsidRPr="0085266E">
              <w:rPr>
                <w:rFonts w:ascii="Arial" w:hAnsi="Arial" w:cs="Arial"/>
                <w:b/>
                <w:bCs/>
                <w:sz w:val="20"/>
                <w:szCs w:val="20"/>
                <w:lang w:val="en-US"/>
              </w:rPr>
              <w:t xml:space="preserve"> Heart Disease</w:t>
            </w:r>
          </w:p>
        </w:tc>
      </w:tr>
      <w:tr w:rsidR="00F478FF" w:rsidRPr="00DE6F90" w14:paraId="73F1B843" w14:textId="77777777" w:rsidTr="001263A3">
        <w:trPr>
          <w:cantSplit/>
          <w:tblHeader/>
        </w:trPr>
        <w:tc>
          <w:tcPr>
            <w:tcW w:w="5000" w:type="pct"/>
            <w:gridSpan w:val="7"/>
            <w:tcBorders>
              <w:top w:val="single" w:sz="12" w:space="0" w:color="000000"/>
              <w:left w:val="nil"/>
              <w:bottom w:val="single" w:sz="12" w:space="0" w:color="000000"/>
              <w:right w:val="nil"/>
            </w:tcBorders>
            <w:vAlign w:val="center"/>
            <w:hideMark/>
          </w:tcPr>
          <w:p w14:paraId="6CBB0ADC" w14:textId="77777777" w:rsidR="00F478FF" w:rsidRPr="0085266E" w:rsidRDefault="00F478FF" w:rsidP="001263A3">
            <w:pPr>
              <w:rPr>
                <w:rFonts w:ascii="Arial" w:eastAsia="Times New Roman" w:hAnsi="Arial" w:cs="Arial"/>
                <w:sz w:val="20"/>
                <w:szCs w:val="20"/>
              </w:rPr>
            </w:pPr>
            <w:r w:rsidRPr="0085266E">
              <w:rPr>
                <w:rFonts w:ascii="Arial" w:eastAsia="Times New Roman" w:hAnsi="Arial" w:cs="Arial"/>
                <w:b/>
                <w:bCs/>
                <w:sz w:val="20"/>
                <w:szCs w:val="20"/>
              </w:rPr>
              <w:t>Patient or population</w:t>
            </w:r>
            <w:r w:rsidRPr="0085266E">
              <w:rPr>
                <w:rFonts w:ascii="Arial" w:eastAsia="Times New Roman" w:hAnsi="Arial" w:cs="Arial"/>
                <w:sz w:val="20"/>
                <w:szCs w:val="20"/>
              </w:rPr>
              <w:t xml:space="preserve">: </w:t>
            </w:r>
            <w:proofErr w:type="spellStart"/>
            <w:r w:rsidRPr="00A81700">
              <w:rPr>
                <w:rFonts w:ascii="Arial" w:eastAsia="Times New Roman" w:hAnsi="Arial" w:cs="Arial"/>
                <w:sz w:val="20"/>
                <w:szCs w:val="20"/>
              </w:rPr>
              <w:t>Bioprosthetic</w:t>
            </w:r>
            <w:proofErr w:type="spellEnd"/>
            <w:r w:rsidRPr="00A81700">
              <w:rPr>
                <w:rFonts w:ascii="Arial" w:eastAsia="Times New Roman" w:hAnsi="Arial" w:cs="Arial"/>
                <w:sz w:val="20"/>
                <w:szCs w:val="20"/>
              </w:rPr>
              <w:t xml:space="preserve"> heart valves</w:t>
            </w:r>
          </w:p>
          <w:p w14:paraId="5E9C8871" w14:textId="77777777" w:rsidR="00F478FF" w:rsidRPr="0085266E" w:rsidRDefault="00F478FF" w:rsidP="001263A3">
            <w:pPr>
              <w:rPr>
                <w:rFonts w:ascii="Arial" w:eastAsia="Times New Roman" w:hAnsi="Arial" w:cs="Arial"/>
                <w:sz w:val="20"/>
                <w:szCs w:val="20"/>
              </w:rPr>
            </w:pPr>
            <w:r w:rsidRPr="0085266E">
              <w:rPr>
                <w:rFonts w:ascii="Arial" w:eastAsia="Times New Roman" w:hAnsi="Arial" w:cs="Arial"/>
                <w:b/>
                <w:bCs/>
                <w:sz w:val="20"/>
                <w:szCs w:val="20"/>
              </w:rPr>
              <w:t>Setting</w:t>
            </w:r>
            <w:r w:rsidRPr="0085266E">
              <w:rPr>
                <w:rFonts w:ascii="Arial" w:eastAsia="Times New Roman" w:hAnsi="Arial" w:cs="Arial"/>
                <w:sz w:val="20"/>
                <w:szCs w:val="20"/>
              </w:rPr>
              <w:t xml:space="preserve">: </w:t>
            </w:r>
          </w:p>
          <w:p w14:paraId="362B2DE5" w14:textId="77777777" w:rsidR="00F478FF" w:rsidRPr="0085266E" w:rsidRDefault="00F478FF" w:rsidP="001263A3">
            <w:pPr>
              <w:rPr>
                <w:rFonts w:ascii="Arial" w:eastAsia="Times New Roman" w:hAnsi="Arial" w:cs="Arial"/>
                <w:sz w:val="20"/>
                <w:szCs w:val="20"/>
              </w:rPr>
            </w:pPr>
            <w:r w:rsidRPr="0085266E">
              <w:rPr>
                <w:rFonts w:ascii="Arial" w:eastAsia="Times New Roman" w:hAnsi="Arial" w:cs="Arial"/>
                <w:b/>
                <w:bCs/>
                <w:sz w:val="20"/>
                <w:szCs w:val="20"/>
              </w:rPr>
              <w:t>Intervention</w:t>
            </w:r>
            <w:r>
              <w:rPr>
                <w:rFonts w:ascii="Arial" w:eastAsia="Times New Roman" w:hAnsi="Arial" w:cs="Arial"/>
                <w:sz w:val="20"/>
                <w:szCs w:val="20"/>
              </w:rPr>
              <w:t>: DOACs</w:t>
            </w:r>
          </w:p>
          <w:p w14:paraId="318C71AD" w14:textId="77777777" w:rsidR="00F478FF" w:rsidRPr="0085266E" w:rsidRDefault="00F478FF" w:rsidP="001263A3">
            <w:pPr>
              <w:rPr>
                <w:rFonts w:ascii="Arial" w:eastAsia="Times New Roman" w:hAnsi="Arial" w:cs="Arial"/>
                <w:sz w:val="20"/>
                <w:szCs w:val="20"/>
              </w:rPr>
            </w:pPr>
            <w:r w:rsidRPr="0085266E">
              <w:rPr>
                <w:rFonts w:ascii="Arial" w:eastAsia="Times New Roman" w:hAnsi="Arial" w:cs="Arial"/>
                <w:b/>
                <w:bCs/>
                <w:sz w:val="20"/>
                <w:szCs w:val="20"/>
              </w:rPr>
              <w:t>Comparison</w:t>
            </w:r>
            <w:r w:rsidRPr="0085266E">
              <w:rPr>
                <w:rFonts w:ascii="Arial" w:eastAsia="Times New Roman" w:hAnsi="Arial" w:cs="Arial"/>
                <w:sz w:val="20"/>
                <w:szCs w:val="20"/>
              </w:rPr>
              <w:t xml:space="preserve">: Warfarin </w:t>
            </w:r>
          </w:p>
        </w:tc>
      </w:tr>
      <w:tr w:rsidR="00F478FF" w:rsidRPr="0085266E" w14:paraId="34B0A0FD" w14:textId="77777777" w:rsidTr="001263A3">
        <w:trPr>
          <w:cantSplit/>
          <w:tblHeader/>
        </w:trPr>
        <w:tc>
          <w:tcPr>
            <w:tcW w:w="900" w:type="pct"/>
            <w:vMerge w:val="restart"/>
            <w:tcBorders>
              <w:right w:val="single" w:sz="6" w:space="0" w:color="EFEFEF"/>
            </w:tcBorders>
            <w:shd w:val="clear" w:color="auto" w:fill="4A442A" w:themeFill="background2" w:themeFillShade="40"/>
            <w:vAlign w:val="center"/>
            <w:hideMark/>
          </w:tcPr>
          <w:p w14:paraId="1B36C7F2" w14:textId="77777777" w:rsidR="00F478FF" w:rsidRPr="0085266E" w:rsidRDefault="00F478FF" w:rsidP="001263A3">
            <w:pPr>
              <w:pStyle w:val="NormalWeb"/>
              <w:spacing w:before="0" w:beforeAutospacing="0" w:after="0" w:afterAutospacing="0"/>
              <w:jc w:val="center"/>
              <w:rPr>
                <w:rFonts w:ascii="Arial" w:hAnsi="Arial" w:cs="Arial"/>
                <w:color w:val="FFFFFF"/>
                <w:sz w:val="20"/>
                <w:szCs w:val="20"/>
              </w:rPr>
            </w:pPr>
            <w:r w:rsidRPr="0085266E">
              <w:rPr>
                <w:rFonts w:ascii="Arial" w:hAnsi="Arial" w:cs="Arial"/>
                <w:color w:val="FFFFFF"/>
                <w:sz w:val="20"/>
                <w:szCs w:val="20"/>
              </w:rPr>
              <w:t>O</w:t>
            </w:r>
            <w:r w:rsidRPr="007A6D5E">
              <w:rPr>
                <w:rFonts w:ascii="Arial" w:hAnsi="Arial" w:cs="Arial"/>
                <w:color w:val="FFFFFF"/>
                <w:sz w:val="20"/>
                <w:szCs w:val="20"/>
                <w:shd w:val="clear" w:color="auto" w:fill="4A442A" w:themeFill="background2" w:themeFillShade="40"/>
              </w:rPr>
              <w:t>utcomes</w:t>
            </w:r>
          </w:p>
        </w:tc>
        <w:tc>
          <w:tcPr>
            <w:tcW w:w="1329" w:type="pct"/>
            <w:gridSpan w:val="2"/>
            <w:tcBorders>
              <w:top w:val="single" w:sz="6" w:space="0" w:color="EFEFEF"/>
              <w:right w:val="single" w:sz="6" w:space="0" w:color="EFEFEF"/>
            </w:tcBorders>
            <w:shd w:val="clear" w:color="auto" w:fill="E0E0E0"/>
            <w:hideMark/>
          </w:tcPr>
          <w:p w14:paraId="1FA14E15" w14:textId="77777777" w:rsidR="00F478FF" w:rsidRPr="0085266E" w:rsidRDefault="00F478FF" w:rsidP="001263A3">
            <w:pPr>
              <w:pStyle w:val="NormalWeb"/>
              <w:spacing w:before="0" w:beforeAutospacing="0" w:after="0" w:afterAutospacing="0"/>
              <w:jc w:val="center"/>
              <w:rPr>
                <w:rFonts w:ascii="Arial" w:hAnsi="Arial" w:cs="Arial"/>
                <w:b/>
                <w:bCs/>
                <w:sz w:val="20"/>
                <w:szCs w:val="20"/>
              </w:rPr>
            </w:pPr>
            <w:r w:rsidRPr="0085266E">
              <w:rPr>
                <w:rFonts w:ascii="Arial" w:hAnsi="Arial" w:cs="Arial"/>
                <w:b/>
                <w:bCs/>
                <w:sz w:val="20"/>
                <w:szCs w:val="20"/>
              </w:rPr>
              <w:t>Anticipated absolute effects</w:t>
            </w:r>
            <w:r w:rsidRPr="0085266E">
              <w:rPr>
                <w:rFonts w:ascii="Arial" w:hAnsi="Arial" w:cs="Arial"/>
                <w:b/>
                <w:bCs/>
                <w:sz w:val="20"/>
                <w:szCs w:val="20"/>
                <w:vertAlign w:val="superscript"/>
              </w:rPr>
              <w:t>*</w:t>
            </w:r>
            <w:r w:rsidRPr="0085266E">
              <w:rPr>
                <w:rFonts w:ascii="Arial" w:hAnsi="Arial" w:cs="Arial"/>
                <w:b/>
                <w:bCs/>
                <w:sz w:val="20"/>
                <w:szCs w:val="20"/>
              </w:rPr>
              <w:t xml:space="preserve"> </w:t>
            </w:r>
            <w:r w:rsidRPr="0085266E">
              <w:rPr>
                <w:rFonts w:ascii="Arial" w:hAnsi="Arial" w:cs="Arial"/>
                <w:sz w:val="20"/>
                <w:szCs w:val="20"/>
              </w:rPr>
              <w:t>(95% CI)</w:t>
            </w:r>
            <w:r w:rsidRPr="0085266E">
              <w:rPr>
                <w:rFonts w:ascii="Arial" w:hAnsi="Arial" w:cs="Arial"/>
                <w:b/>
                <w:bCs/>
                <w:sz w:val="20"/>
                <w:szCs w:val="20"/>
              </w:rPr>
              <w:t xml:space="preserve"> </w:t>
            </w:r>
          </w:p>
        </w:tc>
        <w:tc>
          <w:tcPr>
            <w:tcW w:w="603" w:type="pct"/>
            <w:vMerge w:val="restart"/>
            <w:tcBorders>
              <w:right w:val="single" w:sz="6" w:space="0" w:color="EFEFEF"/>
            </w:tcBorders>
            <w:shd w:val="clear" w:color="auto" w:fill="4A442A" w:themeFill="background2" w:themeFillShade="40"/>
            <w:vAlign w:val="center"/>
            <w:hideMark/>
          </w:tcPr>
          <w:p w14:paraId="0A3D33D4" w14:textId="77777777" w:rsidR="00F478FF" w:rsidRPr="0085266E" w:rsidRDefault="00F478FF" w:rsidP="001263A3">
            <w:pPr>
              <w:pStyle w:val="NormalWeb"/>
              <w:spacing w:before="0" w:beforeAutospacing="0" w:after="0" w:afterAutospacing="0"/>
              <w:jc w:val="center"/>
              <w:rPr>
                <w:rFonts w:ascii="Arial" w:hAnsi="Arial" w:cs="Arial"/>
                <w:color w:val="FFFFFF"/>
                <w:sz w:val="20"/>
                <w:szCs w:val="20"/>
              </w:rPr>
            </w:pPr>
            <w:r w:rsidRPr="0085266E">
              <w:rPr>
                <w:rFonts w:ascii="Arial" w:hAnsi="Arial" w:cs="Arial"/>
                <w:color w:val="FFFFFF"/>
                <w:sz w:val="20"/>
                <w:szCs w:val="20"/>
              </w:rPr>
              <w:t>Relative effect</w:t>
            </w:r>
            <w:r w:rsidRPr="0085266E">
              <w:rPr>
                <w:rFonts w:ascii="Arial" w:hAnsi="Arial" w:cs="Arial"/>
                <w:color w:val="FFFFFF"/>
                <w:sz w:val="20"/>
                <w:szCs w:val="20"/>
              </w:rPr>
              <w:br/>
              <w:t xml:space="preserve">(95% CI) </w:t>
            </w:r>
          </w:p>
        </w:tc>
        <w:tc>
          <w:tcPr>
            <w:tcW w:w="657" w:type="pct"/>
            <w:vMerge w:val="restart"/>
            <w:tcBorders>
              <w:right w:val="single" w:sz="6" w:space="0" w:color="EFEFEF"/>
            </w:tcBorders>
            <w:shd w:val="clear" w:color="auto" w:fill="4A442A" w:themeFill="background2" w:themeFillShade="40"/>
            <w:vAlign w:val="center"/>
            <w:hideMark/>
          </w:tcPr>
          <w:p w14:paraId="68FA0855" w14:textId="77777777" w:rsidR="00F478FF" w:rsidRPr="0085266E" w:rsidRDefault="00F478FF" w:rsidP="001263A3">
            <w:pPr>
              <w:pStyle w:val="NormalWeb"/>
              <w:spacing w:before="0" w:beforeAutospacing="0" w:after="0" w:afterAutospacing="0"/>
              <w:jc w:val="center"/>
              <w:rPr>
                <w:rFonts w:ascii="Arial" w:hAnsi="Arial" w:cs="Arial"/>
                <w:color w:val="FFFFFF"/>
                <w:sz w:val="20"/>
                <w:szCs w:val="20"/>
              </w:rPr>
            </w:pPr>
            <w:r w:rsidRPr="0085266E">
              <w:rPr>
                <w:rFonts w:ascii="Arial" w:hAnsi="Arial" w:cs="Arial"/>
                <w:color w:val="FFFFFF"/>
                <w:sz w:val="20"/>
                <w:szCs w:val="20"/>
              </w:rPr>
              <w:t xml:space="preserve">№ of participants </w:t>
            </w:r>
            <w:r w:rsidRPr="0085266E">
              <w:rPr>
                <w:rFonts w:ascii="Arial" w:hAnsi="Arial" w:cs="Arial"/>
                <w:color w:val="FFFFFF"/>
                <w:sz w:val="20"/>
                <w:szCs w:val="20"/>
              </w:rPr>
              <w:br/>
              <w:t xml:space="preserve">(studies) </w:t>
            </w:r>
          </w:p>
        </w:tc>
        <w:tc>
          <w:tcPr>
            <w:tcW w:w="726" w:type="pct"/>
            <w:vMerge w:val="restart"/>
            <w:tcBorders>
              <w:right w:val="single" w:sz="6" w:space="0" w:color="EFEFEF"/>
            </w:tcBorders>
            <w:shd w:val="clear" w:color="auto" w:fill="4A442A" w:themeFill="background2" w:themeFillShade="40"/>
            <w:vAlign w:val="center"/>
            <w:hideMark/>
          </w:tcPr>
          <w:p w14:paraId="5B1E872F" w14:textId="77777777" w:rsidR="00F478FF" w:rsidRPr="0085266E" w:rsidRDefault="00F478FF" w:rsidP="001263A3">
            <w:pPr>
              <w:pStyle w:val="NormalWeb"/>
              <w:spacing w:before="0" w:beforeAutospacing="0" w:after="0" w:afterAutospacing="0"/>
              <w:jc w:val="center"/>
              <w:rPr>
                <w:rFonts w:ascii="Arial" w:hAnsi="Arial" w:cs="Arial"/>
                <w:color w:val="FFFFFF"/>
                <w:sz w:val="20"/>
                <w:szCs w:val="20"/>
              </w:rPr>
            </w:pPr>
            <w:r w:rsidRPr="0085266E">
              <w:rPr>
                <w:rFonts w:ascii="Arial" w:hAnsi="Arial" w:cs="Arial"/>
                <w:color w:val="FFFFFF"/>
                <w:sz w:val="20"/>
                <w:szCs w:val="20"/>
              </w:rPr>
              <w:t>Certainty of the evidence</w:t>
            </w:r>
            <w:r w:rsidRPr="0085266E">
              <w:rPr>
                <w:rFonts w:ascii="Arial" w:hAnsi="Arial" w:cs="Arial"/>
                <w:color w:val="FFFFFF"/>
                <w:sz w:val="20"/>
                <w:szCs w:val="20"/>
              </w:rPr>
              <w:br/>
              <w:t xml:space="preserve">(GRADE) </w:t>
            </w:r>
          </w:p>
        </w:tc>
        <w:tc>
          <w:tcPr>
            <w:tcW w:w="785" w:type="pct"/>
            <w:vMerge w:val="restart"/>
            <w:tcBorders>
              <w:right w:val="single" w:sz="6" w:space="0" w:color="EFEFEF"/>
            </w:tcBorders>
            <w:shd w:val="clear" w:color="auto" w:fill="4A442A" w:themeFill="background2" w:themeFillShade="40"/>
            <w:vAlign w:val="center"/>
            <w:hideMark/>
          </w:tcPr>
          <w:p w14:paraId="3D34FBE7" w14:textId="77777777" w:rsidR="00F478FF" w:rsidRPr="0085266E" w:rsidRDefault="00F478FF" w:rsidP="001263A3">
            <w:pPr>
              <w:pStyle w:val="NormalWeb"/>
              <w:spacing w:before="0" w:beforeAutospacing="0" w:after="0" w:afterAutospacing="0"/>
              <w:jc w:val="center"/>
              <w:rPr>
                <w:rFonts w:ascii="Arial" w:hAnsi="Arial" w:cs="Arial"/>
                <w:color w:val="FFFFFF"/>
                <w:sz w:val="20"/>
                <w:szCs w:val="20"/>
              </w:rPr>
            </w:pPr>
            <w:r w:rsidRPr="0085266E">
              <w:rPr>
                <w:rFonts w:ascii="Arial" w:hAnsi="Arial" w:cs="Arial"/>
                <w:color w:val="FFFFFF"/>
                <w:sz w:val="20"/>
                <w:szCs w:val="20"/>
              </w:rPr>
              <w:t>Comments</w:t>
            </w:r>
          </w:p>
        </w:tc>
      </w:tr>
      <w:tr w:rsidR="00F478FF" w:rsidRPr="0085266E" w14:paraId="47F0D668" w14:textId="77777777" w:rsidTr="001263A3">
        <w:trPr>
          <w:cantSplit/>
          <w:tblHeader/>
        </w:trPr>
        <w:tc>
          <w:tcPr>
            <w:tcW w:w="900" w:type="pct"/>
            <w:vMerge/>
            <w:tcBorders>
              <w:right w:val="single" w:sz="6" w:space="0" w:color="EFEFEF"/>
            </w:tcBorders>
            <w:shd w:val="clear" w:color="auto" w:fill="4A442A" w:themeFill="background2" w:themeFillShade="40"/>
            <w:vAlign w:val="center"/>
            <w:hideMark/>
          </w:tcPr>
          <w:p w14:paraId="771CDC1A" w14:textId="77777777" w:rsidR="00F478FF" w:rsidRPr="0085266E" w:rsidRDefault="00F478FF" w:rsidP="001263A3">
            <w:pPr>
              <w:rPr>
                <w:rFonts w:ascii="Arial" w:hAnsi="Arial" w:cs="Arial"/>
                <w:color w:val="FFFFFF"/>
                <w:sz w:val="20"/>
                <w:szCs w:val="20"/>
              </w:rPr>
            </w:pPr>
          </w:p>
        </w:tc>
        <w:tc>
          <w:tcPr>
            <w:tcW w:w="602" w:type="pct"/>
            <w:tcBorders>
              <w:top w:val="single" w:sz="6" w:space="0" w:color="EFEFEF"/>
              <w:right w:val="single" w:sz="6" w:space="0" w:color="EFEFEF"/>
            </w:tcBorders>
            <w:shd w:val="clear" w:color="auto" w:fill="E0E0E0"/>
            <w:hideMark/>
          </w:tcPr>
          <w:p w14:paraId="2934DB9D" w14:textId="77777777" w:rsidR="00F478FF" w:rsidRPr="0085266E" w:rsidRDefault="00F478FF" w:rsidP="001263A3">
            <w:pPr>
              <w:pStyle w:val="first-letter"/>
              <w:spacing w:before="0" w:beforeAutospacing="0" w:after="0" w:afterAutospacing="0"/>
              <w:jc w:val="center"/>
              <w:rPr>
                <w:rFonts w:ascii="Arial" w:hAnsi="Arial" w:cs="Arial"/>
                <w:b/>
                <w:bCs/>
                <w:sz w:val="20"/>
                <w:szCs w:val="20"/>
              </w:rPr>
            </w:pPr>
            <w:proofErr w:type="spellStart"/>
            <w:r w:rsidRPr="0085266E">
              <w:rPr>
                <w:rFonts w:ascii="Arial" w:hAnsi="Arial" w:cs="Arial"/>
                <w:b/>
                <w:bCs/>
                <w:sz w:val="20"/>
                <w:szCs w:val="20"/>
              </w:rPr>
              <w:t>Risk</w:t>
            </w:r>
            <w:proofErr w:type="spellEnd"/>
            <w:r w:rsidRPr="0085266E">
              <w:rPr>
                <w:rFonts w:ascii="Arial" w:hAnsi="Arial" w:cs="Arial"/>
                <w:b/>
                <w:bCs/>
                <w:sz w:val="20"/>
                <w:szCs w:val="20"/>
              </w:rPr>
              <w:t xml:space="preserve"> </w:t>
            </w:r>
            <w:proofErr w:type="spellStart"/>
            <w:r w:rsidRPr="0085266E">
              <w:rPr>
                <w:rFonts w:ascii="Arial" w:hAnsi="Arial" w:cs="Arial"/>
                <w:b/>
                <w:bCs/>
                <w:sz w:val="20"/>
                <w:szCs w:val="20"/>
              </w:rPr>
              <w:t>with</w:t>
            </w:r>
            <w:proofErr w:type="spellEnd"/>
            <w:r w:rsidRPr="0085266E">
              <w:rPr>
                <w:rFonts w:ascii="Arial" w:hAnsi="Arial" w:cs="Arial"/>
                <w:b/>
                <w:bCs/>
                <w:sz w:val="20"/>
                <w:szCs w:val="20"/>
              </w:rPr>
              <w:t xml:space="preserve"> Warfarin</w:t>
            </w:r>
          </w:p>
        </w:tc>
        <w:tc>
          <w:tcPr>
            <w:tcW w:w="727" w:type="pct"/>
            <w:tcBorders>
              <w:top w:val="single" w:sz="6" w:space="0" w:color="EFEFEF"/>
              <w:right w:val="single" w:sz="6" w:space="0" w:color="EFEFEF"/>
            </w:tcBorders>
            <w:shd w:val="clear" w:color="auto" w:fill="E0E0E0"/>
            <w:hideMark/>
          </w:tcPr>
          <w:p w14:paraId="6BD9EDC6" w14:textId="77777777" w:rsidR="00F478FF" w:rsidRPr="0085266E" w:rsidRDefault="00F478FF" w:rsidP="001263A3">
            <w:pPr>
              <w:pStyle w:val="first-letter"/>
              <w:spacing w:before="0" w:beforeAutospacing="0" w:after="0" w:afterAutospacing="0"/>
              <w:jc w:val="center"/>
              <w:rPr>
                <w:rFonts w:ascii="Arial" w:hAnsi="Arial" w:cs="Arial"/>
                <w:b/>
                <w:bCs/>
                <w:sz w:val="20"/>
                <w:szCs w:val="20"/>
              </w:rPr>
            </w:pPr>
            <w:proofErr w:type="spellStart"/>
            <w:r w:rsidRPr="0085266E">
              <w:rPr>
                <w:rFonts w:ascii="Arial" w:hAnsi="Arial" w:cs="Arial"/>
                <w:b/>
                <w:bCs/>
                <w:sz w:val="20"/>
                <w:szCs w:val="20"/>
              </w:rPr>
              <w:t>Risk</w:t>
            </w:r>
            <w:proofErr w:type="spellEnd"/>
            <w:r w:rsidRPr="0085266E">
              <w:rPr>
                <w:rFonts w:ascii="Arial" w:hAnsi="Arial" w:cs="Arial"/>
                <w:b/>
                <w:bCs/>
                <w:sz w:val="20"/>
                <w:szCs w:val="20"/>
              </w:rPr>
              <w:t xml:space="preserve"> </w:t>
            </w:r>
            <w:proofErr w:type="spellStart"/>
            <w:r w:rsidRPr="0085266E">
              <w:rPr>
                <w:rFonts w:ascii="Arial" w:hAnsi="Arial" w:cs="Arial"/>
                <w:b/>
                <w:bCs/>
                <w:sz w:val="20"/>
                <w:szCs w:val="20"/>
              </w:rPr>
              <w:t>with</w:t>
            </w:r>
            <w:proofErr w:type="spellEnd"/>
            <w:r w:rsidRPr="0085266E">
              <w:rPr>
                <w:rFonts w:ascii="Arial" w:hAnsi="Arial" w:cs="Arial"/>
                <w:b/>
                <w:bCs/>
                <w:sz w:val="20"/>
                <w:szCs w:val="20"/>
              </w:rPr>
              <w:t xml:space="preserve"> DOACS</w:t>
            </w:r>
          </w:p>
        </w:tc>
        <w:tc>
          <w:tcPr>
            <w:tcW w:w="603" w:type="pct"/>
            <w:vMerge/>
            <w:tcBorders>
              <w:right w:val="single" w:sz="6" w:space="0" w:color="EFEFEF"/>
            </w:tcBorders>
            <w:shd w:val="clear" w:color="auto" w:fill="4A442A" w:themeFill="background2" w:themeFillShade="40"/>
            <w:vAlign w:val="center"/>
            <w:hideMark/>
          </w:tcPr>
          <w:p w14:paraId="2283B9AC" w14:textId="77777777" w:rsidR="00F478FF" w:rsidRPr="0085266E" w:rsidRDefault="00F478FF" w:rsidP="001263A3">
            <w:pPr>
              <w:rPr>
                <w:rFonts w:ascii="Arial" w:hAnsi="Arial" w:cs="Arial"/>
                <w:color w:val="FFFFFF"/>
                <w:sz w:val="20"/>
                <w:szCs w:val="20"/>
              </w:rPr>
            </w:pPr>
          </w:p>
        </w:tc>
        <w:tc>
          <w:tcPr>
            <w:tcW w:w="657" w:type="pct"/>
            <w:vMerge/>
            <w:tcBorders>
              <w:right w:val="single" w:sz="6" w:space="0" w:color="EFEFEF"/>
            </w:tcBorders>
            <w:shd w:val="clear" w:color="auto" w:fill="4A442A" w:themeFill="background2" w:themeFillShade="40"/>
            <w:vAlign w:val="center"/>
            <w:hideMark/>
          </w:tcPr>
          <w:p w14:paraId="3276AEF6" w14:textId="77777777" w:rsidR="00F478FF" w:rsidRPr="0085266E" w:rsidRDefault="00F478FF" w:rsidP="001263A3">
            <w:pPr>
              <w:rPr>
                <w:rFonts w:ascii="Arial" w:hAnsi="Arial" w:cs="Arial"/>
                <w:color w:val="FFFFFF"/>
                <w:sz w:val="20"/>
                <w:szCs w:val="20"/>
              </w:rPr>
            </w:pPr>
          </w:p>
        </w:tc>
        <w:tc>
          <w:tcPr>
            <w:tcW w:w="726" w:type="pct"/>
            <w:vMerge/>
            <w:tcBorders>
              <w:right w:val="single" w:sz="6" w:space="0" w:color="EFEFEF"/>
            </w:tcBorders>
            <w:shd w:val="clear" w:color="auto" w:fill="4A442A" w:themeFill="background2" w:themeFillShade="40"/>
            <w:vAlign w:val="center"/>
            <w:hideMark/>
          </w:tcPr>
          <w:p w14:paraId="0E22E50B" w14:textId="77777777" w:rsidR="00F478FF" w:rsidRPr="0085266E" w:rsidRDefault="00F478FF" w:rsidP="001263A3">
            <w:pPr>
              <w:rPr>
                <w:rFonts w:ascii="Arial" w:hAnsi="Arial" w:cs="Arial"/>
                <w:color w:val="FFFFFF"/>
                <w:sz w:val="20"/>
                <w:szCs w:val="20"/>
              </w:rPr>
            </w:pPr>
          </w:p>
        </w:tc>
        <w:tc>
          <w:tcPr>
            <w:tcW w:w="785" w:type="pct"/>
            <w:vMerge/>
            <w:tcBorders>
              <w:right w:val="single" w:sz="6" w:space="0" w:color="EFEFEF"/>
            </w:tcBorders>
            <w:shd w:val="clear" w:color="auto" w:fill="4A442A" w:themeFill="background2" w:themeFillShade="40"/>
            <w:vAlign w:val="center"/>
            <w:hideMark/>
          </w:tcPr>
          <w:p w14:paraId="6BB98A05" w14:textId="77777777" w:rsidR="00F478FF" w:rsidRPr="0085266E" w:rsidRDefault="00F478FF" w:rsidP="001263A3">
            <w:pPr>
              <w:rPr>
                <w:rFonts w:ascii="Arial" w:hAnsi="Arial" w:cs="Arial"/>
                <w:color w:val="FFFFFF"/>
                <w:sz w:val="20"/>
                <w:szCs w:val="20"/>
              </w:rPr>
            </w:pPr>
          </w:p>
        </w:tc>
      </w:tr>
      <w:tr w:rsidR="00F478FF" w:rsidRPr="0085266E" w14:paraId="5F668F03" w14:textId="77777777" w:rsidTr="001263A3">
        <w:trPr>
          <w:cantSplit/>
        </w:trPr>
        <w:tc>
          <w:tcPr>
            <w:tcW w:w="900" w:type="pct"/>
            <w:tcBorders>
              <w:top w:val="single" w:sz="6" w:space="0" w:color="000000"/>
              <w:left w:val="nil"/>
              <w:bottom w:val="single" w:sz="6" w:space="0" w:color="000000"/>
              <w:right w:val="nil"/>
            </w:tcBorders>
            <w:vAlign w:val="center"/>
            <w:hideMark/>
          </w:tcPr>
          <w:p w14:paraId="7D5E1F88" w14:textId="77777777" w:rsidR="00F478FF" w:rsidRPr="0085266E" w:rsidRDefault="00F478FF" w:rsidP="001263A3">
            <w:pPr>
              <w:jc w:val="center"/>
              <w:rPr>
                <w:rFonts w:ascii="Arial" w:eastAsia="Times New Roman" w:hAnsi="Arial" w:cs="Arial"/>
                <w:sz w:val="20"/>
                <w:szCs w:val="20"/>
              </w:rPr>
            </w:pPr>
            <w:r w:rsidRPr="0085266E">
              <w:rPr>
                <w:rStyle w:val="label"/>
                <w:rFonts w:ascii="Arial" w:eastAsia="Times New Roman" w:hAnsi="Arial" w:cs="Arial"/>
                <w:sz w:val="20"/>
                <w:szCs w:val="20"/>
              </w:rPr>
              <w:t>Stroke or systemic embolism</w:t>
            </w:r>
            <w:r w:rsidRPr="0085266E">
              <w:rPr>
                <w:rFonts w:ascii="Arial" w:eastAsia="Times New Roman" w:hAnsi="Arial" w:cs="Arial"/>
                <w:sz w:val="20"/>
                <w:szCs w:val="20"/>
              </w:rPr>
              <w:t xml:space="preserve"> </w:t>
            </w:r>
          </w:p>
        </w:tc>
        <w:tc>
          <w:tcPr>
            <w:tcW w:w="602" w:type="pct"/>
            <w:tcBorders>
              <w:top w:val="single" w:sz="6" w:space="0" w:color="000000"/>
              <w:left w:val="nil"/>
              <w:bottom w:val="single" w:sz="6" w:space="0" w:color="000000"/>
              <w:right w:val="nil"/>
            </w:tcBorders>
            <w:vAlign w:val="center"/>
            <w:hideMark/>
          </w:tcPr>
          <w:p w14:paraId="1EEC96C0" w14:textId="77777777" w:rsidR="00F478FF" w:rsidRPr="0085266E" w:rsidRDefault="00F478FF" w:rsidP="001263A3">
            <w:pPr>
              <w:rPr>
                <w:rFonts w:ascii="Arial" w:eastAsia="Times New Roman" w:hAnsi="Arial" w:cs="Arial"/>
                <w:sz w:val="20"/>
                <w:szCs w:val="20"/>
              </w:rPr>
            </w:pPr>
            <w:r w:rsidRPr="0085266E">
              <w:rPr>
                <w:rFonts w:ascii="Arial" w:eastAsia="Times New Roman" w:hAnsi="Arial" w:cs="Arial"/>
                <w:sz w:val="20"/>
                <w:szCs w:val="20"/>
              </w:rPr>
              <w:t xml:space="preserve">43 per 1.000 </w:t>
            </w:r>
          </w:p>
        </w:tc>
        <w:tc>
          <w:tcPr>
            <w:tcW w:w="727" w:type="pct"/>
            <w:tcBorders>
              <w:top w:val="single" w:sz="6" w:space="0" w:color="000000"/>
              <w:left w:val="nil"/>
              <w:bottom w:val="single" w:sz="6" w:space="0" w:color="000000"/>
              <w:right w:val="nil"/>
            </w:tcBorders>
            <w:shd w:val="clear" w:color="auto" w:fill="EBEBEB"/>
            <w:hideMark/>
          </w:tcPr>
          <w:p w14:paraId="755FFE6A" w14:textId="77777777" w:rsidR="00F478FF" w:rsidRPr="0085266E" w:rsidRDefault="00F478FF" w:rsidP="001263A3">
            <w:pPr>
              <w:jc w:val="center"/>
              <w:rPr>
                <w:rFonts w:ascii="Arial" w:eastAsia="Times New Roman" w:hAnsi="Arial" w:cs="Arial"/>
                <w:sz w:val="20"/>
                <w:szCs w:val="20"/>
              </w:rPr>
            </w:pPr>
            <w:r w:rsidRPr="0085266E">
              <w:rPr>
                <w:rStyle w:val="cell-value"/>
                <w:rFonts w:ascii="Arial" w:eastAsia="Times New Roman" w:hAnsi="Arial" w:cs="Arial"/>
                <w:b/>
                <w:bCs/>
              </w:rPr>
              <w:t>20 per 1.000</w:t>
            </w:r>
            <w:r w:rsidRPr="0085266E">
              <w:rPr>
                <w:rFonts w:ascii="Arial" w:eastAsia="Times New Roman" w:hAnsi="Arial" w:cs="Arial"/>
                <w:sz w:val="20"/>
                <w:szCs w:val="20"/>
              </w:rPr>
              <w:br/>
            </w:r>
            <w:r w:rsidRPr="0085266E">
              <w:rPr>
                <w:rStyle w:val="cell-value"/>
                <w:rFonts w:ascii="Arial" w:eastAsia="Times New Roman" w:hAnsi="Arial" w:cs="Arial"/>
              </w:rPr>
              <w:t>(11 to 38)</w:t>
            </w:r>
            <w:r w:rsidRPr="0085266E">
              <w:rPr>
                <w:rFonts w:ascii="Arial" w:eastAsia="Times New Roman" w:hAnsi="Arial" w:cs="Arial"/>
                <w:sz w:val="20"/>
                <w:szCs w:val="20"/>
              </w:rPr>
              <w:t xml:space="preserve"> </w:t>
            </w:r>
          </w:p>
        </w:tc>
        <w:tc>
          <w:tcPr>
            <w:tcW w:w="603" w:type="pct"/>
            <w:tcBorders>
              <w:top w:val="single" w:sz="6" w:space="0" w:color="000000"/>
              <w:left w:val="nil"/>
              <w:bottom w:val="single" w:sz="6" w:space="0" w:color="000000"/>
              <w:right w:val="nil"/>
            </w:tcBorders>
            <w:vAlign w:val="center"/>
            <w:hideMark/>
          </w:tcPr>
          <w:p w14:paraId="7EB03153" w14:textId="77777777" w:rsidR="00F478FF" w:rsidRPr="0085266E" w:rsidRDefault="00F478FF" w:rsidP="001263A3">
            <w:pPr>
              <w:jc w:val="center"/>
              <w:rPr>
                <w:rFonts w:ascii="Arial" w:eastAsia="Times New Roman" w:hAnsi="Arial" w:cs="Arial"/>
                <w:sz w:val="20"/>
                <w:szCs w:val="20"/>
              </w:rPr>
            </w:pPr>
            <w:r w:rsidRPr="0085266E">
              <w:rPr>
                <w:rStyle w:val="block"/>
                <w:rFonts w:ascii="Arial" w:eastAsia="Times New Roman" w:hAnsi="Arial" w:cs="Arial"/>
              </w:rPr>
              <w:t>RR 0.47</w:t>
            </w:r>
            <w:r w:rsidRPr="0085266E">
              <w:rPr>
                <w:rFonts w:ascii="Arial" w:eastAsia="Times New Roman" w:hAnsi="Arial" w:cs="Arial"/>
                <w:sz w:val="20"/>
                <w:szCs w:val="20"/>
              </w:rPr>
              <w:br/>
            </w:r>
            <w:r w:rsidRPr="0085266E">
              <w:rPr>
                <w:rStyle w:val="cell"/>
                <w:rFonts w:ascii="Arial" w:eastAsia="Times New Roman" w:hAnsi="Arial" w:cs="Arial"/>
                <w:sz w:val="20"/>
                <w:szCs w:val="20"/>
              </w:rPr>
              <w:t>(0.26 to 0.88)</w:t>
            </w:r>
            <w:r w:rsidRPr="0085266E">
              <w:rPr>
                <w:rFonts w:ascii="Arial" w:eastAsia="Times New Roman" w:hAnsi="Arial" w:cs="Arial"/>
                <w:sz w:val="20"/>
                <w:szCs w:val="20"/>
              </w:rPr>
              <w:t xml:space="preserve"> </w:t>
            </w:r>
          </w:p>
        </w:tc>
        <w:tc>
          <w:tcPr>
            <w:tcW w:w="657" w:type="pct"/>
            <w:tcBorders>
              <w:top w:val="single" w:sz="6" w:space="0" w:color="000000"/>
              <w:left w:val="nil"/>
              <w:bottom w:val="single" w:sz="6" w:space="0" w:color="000000"/>
              <w:right w:val="nil"/>
            </w:tcBorders>
            <w:vAlign w:val="center"/>
            <w:hideMark/>
          </w:tcPr>
          <w:p w14:paraId="48613111" w14:textId="77777777" w:rsidR="00F478FF" w:rsidRPr="0085266E" w:rsidRDefault="00F478FF" w:rsidP="001263A3">
            <w:pPr>
              <w:jc w:val="center"/>
              <w:rPr>
                <w:rFonts w:ascii="Arial" w:eastAsia="Times New Roman" w:hAnsi="Arial" w:cs="Arial"/>
                <w:sz w:val="20"/>
                <w:szCs w:val="20"/>
              </w:rPr>
            </w:pPr>
            <w:r w:rsidRPr="0085266E">
              <w:rPr>
                <w:rFonts w:ascii="Arial" w:eastAsia="Times New Roman" w:hAnsi="Arial" w:cs="Arial"/>
                <w:sz w:val="20"/>
                <w:szCs w:val="20"/>
              </w:rPr>
              <w:t>1449</w:t>
            </w:r>
            <w:r w:rsidRPr="0085266E">
              <w:rPr>
                <w:rFonts w:ascii="Arial" w:eastAsia="Times New Roman" w:hAnsi="Arial" w:cs="Arial"/>
                <w:sz w:val="20"/>
                <w:szCs w:val="20"/>
              </w:rPr>
              <w:br/>
              <w:t xml:space="preserve">(5 RCTs) </w:t>
            </w:r>
          </w:p>
        </w:tc>
        <w:tc>
          <w:tcPr>
            <w:tcW w:w="726" w:type="pct"/>
            <w:tcBorders>
              <w:top w:val="single" w:sz="6" w:space="0" w:color="000000"/>
              <w:left w:val="nil"/>
              <w:bottom w:val="single" w:sz="6" w:space="0" w:color="000000"/>
              <w:right w:val="nil"/>
            </w:tcBorders>
            <w:vAlign w:val="center"/>
            <w:hideMark/>
          </w:tcPr>
          <w:p w14:paraId="53A43304" w14:textId="77777777" w:rsidR="00F478FF" w:rsidRPr="0085266E" w:rsidRDefault="00F478FF" w:rsidP="001263A3">
            <w:pPr>
              <w:jc w:val="center"/>
              <w:rPr>
                <w:rFonts w:ascii="Arial" w:eastAsia="Times New Roman" w:hAnsi="Arial" w:cs="Arial"/>
                <w:sz w:val="20"/>
                <w:szCs w:val="20"/>
              </w:rPr>
            </w:pPr>
            <w:r w:rsidRPr="0085266E">
              <w:rPr>
                <w:rStyle w:val="quality-sign"/>
                <w:rFonts w:ascii="Cambria Math" w:eastAsia="Times New Roman" w:hAnsi="Cambria Math" w:cs="Cambria Math"/>
                <w:sz w:val="20"/>
                <w:szCs w:val="20"/>
              </w:rPr>
              <w:t>⨁⨁⨁◯</w:t>
            </w:r>
            <w:r w:rsidRPr="0085266E">
              <w:rPr>
                <w:rFonts w:ascii="Arial" w:eastAsia="Times New Roman" w:hAnsi="Arial" w:cs="Arial"/>
                <w:sz w:val="20"/>
                <w:szCs w:val="20"/>
              </w:rPr>
              <w:br/>
            </w:r>
            <w:r w:rsidRPr="0085266E">
              <w:rPr>
                <w:rStyle w:val="quality-text"/>
                <w:rFonts w:ascii="Arial" w:eastAsia="Times New Roman" w:hAnsi="Arial" w:cs="Arial"/>
                <w:sz w:val="20"/>
                <w:szCs w:val="20"/>
              </w:rPr>
              <w:t>MODERATE</w:t>
            </w:r>
            <w:r w:rsidRPr="0085266E">
              <w:rPr>
                <w:rFonts w:ascii="Arial" w:eastAsia="Times New Roman" w:hAnsi="Arial" w:cs="Arial"/>
                <w:sz w:val="20"/>
                <w:szCs w:val="20"/>
              </w:rPr>
              <w:t xml:space="preserve"> </w:t>
            </w:r>
            <w:r w:rsidRPr="0085266E">
              <w:rPr>
                <w:rFonts w:ascii="Arial" w:eastAsia="Times New Roman" w:hAnsi="Arial" w:cs="Arial"/>
                <w:sz w:val="20"/>
                <w:szCs w:val="20"/>
                <w:vertAlign w:val="superscript"/>
              </w:rPr>
              <w:t>a</w:t>
            </w:r>
          </w:p>
        </w:tc>
        <w:tc>
          <w:tcPr>
            <w:tcW w:w="785" w:type="pct"/>
            <w:tcBorders>
              <w:top w:val="single" w:sz="6" w:space="0" w:color="000000"/>
              <w:left w:val="nil"/>
              <w:bottom w:val="single" w:sz="6" w:space="0" w:color="000000"/>
              <w:right w:val="nil"/>
            </w:tcBorders>
            <w:vAlign w:val="center"/>
            <w:hideMark/>
          </w:tcPr>
          <w:p w14:paraId="5D45F220" w14:textId="77777777" w:rsidR="00F478FF" w:rsidRPr="0085266E" w:rsidRDefault="00F478FF" w:rsidP="001263A3">
            <w:pPr>
              <w:jc w:val="center"/>
              <w:rPr>
                <w:rFonts w:ascii="Arial" w:eastAsia="Times New Roman" w:hAnsi="Arial" w:cs="Arial"/>
                <w:sz w:val="20"/>
                <w:szCs w:val="20"/>
              </w:rPr>
            </w:pPr>
          </w:p>
        </w:tc>
      </w:tr>
      <w:tr w:rsidR="00F478FF" w:rsidRPr="0085266E" w14:paraId="64789025" w14:textId="77777777" w:rsidTr="001263A3">
        <w:trPr>
          <w:cantSplit/>
        </w:trPr>
        <w:tc>
          <w:tcPr>
            <w:tcW w:w="900" w:type="pct"/>
            <w:tcBorders>
              <w:top w:val="single" w:sz="6" w:space="0" w:color="000000"/>
              <w:left w:val="nil"/>
              <w:bottom w:val="single" w:sz="6" w:space="0" w:color="000000"/>
              <w:right w:val="nil"/>
            </w:tcBorders>
            <w:vAlign w:val="center"/>
            <w:hideMark/>
          </w:tcPr>
          <w:p w14:paraId="7C895AAD" w14:textId="77777777" w:rsidR="00F478FF" w:rsidRPr="0085266E" w:rsidRDefault="00F478FF" w:rsidP="001263A3">
            <w:pPr>
              <w:jc w:val="center"/>
              <w:rPr>
                <w:rFonts w:ascii="Arial" w:eastAsia="Times New Roman" w:hAnsi="Arial" w:cs="Arial"/>
                <w:sz w:val="20"/>
                <w:szCs w:val="20"/>
              </w:rPr>
            </w:pPr>
            <w:r w:rsidRPr="0085266E">
              <w:rPr>
                <w:rStyle w:val="label"/>
                <w:rFonts w:ascii="Arial" w:eastAsia="Times New Roman" w:hAnsi="Arial" w:cs="Arial"/>
                <w:sz w:val="20"/>
                <w:szCs w:val="20"/>
              </w:rPr>
              <w:t xml:space="preserve">Intracranial </w:t>
            </w:r>
            <w:proofErr w:type="spellStart"/>
            <w:r w:rsidRPr="0085266E">
              <w:rPr>
                <w:rStyle w:val="label"/>
                <w:rFonts w:ascii="Arial" w:eastAsia="Times New Roman" w:hAnsi="Arial" w:cs="Arial"/>
                <w:sz w:val="20"/>
                <w:szCs w:val="20"/>
              </w:rPr>
              <w:t>Haemorrhage</w:t>
            </w:r>
            <w:proofErr w:type="spellEnd"/>
            <w:r w:rsidRPr="0085266E">
              <w:rPr>
                <w:rFonts w:ascii="Arial" w:eastAsia="Times New Roman" w:hAnsi="Arial" w:cs="Arial"/>
                <w:sz w:val="20"/>
                <w:szCs w:val="20"/>
              </w:rPr>
              <w:t xml:space="preserve"> </w:t>
            </w:r>
          </w:p>
        </w:tc>
        <w:tc>
          <w:tcPr>
            <w:tcW w:w="602" w:type="pct"/>
            <w:tcBorders>
              <w:top w:val="single" w:sz="6" w:space="0" w:color="000000"/>
              <w:left w:val="nil"/>
              <w:bottom w:val="single" w:sz="6" w:space="0" w:color="000000"/>
              <w:right w:val="nil"/>
            </w:tcBorders>
            <w:vAlign w:val="center"/>
            <w:hideMark/>
          </w:tcPr>
          <w:p w14:paraId="3C6890F7" w14:textId="77777777" w:rsidR="00F478FF" w:rsidRPr="0085266E" w:rsidRDefault="00F478FF" w:rsidP="001263A3">
            <w:pPr>
              <w:rPr>
                <w:rFonts w:ascii="Arial" w:eastAsia="Times New Roman" w:hAnsi="Arial" w:cs="Arial"/>
                <w:sz w:val="20"/>
                <w:szCs w:val="20"/>
              </w:rPr>
            </w:pPr>
            <w:r w:rsidRPr="0085266E">
              <w:rPr>
                <w:rFonts w:ascii="Arial" w:eastAsia="Times New Roman" w:hAnsi="Arial" w:cs="Arial"/>
                <w:sz w:val="20"/>
                <w:szCs w:val="20"/>
              </w:rPr>
              <w:t xml:space="preserve">12 per 1.000 </w:t>
            </w:r>
          </w:p>
        </w:tc>
        <w:tc>
          <w:tcPr>
            <w:tcW w:w="727" w:type="pct"/>
            <w:tcBorders>
              <w:top w:val="single" w:sz="6" w:space="0" w:color="000000"/>
              <w:left w:val="nil"/>
              <w:bottom w:val="single" w:sz="6" w:space="0" w:color="000000"/>
              <w:right w:val="nil"/>
            </w:tcBorders>
            <w:shd w:val="clear" w:color="auto" w:fill="EBEBEB"/>
            <w:hideMark/>
          </w:tcPr>
          <w:p w14:paraId="128E1FC9" w14:textId="77777777" w:rsidR="00F478FF" w:rsidRPr="0085266E" w:rsidRDefault="00F478FF" w:rsidP="001263A3">
            <w:pPr>
              <w:jc w:val="center"/>
              <w:rPr>
                <w:rFonts w:ascii="Arial" w:eastAsia="Times New Roman" w:hAnsi="Arial" w:cs="Arial"/>
                <w:sz w:val="20"/>
                <w:szCs w:val="20"/>
              </w:rPr>
            </w:pPr>
            <w:r w:rsidRPr="0085266E">
              <w:rPr>
                <w:rStyle w:val="cell-value"/>
                <w:rFonts w:ascii="Arial" w:eastAsia="Times New Roman" w:hAnsi="Arial" w:cs="Arial"/>
                <w:b/>
                <w:bCs/>
              </w:rPr>
              <w:t>2 per 1.000</w:t>
            </w:r>
            <w:r w:rsidRPr="0085266E">
              <w:rPr>
                <w:rFonts w:ascii="Arial" w:eastAsia="Times New Roman" w:hAnsi="Arial" w:cs="Arial"/>
                <w:sz w:val="20"/>
                <w:szCs w:val="20"/>
              </w:rPr>
              <w:br/>
            </w:r>
            <w:r w:rsidRPr="0085266E">
              <w:rPr>
                <w:rStyle w:val="cell-value"/>
                <w:rFonts w:ascii="Arial" w:eastAsia="Times New Roman" w:hAnsi="Arial" w:cs="Arial"/>
              </w:rPr>
              <w:t>(0 to 13)</w:t>
            </w:r>
            <w:r w:rsidRPr="0085266E">
              <w:rPr>
                <w:rFonts w:ascii="Arial" w:eastAsia="Times New Roman" w:hAnsi="Arial" w:cs="Arial"/>
                <w:sz w:val="20"/>
                <w:szCs w:val="20"/>
              </w:rPr>
              <w:t xml:space="preserve"> </w:t>
            </w:r>
          </w:p>
        </w:tc>
        <w:tc>
          <w:tcPr>
            <w:tcW w:w="603" w:type="pct"/>
            <w:tcBorders>
              <w:top w:val="single" w:sz="6" w:space="0" w:color="000000"/>
              <w:left w:val="nil"/>
              <w:bottom w:val="single" w:sz="6" w:space="0" w:color="000000"/>
              <w:right w:val="nil"/>
            </w:tcBorders>
            <w:vAlign w:val="center"/>
            <w:hideMark/>
          </w:tcPr>
          <w:p w14:paraId="71662381" w14:textId="77777777" w:rsidR="00F478FF" w:rsidRPr="0085266E" w:rsidRDefault="00F478FF" w:rsidP="001263A3">
            <w:pPr>
              <w:jc w:val="center"/>
              <w:rPr>
                <w:rFonts w:ascii="Arial" w:eastAsia="Times New Roman" w:hAnsi="Arial" w:cs="Arial"/>
                <w:sz w:val="20"/>
                <w:szCs w:val="20"/>
              </w:rPr>
            </w:pPr>
            <w:r w:rsidRPr="0085266E">
              <w:rPr>
                <w:rStyle w:val="block"/>
                <w:rFonts w:ascii="Arial" w:eastAsia="Times New Roman" w:hAnsi="Arial" w:cs="Arial"/>
              </w:rPr>
              <w:t>OR 0.18</w:t>
            </w:r>
            <w:r w:rsidRPr="0085266E">
              <w:rPr>
                <w:rFonts w:ascii="Arial" w:eastAsia="Times New Roman" w:hAnsi="Arial" w:cs="Arial"/>
                <w:sz w:val="20"/>
                <w:szCs w:val="20"/>
              </w:rPr>
              <w:br/>
            </w:r>
            <w:r w:rsidRPr="0085266E">
              <w:rPr>
                <w:rStyle w:val="cell"/>
                <w:rFonts w:ascii="Arial" w:eastAsia="Times New Roman" w:hAnsi="Arial" w:cs="Arial"/>
                <w:sz w:val="20"/>
                <w:szCs w:val="20"/>
              </w:rPr>
              <w:t>(0.03 to 1.05)</w:t>
            </w:r>
            <w:r w:rsidRPr="0085266E">
              <w:rPr>
                <w:rFonts w:ascii="Arial" w:eastAsia="Times New Roman" w:hAnsi="Arial" w:cs="Arial"/>
                <w:sz w:val="20"/>
                <w:szCs w:val="20"/>
              </w:rPr>
              <w:t xml:space="preserve"> </w:t>
            </w:r>
          </w:p>
        </w:tc>
        <w:tc>
          <w:tcPr>
            <w:tcW w:w="657" w:type="pct"/>
            <w:tcBorders>
              <w:top w:val="single" w:sz="6" w:space="0" w:color="000000"/>
              <w:left w:val="nil"/>
              <w:bottom w:val="single" w:sz="6" w:space="0" w:color="000000"/>
              <w:right w:val="nil"/>
            </w:tcBorders>
            <w:vAlign w:val="center"/>
            <w:hideMark/>
          </w:tcPr>
          <w:p w14:paraId="766D029F" w14:textId="77777777" w:rsidR="00F478FF" w:rsidRPr="0085266E" w:rsidRDefault="00F478FF" w:rsidP="001263A3">
            <w:pPr>
              <w:jc w:val="center"/>
              <w:rPr>
                <w:rFonts w:ascii="Arial" w:eastAsia="Times New Roman" w:hAnsi="Arial" w:cs="Arial"/>
                <w:sz w:val="20"/>
                <w:szCs w:val="20"/>
              </w:rPr>
            </w:pPr>
            <w:r w:rsidRPr="0085266E">
              <w:rPr>
                <w:rFonts w:ascii="Arial" w:eastAsia="Times New Roman" w:hAnsi="Arial" w:cs="Arial"/>
                <w:sz w:val="20"/>
                <w:szCs w:val="20"/>
              </w:rPr>
              <w:t>1161</w:t>
            </w:r>
            <w:r w:rsidRPr="0085266E">
              <w:rPr>
                <w:rFonts w:ascii="Arial" w:eastAsia="Times New Roman" w:hAnsi="Arial" w:cs="Arial"/>
                <w:sz w:val="20"/>
                <w:szCs w:val="20"/>
              </w:rPr>
              <w:br/>
              <w:t xml:space="preserve">(2 RCTs) </w:t>
            </w:r>
          </w:p>
        </w:tc>
        <w:tc>
          <w:tcPr>
            <w:tcW w:w="726" w:type="pct"/>
            <w:tcBorders>
              <w:top w:val="single" w:sz="6" w:space="0" w:color="000000"/>
              <w:left w:val="nil"/>
              <w:bottom w:val="single" w:sz="6" w:space="0" w:color="000000"/>
              <w:right w:val="nil"/>
            </w:tcBorders>
            <w:vAlign w:val="center"/>
            <w:hideMark/>
          </w:tcPr>
          <w:p w14:paraId="4F0A8A38" w14:textId="77777777" w:rsidR="00F478FF" w:rsidRPr="0085266E" w:rsidRDefault="00F478FF" w:rsidP="001263A3">
            <w:pPr>
              <w:jc w:val="center"/>
              <w:rPr>
                <w:rFonts w:ascii="Arial" w:eastAsia="Times New Roman" w:hAnsi="Arial" w:cs="Arial"/>
                <w:sz w:val="20"/>
                <w:szCs w:val="20"/>
              </w:rPr>
            </w:pPr>
            <w:r w:rsidRPr="0085266E">
              <w:rPr>
                <w:rStyle w:val="quality-sign"/>
                <w:rFonts w:ascii="Cambria Math" w:eastAsia="Times New Roman" w:hAnsi="Cambria Math" w:cs="Cambria Math"/>
                <w:sz w:val="20"/>
                <w:szCs w:val="20"/>
              </w:rPr>
              <w:t>⨁⨁⨁◯</w:t>
            </w:r>
            <w:r w:rsidRPr="0085266E">
              <w:rPr>
                <w:rFonts w:ascii="Arial" w:eastAsia="Times New Roman" w:hAnsi="Arial" w:cs="Arial"/>
                <w:sz w:val="20"/>
                <w:szCs w:val="20"/>
              </w:rPr>
              <w:br/>
            </w:r>
            <w:r w:rsidRPr="0085266E">
              <w:rPr>
                <w:rStyle w:val="quality-text"/>
                <w:rFonts w:ascii="Arial" w:eastAsia="Times New Roman" w:hAnsi="Arial" w:cs="Arial"/>
                <w:sz w:val="20"/>
                <w:szCs w:val="20"/>
              </w:rPr>
              <w:t>MODERATE</w:t>
            </w:r>
            <w:r w:rsidRPr="0085266E">
              <w:rPr>
                <w:rFonts w:ascii="Arial" w:eastAsia="Times New Roman" w:hAnsi="Arial" w:cs="Arial"/>
                <w:sz w:val="20"/>
                <w:szCs w:val="20"/>
              </w:rPr>
              <w:t xml:space="preserve"> </w:t>
            </w:r>
            <w:r w:rsidRPr="0085266E">
              <w:rPr>
                <w:rFonts w:ascii="Arial" w:eastAsia="Times New Roman" w:hAnsi="Arial" w:cs="Arial"/>
                <w:sz w:val="20"/>
                <w:szCs w:val="20"/>
                <w:vertAlign w:val="superscript"/>
              </w:rPr>
              <w:t>a</w:t>
            </w:r>
          </w:p>
        </w:tc>
        <w:tc>
          <w:tcPr>
            <w:tcW w:w="785" w:type="pct"/>
            <w:tcBorders>
              <w:top w:val="single" w:sz="6" w:space="0" w:color="000000"/>
              <w:left w:val="nil"/>
              <w:bottom w:val="single" w:sz="6" w:space="0" w:color="000000"/>
              <w:right w:val="nil"/>
            </w:tcBorders>
            <w:vAlign w:val="center"/>
            <w:hideMark/>
          </w:tcPr>
          <w:p w14:paraId="626554F1" w14:textId="77777777" w:rsidR="00F478FF" w:rsidRPr="0085266E" w:rsidRDefault="00F478FF" w:rsidP="001263A3">
            <w:pPr>
              <w:jc w:val="center"/>
              <w:rPr>
                <w:rFonts w:ascii="Arial" w:eastAsia="Times New Roman" w:hAnsi="Arial" w:cs="Arial"/>
                <w:sz w:val="20"/>
                <w:szCs w:val="20"/>
              </w:rPr>
            </w:pPr>
          </w:p>
        </w:tc>
      </w:tr>
      <w:tr w:rsidR="00F478FF" w:rsidRPr="0085266E" w14:paraId="5DABD4B5" w14:textId="77777777" w:rsidTr="001263A3">
        <w:trPr>
          <w:cantSplit/>
        </w:trPr>
        <w:tc>
          <w:tcPr>
            <w:tcW w:w="900" w:type="pct"/>
            <w:tcBorders>
              <w:top w:val="single" w:sz="6" w:space="0" w:color="000000"/>
              <w:left w:val="nil"/>
              <w:bottom w:val="single" w:sz="6" w:space="0" w:color="000000"/>
              <w:right w:val="nil"/>
            </w:tcBorders>
            <w:vAlign w:val="center"/>
            <w:hideMark/>
          </w:tcPr>
          <w:p w14:paraId="003EB92E" w14:textId="77777777" w:rsidR="00F478FF" w:rsidRPr="0085266E" w:rsidRDefault="00F478FF" w:rsidP="001263A3">
            <w:pPr>
              <w:jc w:val="center"/>
              <w:rPr>
                <w:rFonts w:ascii="Arial" w:eastAsia="Times New Roman" w:hAnsi="Arial" w:cs="Arial"/>
                <w:sz w:val="20"/>
                <w:szCs w:val="20"/>
              </w:rPr>
            </w:pPr>
            <w:r w:rsidRPr="0085266E">
              <w:rPr>
                <w:rStyle w:val="label"/>
                <w:rFonts w:ascii="Arial" w:eastAsia="Times New Roman" w:hAnsi="Arial" w:cs="Arial"/>
                <w:sz w:val="20"/>
                <w:szCs w:val="20"/>
              </w:rPr>
              <w:t>Major Bleeding_</w:t>
            </w:r>
            <w:r w:rsidRPr="0085266E">
              <w:rPr>
                <w:rFonts w:ascii="Arial" w:eastAsia="Times New Roman" w:hAnsi="Arial" w:cs="Arial"/>
                <w:sz w:val="20"/>
                <w:szCs w:val="20"/>
              </w:rPr>
              <w:t xml:space="preserve"> </w:t>
            </w:r>
          </w:p>
        </w:tc>
        <w:tc>
          <w:tcPr>
            <w:tcW w:w="602" w:type="pct"/>
            <w:tcBorders>
              <w:top w:val="single" w:sz="6" w:space="0" w:color="000000"/>
              <w:left w:val="nil"/>
              <w:bottom w:val="single" w:sz="6" w:space="0" w:color="000000"/>
              <w:right w:val="nil"/>
            </w:tcBorders>
            <w:vAlign w:val="center"/>
            <w:hideMark/>
          </w:tcPr>
          <w:p w14:paraId="0152D61B" w14:textId="77777777" w:rsidR="00F478FF" w:rsidRPr="0085266E" w:rsidRDefault="00F478FF" w:rsidP="001263A3">
            <w:pPr>
              <w:rPr>
                <w:rFonts w:ascii="Arial" w:eastAsia="Times New Roman" w:hAnsi="Arial" w:cs="Arial"/>
                <w:sz w:val="20"/>
                <w:szCs w:val="20"/>
              </w:rPr>
            </w:pPr>
            <w:r w:rsidRPr="0085266E">
              <w:rPr>
                <w:rFonts w:ascii="Arial" w:eastAsia="Times New Roman" w:hAnsi="Arial" w:cs="Arial"/>
                <w:sz w:val="20"/>
                <w:szCs w:val="20"/>
              </w:rPr>
              <w:t xml:space="preserve">55 per 1.000 </w:t>
            </w:r>
          </w:p>
        </w:tc>
        <w:tc>
          <w:tcPr>
            <w:tcW w:w="727" w:type="pct"/>
            <w:tcBorders>
              <w:top w:val="single" w:sz="6" w:space="0" w:color="000000"/>
              <w:left w:val="nil"/>
              <w:bottom w:val="single" w:sz="6" w:space="0" w:color="000000"/>
              <w:right w:val="nil"/>
            </w:tcBorders>
            <w:shd w:val="clear" w:color="auto" w:fill="EBEBEB"/>
            <w:hideMark/>
          </w:tcPr>
          <w:p w14:paraId="61EC8CB8" w14:textId="77777777" w:rsidR="00F478FF" w:rsidRPr="0085266E" w:rsidRDefault="00F478FF" w:rsidP="001263A3">
            <w:pPr>
              <w:jc w:val="center"/>
              <w:rPr>
                <w:rFonts w:ascii="Arial" w:eastAsia="Times New Roman" w:hAnsi="Arial" w:cs="Arial"/>
                <w:sz w:val="20"/>
                <w:szCs w:val="20"/>
              </w:rPr>
            </w:pPr>
            <w:r w:rsidRPr="0085266E">
              <w:rPr>
                <w:rStyle w:val="cell-value"/>
                <w:rFonts w:ascii="Arial" w:eastAsia="Times New Roman" w:hAnsi="Arial" w:cs="Arial"/>
                <w:b/>
                <w:bCs/>
              </w:rPr>
              <w:t>27 per 1.000</w:t>
            </w:r>
            <w:r w:rsidRPr="0085266E">
              <w:rPr>
                <w:rFonts w:ascii="Arial" w:eastAsia="Times New Roman" w:hAnsi="Arial" w:cs="Arial"/>
                <w:sz w:val="20"/>
                <w:szCs w:val="20"/>
              </w:rPr>
              <w:br/>
            </w:r>
            <w:r w:rsidRPr="0085266E">
              <w:rPr>
                <w:rStyle w:val="cell-value"/>
                <w:rFonts w:ascii="Arial" w:eastAsia="Times New Roman" w:hAnsi="Arial" w:cs="Arial"/>
              </w:rPr>
              <w:t>(16 to 46)</w:t>
            </w:r>
            <w:r w:rsidRPr="0085266E">
              <w:rPr>
                <w:rFonts w:ascii="Arial" w:eastAsia="Times New Roman" w:hAnsi="Arial" w:cs="Arial"/>
                <w:sz w:val="20"/>
                <w:szCs w:val="20"/>
              </w:rPr>
              <w:t xml:space="preserve"> </w:t>
            </w:r>
          </w:p>
        </w:tc>
        <w:tc>
          <w:tcPr>
            <w:tcW w:w="603" w:type="pct"/>
            <w:tcBorders>
              <w:top w:val="single" w:sz="6" w:space="0" w:color="000000"/>
              <w:left w:val="nil"/>
              <w:bottom w:val="single" w:sz="6" w:space="0" w:color="000000"/>
              <w:right w:val="nil"/>
            </w:tcBorders>
            <w:vAlign w:val="center"/>
            <w:hideMark/>
          </w:tcPr>
          <w:p w14:paraId="4ADF5EEC" w14:textId="77777777" w:rsidR="00F478FF" w:rsidRPr="0085266E" w:rsidRDefault="00F478FF" w:rsidP="001263A3">
            <w:pPr>
              <w:jc w:val="center"/>
              <w:rPr>
                <w:rFonts w:ascii="Arial" w:eastAsia="Times New Roman" w:hAnsi="Arial" w:cs="Arial"/>
                <w:sz w:val="20"/>
                <w:szCs w:val="20"/>
              </w:rPr>
            </w:pPr>
            <w:r w:rsidRPr="0085266E">
              <w:rPr>
                <w:rStyle w:val="block"/>
                <w:rFonts w:ascii="Arial" w:eastAsia="Times New Roman" w:hAnsi="Arial" w:cs="Arial"/>
              </w:rPr>
              <w:t>RR 0.49</w:t>
            </w:r>
            <w:r w:rsidRPr="0085266E">
              <w:rPr>
                <w:rFonts w:ascii="Arial" w:eastAsia="Times New Roman" w:hAnsi="Arial" w:cs="Arial"/>
                <w:sz w:val="20"/>
                <w:szCs w:val="20"/>
              </w:rPr>
              <w:br/>
            </w:r>
            <w:r w:rsidRPr="0085266E">
              <w:rPr>
                <w:rStyle w:val="cell"/>
                <w:rFonts w:ascii="Arial" w:eastAsia="Times New Roman" w:hAnsi="Arial" w:cs="Arial"/>
                <w:sz w:val="20"/>
                <w:szCs w:val="20"/>
              </w:rPr>
              <w:t>(0.29 to 0.83)</w:t>
            </w:r>
            <w:r w:rsidRPr="0085266E">
              <w:rPr>
                <w:rFonts w:ascii="Arial" w:eastAsia="Times New Roman" w:hAnsi="Arial" w:cs="Arial"/>
                <w:sz w:val="20"/>
                <w:szCs w:val="20"/>
              </w:rPr>
              <w:t xml:space="preserve"> </w:t>
            </w:r>
          </w:p>
        </w:tc>
        <w:tc>
          <w:tcPr>
            <w:tcW w:w="657" w:type="pct"/>
            <w:tcBorders>
              <w:top w:val="single" w:sz="6" w:space="0" w:color="000000"/>
              <w:left w:val="nil"/>
              <w:bottom w:val="single" w:sz="6" w:space="0" w:color="000000"/>
              <w:right w:val="nil"/>
            </w:tcBorders>
            <w:vAlign w:val="center"/>
            <w:hideMark/>
          </w:tcPr>
          <w:p w14:paraId="76496E5B" w14:textId="77777777" w:rsidR="00F478FF" w:rsidRPr="0085266E" w:rsidRDefault="00F478FF" w:rsidP="001263A3">
            <w:pPr>
              <w:jc w:val="center"/>
              <w:rPr>
                <w:rFonts w:ascii="Arial" w:eastAsia="Times New Roman" w:hAnsi="Arial" w:cs="Arial"/>
                <w:sz w:val="20"/>
                <w:szCs w:val="20"/>
              </w:rPr>
            </w:pPr>
            <w:r w:rsidRPr="0085266E">
              <w:rPr>
                <w:rFonts w:ascii="Arial" w:eastAsia="Times New Roman" w:hAnsi="Arial" w:cs="Arial"/>
                <w:sz w:val="20"/>
                <w:szCs w:val="20"/>
              </w:rPr>
              <w:t>1447</w:t>
            </w:r>
            <w:r w:rsidRPr="0085266E">
              <w:rPr>
                <w:rFonts w:ascii="Arial" w:eastAsia="Times New Roman" w:hAnsi="Arial" w:cs="Arial"/>
                <w:sz w:val="20"/>
                <w:szCs w:val="20"/>
              </w:rPr>
              <w:br/>
              <w:t xml:space="preserve">(5 RCTs) </w:t>
            </w:r>
          </w:p>
        </w:tc>
        <w:tc>
          <w:tcPr>
            <w:tcW w:w="726" w:type="pct"/>
            <w:tcBorders>
              <w:top w:val="single" w:sz="6" w:space="0" w:color="000000"/>
              <w:left w:val="nil"/>
              <w:bottom w:val="single" w:sz="6" w:space="0" w:color="000000"/>
              <w:right w:val="nil"/>
            </w:tcBorders>
            <w:vAlign w:val="center"/>
            <w:hideMark/>
          </w:tcPr>
          <w:p w14:paraId="7A1B851A" w14:textId="77777777" w:rsidR="00F478FF" w:rsidRPr="0085266E" w:rsidRDefault="00F478FF" w:rsidP="001263A3">
            <w:pPr>
              <w:jc w:val="center"/>
              <w:rPr>
                <w:rFonts w:ascii="Arial" w:eastAsia="Times New Roman" w:hAnsi="Arial" w:cs="Arial"/>
                <w:sz w:val="20"/>
                <w:szCs w:val="20"/>
              </w:rPr>
            </w:pPr>
            <w:r w:rsidRPr="0085266E">
              <w:rPr>
                <w:rStyle w:val="quality-sign"/>
                <w:rFonts w:ascii="Cambria Math" w:eastAsia="Times New Roman" w:hAnsi="Cambria Math" w:cs="Cambria Math"/>
                <w:sz w:val="20"/>
                <w:szCs w:val="20"/>
              </w:rPr>
              <w:t>⨁⨁⨁◯</w:t>
            </w:r>
            <w:r w:rsidRPr="0085266E">
              <w:rPr>
                <w:rFonts w:ascii="Arial" w:eastAsia="Times New Roman" w:hAnsi="Arial" w:cs="Arial"/>
                <w:sz w:val="20"/>
                <w:szCs w:val="20"/>
              </w:rPr>
              <w:br/>
            </w:r>
            <w:r w:rsidRPr="0085266E">
              <w:rPr>
                <w:rStyle w:val="quality-text"/>
                <w:rFonts w:ascii="Arial" w:eastAsia="Times New Roman" w:hAnsi="Arial" w:cs="Arial"/>
                <w:sz w:val="20"/>
                <w:szCs w:val="20"/>
              </w:rPr>
              <w:t>MODERATE</w:t>
            </w:r>
            <w:r w:rsidRPr="0085266E">
              <w:rPr>
                <w:rFonts w:ascii="Arial" w:eastAsia="Times New Roman" w:hAnsi="Arial" w:cs="Arial"/>
                <w:sz w:val="20"/>
                <w:szCs w:val="20"/>
              </w:rPr>
              <w:t xml:space="preserve"> </w:t>
            </w:r>
            <w:r w:rsidRPr="0085266E">
              <w:rPr>
                <w:rFonts w:ascii="Arial" w:eastAsia="Times New Roman" w:hAnsi="Arial" w:cs="Arial"/>
                <w:sz w:val="20"/>
                <w:szCs w:val="20"/>
                <w:vertAlign w:val="superscript"/>
              </w:rPr>
              <w:t>a</w:t>
            </w:r>
          </w:p>
        </w:tc>
        <w:tc>
          <w:tcPr>
            <w:tcW w:w="785" w:type="pct"/>
            <w:tcBorders>
              <w:top w:val="single" w:sz="6" w:space="0" w:color="000000"/>
              <w:left w:val="nil"/>
              <w:bottom w:val="single" w:sz="6" w:space="0" w:color="000000"/>
              <w:right w:val="nil"/>
            </w:tcBorders>
            <w:vAlign w:val="center"/>
            <w:hideMark/>
          </w:tcPr>
          <w:p w14:paraId="0CCE33F4" w14:textId="77777777" w:rsidR="00F478FF" w:rsidRPr="0085266E" w:rsidRDefault="00F478FF" w:rsidP="001263A3">
            <w:pPr>
              <w:jc w:val="center"/>
              <w:rPr>
                <w:rFonts w:ascii="Arial" w:eastAsia="Times New Roman" w:hAnsi="Arial" w:cs="Arial"/>
                <w:sz w:val="20"/>
                <w:szCs w:val="20"/>
              </w:rPr>
            </w:pPr>
          </w:p>
        </w:tc>
      </w:tr>
      <w:tr w:rsidR="00F478FF" w:rsidRPr="0085266E" w14:paraId="7B431F6E" w14:textId="77777777" w:rsidTr="001263A3">
        <w:trPr>
          <w:cantSplit/>
        </w:trPr>
        <w:tc>
          <w:tcPr>
            <w:tcW w:w="5000" w:type="pct"/>
            <w:gridSpan w:val="7"/>
            <w:tcBorders>
              <w:top w:val="single" w:sz="6" w:space="0" w:color="000000"/>
              <w:left w:val="nil"/>
              <w:bottom w:val="single" w:sz="6" w:space="0" w:color="000000"/>
              <w:right w:val="nil"/>
            </w:tcBorders>
            <w:vAlign w:val="center"/>
            <w:hideMark/>
          </w:tcPr>
          <w:p w14:paraId="240BFF05" w14:textId="77777777" w:rsidR="00F478FF" w:rsidRPr="0085266E" w:rsidRDefault="00F478FF" w:rsidP="001263A3">
            <w:pPr>
              <w:rPr>
                <w:rFonts w:ascii="Arial" w:eastAsia="Times New Roman" w:hAnsi="Arial" w:cs="Arial"/>
                <w:sz w:val="20"/>
                <w:szCs w:val="20"/>
              </w:rPr>
            </w:pPr>
            <w:r w:rsidRPr="0085266E">
              <w:rPr>
                <w:rFonts w:ascii="Arial" w:eastAsia="Times New Roman" w:hAnsi="Arial" w:cs="Arial"/>
                <w:sz w:val="20"/>
                <w:szCs w:val="20"/>
              </w:rPr>
              <w:t>*</w:t>
            </w:r>
            <w:r w:rsidRPr="0085266E">
              <w:rPr>
                <w:rFonts w:ascii="Arial" w:eastAsia="Times New Roman" w:hAnsi="Arial" w:cs="Arial"/>
                <w:b/>
                <w:bCs/>
                <w:sz w:val="20"/>
                <w:szCs w:val="20"/>
              </w:rPr>
              <w:t>The risk in the intervention group</w:t>
            </w:r>
            <w:r w:rsidRPr="0085266E">
              <w:rPr>
                <w:rFonts w:ascii="Arial" w:eastAsia="Times New Roman" w:hAnsi="Arial" w:cs="Arial"/>
                <w:sz w:val="20"/>
                <w:szCs w:val="20"/>
              </w:rPr>
              <w:t xml:space="preserve"> (and its 95% confidence interval) </w:t>
            </w:r>
            <w:proofErr w:type="gramStart"/>
            <w:r w:rsidRPr="0085266E">
              <w:rPr>
                <w:rFonts w:ascii="Arial" w:eastAsia="Times New Roman" w:hAnsi="Arial" w:cs="Arial"/>
                <w:sz w:val="20"/>
                <w:szCs w:val="20"/>
              </w:rPr>
              <w:t>is based</w:t>
            </w:r>
            <w:proofErr w:type="gramEnd"/>
            <w:r w:rsidRPr="0085266E">
              <w:rPr>
                <w:rFonts w:ascii="Arial" w:eastAsia="Times New Roman" w:hAnsi="Arial" w:cs="Arial"/>
                <w:sz w:val="20"/>
                <w:szCs w:val="20"/>
              </w:rPr>
              <w:t xml:space="preserve"> on the assumed risk in the comparison group and the </w:t>
            </w:r>
            <w:r w:rsidRPr="0085266E">
              <w:rPr>
                <w:rFonts w:ascii="Arial" w:eastAsia="Times New Roman" w:hAnsi="Arial" w:cs="Arial"/>
                <w:b/>
                <w:bCs/>
                <w:sz w:val="20"/>
                <w:szCs w:val="20"/>
              </w:rPr>
              <w:t>relative effect</w:t>
            </w:r>
            <w:r w:rsidRPr="0085266E">
              <w:rPr>
                <w:rFonts w:ascii="Arial" w:eastAsia="Times New Roman" w:hAnsi="Arial" w:cs="Arial"/>
                <w:sz w:val="20"/>
                <w:szCs w:val="20"/>
              </w:rPr>
              <w:t xml:space="preserve"> of the intervention (and its 95% CI). </w:t>
            </w:r>
            <w:r w:rsidRPr="0085266E">
              <w:rPr>
                <w:rFonts w:ascii="Arial" w:eastAsia="Times New Roman" w:hAnsi="Arial" w:cs="Arial"/>
                <w:sz w:val="20"/>
                <w:szCs w:val="20"/>
              </w:rPr>
              <w:br/>
            </w:r>
            <w:r w:rsidRPr="0085266E">
              <w:rPr>
                <w:rFonts w:ascii="Arial" w:eastAsia="Times New Roman" w:hAnsi="Arial" w:cs="Arial"/>
                <w:sz w:val="20"/>
                <w:szCs w:val="20"/>
              </w:rPr>
              <w:br/>
            </w:r>
            <w:r w:rsidRPr="0085266E">
              <w:rPr>
                <w:rFonts w:ascii="Arial" w:eastAsia="Times New Roman" w:hAnsi="Arial" w:cs="Arial"/>
                <w:b/>
                <w:bCs/>
                <w:sz w:val="20"/>
                <w:szCs w:val="20"/>
              </w:rPr>
              <w:t>CI:</w:t>
            </w:r>
            <w:r w:rsidRPr="0085266E">
              <w:rPr>
                <w:rFonts w:ascii="Arial" w:eastAsia="Times New Roman" w:hAnsi="Arial" w:cs="Arial"/>
                <w:sz w:val="20"/>
                <w:szCs w:val="20"/>
              </w:rPr>
              <w:t xml:space="preserve"> Confidence interval; </w:t>
            </w:r>
            <w:r w:rsidRPr="0085266E">
              <w:rPr>
                <w:rFonts w:ascii="Arial" w:eastAsia="Times New Roman" w:hAnsi="Arial" w:cs="Arial"/>
                <w:b/>
                <w:bCs/>
                <w:sz w:val="20"/>
                <w:szCs w:val="20"/>
              </w:rPr>
              <w:t>RR:</w:t>
            </w:r>
            <w:r w:rsidRPr="0085266E">
              <w:rPr>
                <w:rFonts w:ascii="Arial" w:eastAsia="Times New Roman" w:hAnsi="Arial" w:cs="Arial"/>
                <w:sz w:val="20"/>
                <w:szCs w:val="20"/>
              </w:rPr>
              <w:t xml:space="preserve"> Risk ratio; </w:t>
            </w:r>
            <w:r w:rsidRPr="0085266E">
              <w:rPr>
                <w:rFonts w:ascii="Arial" w:eastAsia="Times New Roman" w:hAnsi="Arial" w:cs="Arial"/>
                <w:b/>
                <w:bCs/>
                <w:sz w:val="20"/>
                <w:szCs w:val="20"/>
              </w:rPr>
              <w:t>OR:</w:t>
            </w:r>
            <w:r w:rsidRPr="0085266E">
              <w:rPr>
                <w:rFonts w:ascii="Arial" w:eastAsia="Times New Roman" w:hAnsi="Arial" w:cs="Arial"/>
                <w:sz w:val="20"/>
                <w:szCs w:val="20"/>
              </w:rPr>
              <w:t xml:space="preserve"> Odds ratio </w:t>
            </w:r>
          </w:p>
        </w:tc>
      </w:tr>
      <w:tr w:rsidR="00F478FF" w:rsidRPr="00DE6F90" w14:paraId="4B79E36C" w14:textId="77777777" w:rsidTr="001263A3">
        <w:trPr>
          <w:cantSplit/>
        </w:trPr>
        <w:tc>
          <w:tcPr>
            <w:tcW w:w="5000" w:type="pct"/>
            <w:gridSpan w:val="7"/>
            <w:tcBorders>
              <w:top w:val="single" w:sz="6" w:space="0" w:color="000000"/>
              <w:left w:val="nil"/>
              <w:bottom w:val="single" w:sz="6" w:space="0" w:color="000000"/>
              <w:right w:val="nil"/>
            </w:tcBorders>
            <w:vAlign w:val="center"/>
            <w:hideMark/>
          </w:tcPr>
          <w:p w14:paraId="5919BD24" w14:textId="77777777" w:rsidR="00F478FF" w:rsidRPr="0085266E" w:rsidRDefault="00F478FF" w:rsidP="001263A3">
            <w:pPr>
              <w:rPr>
                <w:rFonts w:ascii="Arial" w:eastAsia="Times New Roman" w:hAnsi="Arial" w:cs="Arial"/>
                <w:sz w:val="20"/>
                <w:szCs w:val="20"/>
              </w:rPr>
            </w:pPr>
            <w:r w:rsidRPr="0085266E">
              <w:rPr>
                <w:rFonts w:ascii="Arial" w:eastAsia="Times New Roman" w:hAnsi="Arial" w:cs="Arial"/>
                <w:b/>
                <w:bCs/>
                <w:sz w:val="20"/>
                <w:szCs w:val="20"/>
              </w:rPr>
              <w:t>GRADE Working Group grades of evidence</w:t>
            </w:r>
            <w:r w:rsidRPr="0085266E">
              <w:rPr>
                <w:rFonts w:ascii="Arial" w:eastAsia="Times New Roman" w:hAnsi="Arial" w:cs="Arial"/>
                <w:sz w:val="20"/>
                <w:szCs w:val="20"/>
              </w:rPr>
              <w:br/>
            </w:r>
            <w:r w:rsidRPr="0085266E">
              <w:rPr>
                <w:rFonts w:ascii="Arial" w:eastAsia="Times New Roman" w:hAnsi="Arial" w:cs="Arial"/>
                <w:b/>
                <w:bCs/>
                <w:sz w:val="20"/>
                <w:szCs w:val="20"/>
              </w:rPr>
              <w:t>High certainty:</w:t>
            </w:r>
            <w:r w:rsidRPr="0085266E">
              <w:rPr>
                <w:rFonts w:ascii="Arial" w:eastAsia="Times New Roman" w:hAnsi="Arial" w:cs="Arial"/>
                <w:sz w:val="20"/>
                <w:szCs w:val="20"/>
              </w:rPr>
              <w:t xml:space="preserve"> We are very confident that the true effect lies close to that of the estimate of the effect</w:t>
            </w:r>
            <w:r w:rsidRPr="0085266E">
              <w:rPr>
                <w:rFonts w:ascii="Arial" w:eastAsia="Times New Roman" w:hAnsi="Arial" w:cs="Arial"/>
                <w:sz w:val="20"/>
                <w:szCs w:val="20"/>
              </w:rPr>
              <w:br/>
            </w:r>
            <w:r w:rsidRPr="0085266E">
              <w:rPr>
                <w:rFonts w:ascii="Arial" w:eastAsia="Times New Roman" w:hAnsi="Arial" w:cs="Arial"/>
                <w:b/>
                <w:bCs/>
                <w:sz w:val="20"/>
                <w:szCs w:val="20"/>
              </w:rPr>
              <w:t>Moderate certainty:</w:t>
            </w:r>
            <w:r w:rsidRPr="0085266E">
              <w:rPr>
                <w:rFonts w:ascii="Arial" w:eastAsia="Times New Roman" w:hAnsi="Arial" w:cs="Arial"/>
                <w:sz w:val="20"/>
                <w:szCs w:val="20"/>
              </w:rPr>
              <w:t xml:space="preserve"> We are moderately confident in the effect estimate: The true effect is likely to be close to the estimate of the effect, but there is a possibility that it is substantially different</w:t>
            </w:r>
            <w:r w:rsidRPr="0085266E">
              <w:rPr>
                <w:rFonts w:ascii="Arial" w:eastAsia="Times New Roman" w:hAnsi="Arial" w:cs="Arial"/>
                <w:sz w:val="20"/>
                <w:szCs w:val="20"/>
              </w:rPr>
              <w:br/>
            </w:r>
            <w:r w:rsidRPr="0085266E">
              <w:rPr>
                <w:rFonts w:ascii="Arial" w:eastAsia="Times New Roman" w:hAnsi="Arial" w:cs="Arial"/>
                <w:b/>
                <w:bCs/>
                <w:sz w:val="20"/>
                <w:szCs w:val="20"/>
              </w:rPr>
              <w:t>Low certainty:</w:t>
            </w:r>
            <w:r w:rsidRPr="0085266E">
              <w:rPr>
                <w:rFonts w:ascii="Arial" w:eastAsia="Times New Roman" w:hAnsi="Arial" w:cs="Arial"/>
                <w:sz w:val="20"/>
                <w:szCs w:val="20"/>
              </w:rPr>
              <w:t xml:space="preserve"> Our confidence in the effect estimate is limited: The true effect may be substantially different from the estimate of the effect</w:t>
            </w:r>
            <w:r w:rsidRPr="0085266E">
              <w:rPr>
                <w:rFonts w:ascii="Arial" w:eastAsia="Times New Roman" w:hAnsi="Arial" w:cs="Arial"/>
                <w:sz w:val="20"/>
                <w:szCs w:val="20"/>
              </w:rPr>
              <w:br/>
            </w:r>
            <w:r w:rsidRPr="0085266E">
              <w:rPr>
                <w:rFonts w:ascii="Arial" w:eastAsia="Times New Roman" w:hAnsi="Arial" w:cs="Arial"/>
                <w:b/>
                <w:bCs/>
                <w:sz w:val="20"/>
                <w:szCs w:val="20"/>
              </w:rPr>
              <w:t>Very low certainty:</w:t>
            </w:r>
            <w:r w:rsidRPr="0085266E">
              <w:rPr>
                <w:rFonts w:ascii="Arial" w:eastAsia="Times New Roman" w:hAnsi="Arial" w:cs="Arial"/>
                <w:sz w:val="20"/>
                <w:szCs w:val="20"/>
              </w:rPr>
              <w:t xml:space="preserve"> We have very little confidence in the effect estimate: The true effect is likely to be substantially different from the estimate of effect </w:t>
            </w:r>
          </w:p>
        </w:tc>
      </w:tr>
    </w:tbl>
    <w:p w14:paraId="1E167BCE" w14:textId="77777777" w:rsidR="00F478FF" w:rsidRPr="0085266E" w:rsidRDefault="00F478FF" w:rsidP="00F478FF">
      <w:pPr>
        <w:pStyle w:val="Ttulo4"/>
        <w:rPr>
          <w:rFonts w:ascii="Arial" w:eastAsia="Times New Roman" w:hAnsi="Arial" w:cs="Arial"/>
          <w:color w:val="000000"/>
          <w:sz w:val="20"/>
          <w:szCs w:val="20"/>
          <w:lang w:val="en"/>
        </w:rPr>
      </w:pPr>
      <w:r w:rsidRPr="0085266E">
        <w:rPr>
          <w:rFonts w:ascii="Arial" w:eastAsia="Times New Roman" w:hAnsi="Arial" w:cs="Arial"/>
          <w:color w:val="000000"/>
          <w:sz w:val="20"/>
          <w:szCs w:val="20"/>
          <w:lang w:val="en"/>
        </w:rPr>
        <w:t>Explanations</w:t>
      </w:r>
    </w:p>
    <w:p w14:paraId="5F9851F2" w14:textId="77777777" w:rsidR="00F478FF" w:rsidRDefault="00F478FF" w:rsidP="00F478FF">
      <w:pPr>
        <w:rPr>
          <w:rFonts w:ascii="Arial" w:eastAsia="Times New Roman" w:hAnsi="Arial" w:cs="Arial"/>
          <w:color w:val="000000"/>
          <w:sz w:val="20"/>
          <w:szCs w:val="20"/>
          <w:lang w:val="en"/>
        </w:rPr>
      </w:pPr>
      <w:r w:rsidRPr="0085266E">
        <w:rPr>
          <w:rFonts w:ascii="Arial" w:eastAsia="Times New Roman" w:hAnsi="Arial" w:cs="Arial"/>
          <w:color w:val="000000"/>
          <w:sz w:val="20"/>
          <w:szCs w:val="20"/>
          <w:lang w:val="en"/>
        </w:rPr>
        <w:t xml:space="preserve">a. Studies without allocation concealment, blinding, and/or sample size calculation. </w:t>
      </w:r>
    </w:p>
    <w:p w14:paraId="3857B86A" w14:textId="77777777" w:rsidR="00F478FF" w:rsidRPr="00F478FF" w:rsidRDefault="00F478FF" w:rsidP="00F478FF">
      <w:pPr>
        <w:spacing w:before="100" w:beforeAutospacing="1"/>
        <w:ind w:left="-283" w:right="-397"/>
        <w:rPr>
          <w:szCs w:val="24"/>
        </w:rPr>
      </w:pPr>
      <w:r w:rsidRPr="00F478FF">
        <w:rPr>
          <w:rFonts w:cs="Times New Roman"/>
          <w:b/>
          <w:szCs w:val="24"/>
        </w:rPr>
        <w:lastRenderedPageBreak/>
        <w:t xml:space="preserve">File </w:t>
      </w:r>
      <w:proofErr w:type="gramStart"/>
      <w:r w:rsidRPr="00F478FF">
        <w:rPr>
          <w:rFonts w:cs="Times New Roman"/>
          <w:b/>
          <w:szCs w:val="24"/>
        </w:rPr>
        <w:t>8</w:t>
      </w:r>
      <w:proofErr w:type="gramEnd"/>
      <w:r w:rsidRPr="00F478FF">
        <w:rPr>
          <w:rFonts w:cs="Times New Roman"/>
          <w:b/>
          <w:szCs w:val="24"/>
        </w:rPr>
        <w:t>. Table E5</w:t>
      </w:r>
      <w:r w:rsidRPr="00F478FF">
        <w:rPr>
          <w:szCs w:val="24"/>
        </w:rPr>
        <w:t xml:space="preserve">. </w:t>
      </w:r>
      <w:r w:rsidRPr="00F478FF">
        <w:rPr>
          <w:rFonts w:cs="Times New Roman"/>
          <w:szCs w:val="24"/>
        </w:rPr>
        <w:t>Summary of the main pharmacological characteristics of DOACS approved by FDA for use in U.S.</w:t>
      </w:r>
    </w:p>
    <w:tbl>
      <w:tblPr>
        <w:tblStyle w:val="SombreamentoClaro1"/>
        <w:tblW w:w="5371" w:type="pct"/>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1596"/>
        <w:gridCol w:w="1961"/>
        <w:gridCol w:w="2115"/>
        <w:gridCol w:w="1954"/>
        <w:gridCol w:w="1794"/>
        <w:gridCol w:w="1072"/>
      </w:tblGrid>
      <w:tr w:rsidR="00F478FF" w:rsidRPr="00264E4F" w14:paraId="73AA1AA2" w14:textId="77777777" w:rsidTr="00F478FF">
        <w:trPr>
          <w:cnfStyle w:val="100000000000" w:firstRow="1" w:lastRow="0" w:firstColumn="0" w:lastColumn="0" w:oddVBand="0" w:evenVBand="0" w:oddHBand="0" w:evenHBand="0" w:firstRowFirstColumn="0" w:firstRowLastColumn="0" w:lastRowFirstColumn="0" w:lastRowLastColumn="0"/>
          <w:trHeight w:val="310"/>
        </w:trPr>
        <w:tc>
          <w:tcPr>
            <w:tcW w:w="760" w:type="pct"/>
            <w:tcBorders>
              <w:top w:val="single" w:sz="4" w:space="0" w:color="auto"/>
              <w:left w:val="single" w:sz="4" w:space="0" w:color="auto"/>
            </w:tcBorders>
            <w:shd w:val="clear" w:color="auto" w:fill="4A442A" w:themeFill="background2" w:themeFillShade="40"/>
            <w:noWrap/>
          </w:tcPr>
          <w:p w14:paraId="184A8F41" w14:textId="77777777" w:rsidR="00F478FF" w:rsidRPr="00F478FF" w:rsidRDefault="00F478FF" w:rsidP="001263A3">
            <w:pPr>
              <w:jc w:val="center"/>
              <w:rPr>
                <w:rFonts w:cs="Times New Roman"/>
                <w:color w:val="FFFFFF" w:themeColor="background1"/>
                <w:sz w:val="20"/>
                <w:szCs w:val="20"/>
                <w:lang w:val="en-US"/>
              </w:rPr>
            </w:pPr>
            <w:r w:rsidRPr="00F478FF">
              <w:rPr>
                <w:rFonts w:cs="Times New Roman"/>
                <w:color w:val="FFFFFF" w:themeColor="background1"/>
                <w:sz w:val="20"/>
                <w:szCs w:val="20"/>
                <w:lang w:val="en-US"/>
              </w:rPr>
              <w:t>CHARACTERISTICS</w:t>
            </w:r>
          </w:p>
        </w:tc>
        <w:tc>
          <w:tcPr>
            <w:tcW w:w="934" w:type="pct"/>
            <w:tcBorders>
              <w:top w:val="single" w:sz="4" w:space="0" w:color="auto"/>
            </w:tcBorders>
            <w:shd w:val="clear" w:color="auto" w:fill="4A442A" w:themeFill="background2" w:themeFillShade="40"/>
          </w:tcPr>
          <w:p w14:paraId="7F6674CB" w14:textId="77777777" w:rsidR="00F478FF" w:rsidRPr="00F478FF" w:rsidRDefault="00F478FF" w:rsidP="001263A3">
            <w:pPr>
              <w:jc w:val="center"/>
              <w:rPr>
                <w:rFonts w:cs="Times New Roman"/>
                <w:color w:val="FFFFFF" w:themeColor="background1"/>
                <w:sz w:val="20"/>
                <w:szCs w:val="20"/>
                <w:lang w:val="en-US"/>
              </w:rPr>
            </w:pPr>
            <w:r w:rsidRPr="00F478FF">
              <w:rPr>
                <w:rFonts w:cs="Times New Roman"/>
                <w:color w:val="FFFFFF" w:themeColor="background1"/>
                <w:sz w:val="20"/>
                <w:szCs w:val="20"/>
                <w:lang w:val="en-US"/>
              </w:rPr>
              <w:t>DABIGATRAN</w:t>
            </w:r>
          </w:p>
        </w:tc>
        <w:tc>
          <w:tcPr>
            <w:tcW w:w="1008" w:type="pct"/>
            <w:tcBorders>
              <w:top w:val="single" w:sz="4" w:space="0" w:color="auto"/>
            </w:tcBorders>
            <w:shd w:val="clear" w:color="auto" w:fill="4A442A" w:themeFill="background2" w:themeFillShade="40"/>
          </w:tcPr>
          <w:p w14:paraId="189B9B31" w14:textId="77777777" w:rsidR="00F478FF" w:rsidRPr="00F478FF" w:rsidRDefault="00F478FF" w:rsidP="001263A3">
            <w:pPr>
              <w:jc w:val="center"/>
              <w:rPr>
                <w:rFonts w:cs="Times New Roman"/>
                <w:color w:val="FFFFFF" w:themeColor="background1"/>
                <w:sz w:val="20"/>
                <w:szCs w:val="20"/>
                <w:lang w:val="en-US"/>
              </w:rPr>
            </w:pPr>
            <w:r w:rsidRPr="00F478FF">
              <w:rPr>
                <w:rFonts w:cs="Times New Roman"/>
                <w:color w:val="FFFFFF" w:themeColor="background1"/>
                <w:sz w:val="20"/>
                <w:szCs w:val="20"/>
                <w:lang w:val="en-US"/>
              </w:rPr>
              <w:t>RIVAROXABAN</w:t>
            </w:r>
          </w:p>
        </w:tc>
        <w:tc>
          <w:tcPr>
            <w:tcW w:w="931" w:type="pct"/>
            <w:tcBorders>
              <w:top w:val="single" w:sz="4" w:space="0" w:color="auto"/>
            </w:tcBorders>
            <w:shd w:val="clear" w:color="auto" w:fill="4A442A" w:themeFill="background2" w:themeFillShade="40"/>
          </w:tcPr>
          <w:p w14:paraId="249D5BA1" w14:textId="77777777" w:rsidR="00F478FF" w:rsidRPr="00F478FF" w:rsidRDefault="00F478FF" w:rsidP="001263A3">
            <w:pPr>
              <w:jc w:val="center"/>
              <w:rPr>
                <w:rFonts w:cs="Times New Roman"/>
                <w:color w:val="FFFFFF" w:themeColor="background1"/>
                <w:sz w:val="20"/>
                <w:szCs w:val="20"/>
                <w:lang w:val="en-US"/>
              </w:rPr>
            </w:pPr>
            <w:r w:rsidRPr="00F478FF">
              <w:rPr>
                <w:rFonts w:cs="Times New Roman"/>
                <w:color w:val="FFFFFF" w:themeColor="background1"/>
                <w:sz w:val="20"/>
                <w:szCs w:val="20"/>
                <w:lang w:val="en-US"/>
              </w:rPr>
              <w:t>APIXABAN</w:t>
            </w:r>
          </w:p>
        </w:tc>
        <w:tc>
          <w:tcPr>
            <w:tcW w:w="855" w:type="pct"/>
            <w:tcBorders>
              <w:top w:val="single" w:sz="4" w:space="0" w:color="auto"/>
            </w:tcBorders>
            <w:shd w:val="clear" w:color="auto" w:fill="4A442A" w:themeFill="background2" w:themeFillShade="40"/>
          </w:tcPr>
          <w:p w14:paraId="43D0E523" w14:textId="77777777" w:rsidR="00F478FF" w:rsidRPr="00F478FF" w:rsidRDefault="00F478FF" w:rsidP="001263A3">
            <w:pPr>
              <w:jc w:val="center"/>
              <w:rPr>
                <w:rFonts w:cs="Times New Roman"/>
                <w:color w:val="FFFFFF" w:themeColor="background1"/>
                <w:sz w:val="20"/>
                <w:szCs w:val="20"/>
                <w:lang w:val="en-US"/>
              </w:rPr>
            </w:pPr>
            <w:r w:rsidRPr="00F478FF">
              <w:rPr>
                <w:rFonts w:cs="Times New Roman"/>
                <w:color w:val="FFFFFF" w:themeColor="background1"/>
                <w:sz w:val="20"/>
                <w:szCs w:val="20"/>
                <w:lang w:val="en-US"/>
              </w:rPr>
              <w:t>EDOXABAN</w:t>
            </w:r>
          </w:p>
        </w:tc>
        <w:tc>
          <w:tcPr>
            <w:tcW w:w="511" w:type="pct"/>
            <w:tcBorders>
              <w:top w:val="single" w:sz="4" w:space="0" w:color="auto"/>
              <w:right w:val="single" w:sz="4" w:space="0" w:color="auto"/>
            </w:tcBorders>
            <w:shd w:val="clear" w:color="auto" w:fill="4A442A" w:themeFill="background2" w:themeFillShade="40"/>
          </w:tcPr>
          <w:p w14:paraId="3FF34BA7" w14:textId="77777777" w:rsidR="00F478FF" w:rsidRPr="00F478FF" w:rsidRDefault="00F478FF" w:rsidP="001263A3">
            <w:pPr>
              <w:jc w:val="center"/>
              <w:rPr>
                <w:rFonts w:cs="Times New Roman"/>
                <w:color w:val="FFFFFF" w:themeColor="background1"/>
                <w:sz w:val="20"/>
                <w:szCs w:val="20"/>
                <w:lang w:val="en-US"/>
              </w:rPr>
            </w:pPr>
            <w:r w:rsidRPr="00F478FF">
              <w:rPr>
                <w:rFonts w:cs="Times New Roman"/>
                <w:color w:val="FFFFFF" w:themeColor="background1"/>
                <w:sz w:val="20"/>
                <w:szCs w:val="20"/>
                <w:lang w:val="en-US"/>
              </w:rPr>
              <w:t>BETRIXABAN</w:t>
            </w:r>
          </w:p>
        </w:tc>
      </w:tr>
      <w:tr w:rsidR="00F478FF" w:rsidRPr="00264E4F" w14:paraId="23093C0D" w14:textId="77777777" w:rsidTr="00F478FF">
        <w:trPr>
          <w:cnfStyle w:val="000000100000" w:firstRow="0" w:lastRow="0" w:firstColumn="0" w:lastColumn="0" w:oddVBand="0" w:evenVBand="0" w:oddHBand="1" w:evenHBand="0" w:firstRowFirstColumn="0" w:firstRowLastColumn="0" w:lastRowFirstColumn="0" w:lastRowLastColumn="0"/>
          <w:trHeight w:val="433"/>
        </w:trPr>
        <w:tc>
          <w:tcPr>
            <w:tcW w:w="760" w:type="pct"/>
            <w:tcBorders>
              <w:top w:val="single" w:sz="8" w:space="0" w:color="000000" w:themeColor="text1"/>
              <w:left w:val="single" w:sz="4" w:space="0" w:color="auto"/>
              <w:right w:val="single" w:sz="4" w:space="0" w:color="auto"/>
            </w:tcBorders>
            <w:shd w:val="clear" w:color="auto" w:fill="FFFFFF" w:themeFill="background1"/>
            <w:noWrap/>
          </w:tcPr>
          <w:p w14:paraId="5FCCB84E" w14:textId="77777777" w:rsidR="00F478FF" w:rsidRPr="0010341F" w:rsidRDefault="00F478FF" w:rsidP="001263A3">
            <w:pPr>
              <w:rPr>
                <w:rFonts w:cs="Times New Roman"/>
                <w:b/>
                <w:color w:val="auto"/>
                <w:sz w:val="20"/>
                <w:szCs w:val="20"/>
                <w:lang w:val="en-US"/>
              </w:rPr>
            </w:pPr>
            <w:r w:rsidRPr="0010341F">
              <w:rPr>
                <w:rFonts w:cs="Times New Roman"/>
                <w:b/>
                <w:color w:val="auto"/>
                <w:sz w:val="20"/>
                <w:szCs w:val="20"/>
                <w:lang w:val="en-US"/>
              </w:rPr>
              <w:t>Commercial name</w:t>
            </w:r>
          </w:p>
        </w:tc>
        <w:tc>
          <w:tcPr>
            <w:tcW w:w="934" w:type="pct"/>
            <w:tcBorders>
              <w:left w:val="single" w:sz="4" w:space="0" w:color="auto"/>
              <w:bottom w:val="single" w:sz="4" w:space="0" w:color="auto"/>
            </w:tcBorders>
            <w:shd w:val="clear" w:color="auto" w:fill="FFFFFF" w:themeFill="background1"/>
          </w:tcPr>
          <w:p w14:paraId="4BC76120" w14:textId="77777777" w:rsidR="00F478FF" w:rsidRPr="00EA47DF" w:rsidRDefault="00F478FF" w:rsidP="001263A3">
            <w:pPr>
              <w:jc w:val="center"/>
              <w:rPr>
                <w:rStyle w:val="nfaseSutil"/>
                <w:i w:val="0"/>
                <w:color w:val="auto"/>
                <w:sz w:val="20"/>
                <w:szCs w:val="20"/>
                <w:lang w:val="en-US"/>
              </w:rPr>
            </w:pPr>
            <w:proofErr w:type="spellStart"/>
            <w:r w:rsidRPr="00EA47DF">
              <w:rPr>
                <w:rStyle w:val="nfaseSutil"/>
                <w:color w:val="auto"/>
                <w:sz w:val="20"/>
                <w:szCs w:val="20"/>
                <w:lang w:val="en-US"/>
              </w:rPr>
              <w:t>Pradaxa</w:t>
            </w:r>
            <w:proofErr w:type="spellEnd"/>
            <w:r w:rsidRPr="00EA47DF">
              <w:rPr>
                <w:rStyle w:val="nfaseSutil"/>
                <w:color w:val="auto"/>
                <w:sz w:val="20"/>
                <w:szCs w:val="20"/>
                <w:lang w:val="en-US"/>
              </w:rPr>
              <w:t>®</w:t>
            </w:r>
          </w:p>
        </w:tc>
        <w:tc>
          <w:tcPr>
            <w:tcW w:w="1008" w:type="pct"/>
            <w:tcBorders>
              <w:bottom w:val="single" w:sz="4" w:space="0" w:color="auto"/>
            </w:tcBorders>
            <w:shd w:val="clear" w:color="auto" w:fill="FFFFFF" w:themeFill="background1"/>
          </w:tcPr>
          <w:p w14:paraId="3AE5EBD5" w14:textId="77777777" w:rsidR="00F478FF" w:rsidRPr="00EA47DF" w:rsidRDefault="00F478FF" w:rsidP="001263A3">
            <w:pPr>
              <w:jc w:val="center"/>
              <w:rPr>
                <w:rFonts w:cs="Times New Roman"/>
                <w:color w:val="auto"/>
                <w:sz w:val="20"/>
                <w:szCs w:val="20"/>
                <w:lang w:val="en-US"/>
              </w:rPr>
            </w:pPr>
            <w:proofErr w:type="spellStart"/>
            <w:r w:rsidRPr="00EA47DF">
              <w:rPr>
                <w:rFonts w:cs="Times New Roman"/>
                <w:color w:val="auto"/>
                <w:sz w:val="20"/>
                <w:szCs w:val="20"/>
                <w:lang w:val="en-US"/>
              </w:rPr>
              <w:t>Xarelto</w:t>
            </w:r>
            <w:proofErr w:type="spellEnd"/>
            <w:r w:rsidRPr="00EA47DF">
              <w:rPr>
                <w:rFonts w:cs="Times New Roman"/>
                <w:color w:val="auto"/>
                <w:sz w:val="20"/>
                <w:szCs w:val="20"/>
                <w:lang w:val="en-US"/>
              </w:rPr>
              <w:t>®</w:t>
            </w:r>
          </w:p>
        </w:tc>
        <w:tc>
          <w:tcPr>
            <w:tcW w:w="931" w:type="pct"/>
            <w:tcBorders>
              <w:bottom w:val="single" w:sz="4" w:space="0" w:color="auto"/>
            </w:tcBorders>
            <w:shd w:val="clear" w:color="auto" w:fill="FFFFFF" w:themeFill="background1"/>
          </w:tcPr>
          <w:p w14:paraId="219510BD" w14:textId="77777777" w:rsidR="00F478FF" w:rsidRPr="00EA47DF" w:rsidRDefault="00F478FF" w:rsidP="001263A3">
            <w:pPr>
              <w:jc w:val="center"/>
              <w:rPr>
                <w:rFonts w:cs="Times New Roman"/>
                <w:color w:val="auto"/>
                <w:sz w:val="20"/>
                <w:szCs w:val="20"/>
                <w:lang w:val="en-US"/>
              </w:rPr>
            </w:pPr>
            <w:proofErr w:type="spellStart"/>
            <w:r w:rsidRPr="00EA47DF">
              <w:rPr>
                <w:rFonts w:cs="Times New Roman"/>
                <w:color w:val="auto"/>
                <w:sz w:val="20"/>
                <w:szCs w:val="20"/>
                <w:lang w:val="en-US"/>
              </w:rPr>
              <w:t>Eliquis</w:t>
            </w:r>
            <w:proofErr w:type="spellEnd"/>
            <w:r w:rsidRPr="00EA47DF">
              <w:rPr>
                <w:rFonts w:cs="Times New Roman"/>
                <w:color w:val="auto"/>
                <w:sz w:val="20"/>
                <w:szCs w:val="20"/>
                <w:lang w:val="en-US"/>
              </w:rPr>
              <w:t>®</w:t>
            </w:r>
          </w:p>
        </w:tc>
        <w:tc>
          <w:tcPr>
            <w:tcW w:w="855" w:type="pct"/>
            <w:tcBorders>
              <w:bottom w:val="single" w:sz="4" w:space="0" w:color="auto"/>
            </w:tcBorders>
            <w:shd w:val="clear" w:color="auto" w:fill="FFFFFF" w:themeFill="background1"/>
          </w:tcPr>
          <w:p w14:paraId="6EAFEBA3" w14:textId="77777777" w:rsidR="00F478FF" w:rsidRPr="00EA47DF" w:rsidRDefault="00F478FF" w:rsidP="001263A3">
            <w:pPr>
              <w:jc w:val="center"/>
              <w:rPr>
                <w:rFonts w:cs="Times New Roman"/>
                <w:color w:val="auto"/>
                <w:sz w:val="20"/>
                <w:szCs w:val="20"/>
                <w:lang w:val="en-US"/>
              </w:rPr>
            </w:pPr>
            <w:proofErr w:type="spellStart"/>
            <w:r w:rsidRPr="00EA47DF">
              <w:rPr>
                <w:rFonts w:cs="Times New Roman"/>
                <w:color w:val="auto"/>
                <w:sz w:val="20"/>
                <w:szCs w:val="20"/>
                <w:lang w:val="en-US"/>
              </w:rPr>
              <w:t>Savaysa</w:t>
            </w:r>
            <w:proofErr w:type="spellEnd"/>
            <w:r w:rsidRPr="00EA47DF">
              <w:rPr>
                <w:rFonts w:cs="Times New Roman"/>
                <w:color w:val="auto"/>
                <w:sz w:val="20"/>
                <w:szCs w:val="20"/>
                <w:lang w:val="en-US"/>
              </w:rPr>
              <w:t>®</w:t>
            </w:r>
          </w:p>
        </w:tc>
        <w:tc>
          <w:tcPr>
            <w:tcW w:w="511" w:type="pct"/>
            <w:tcBorders>
              <w:bottom w:val="single" w:sz="4" w:space="0" w:color="auto"/>
              <w:right w:val="single" w:sz="4" w:space="0" w:color="auto"/>
            </w:tcBorders>
            <w:shd w:val="clear" w:color="auto" w:fill="FFFFFF" w:themeFill="background1"/>
          </w:tcPr>
          <w:p w14:paraId="6DEFC945" w14:textId="77777777" w:rsidR="00F478FF" w:rsidRPr="00EA47DF" w:rsidRDefault="00F478FF" w:rsidP="001263A3">
            <w:pPr>
              <w:jc w:val="center"/>
              <w:rPr>
                <w:rFonts w:cs="Times New Roman"/>
                <w:sz w:val="20"/>
                <w:szCs w:val="20"/>
                <w:lang w:val="en-US"/>
              </w:rPr>
            </w:pPr>
            <w:proofErr w:type="spellStart"/>
            <w:r w:rsidRPr="00EA47DF">
              <w:rPr>
                <w:rFonts w:cs="Times New Roman"/>
                <w:sz w:val="20"/>
                <w:szCs w:val="20"/>
                <w:lang w:val="en-US"/>
              </w:rPr>
              <w:t>Bevyxxa</w:t>
            </w:r>
            <w:proofErr w:type="spellEnd"/>
            <w:r w:rsidRPr="00EA47DF">
              <w:rPr>
                <w:rFonts w:cs="Times New Roman"/>
                <w:color w:val="auto"/>
                <w:sz w:val="20"/>
                <w:szCs w:val="20"/>
                <w:lang w:val="en-US"/>
              </w:rPr>
              <w:t>®</w:t>
            </w:r>
          </w:p>
        </w:tc>
      </w:tr>
      <w:tr w:rsidR="00F478FF" w:rsidRPr="00264E4F" w14:paraId="36E07192" w14:textId="77777777" w:rsidTr="00F478FF">
        <w:trPr>
          <w:trHeight w:val="490"/>
        </w:trPr>
        <w:tc>
          <w:tcPr>
            <w:tcW w:w="760" w:type="pct"/>
            <w:shd w:val="clear" w:color="auto" w:fill="FFFFFF" w:themeFill="background1"/>
            <w:noWrap/>
          </w:tcPr>
          <w:p w14:paraId="34518C6D" w14:textId="77777777" w:rsidR="00F478FF" w:rsidRPr="0010341F" w:rsidRDefault="00F478FF" w:rsidP="001263A3">
            <w:pPr>
              <w:rPr>
                <w:rFonts w:cs="Times New Roman"/>
                <w:b/>
                <w:sz w:val="20"/>
                <w:szCs w:val="20"/>
                <w:lang w:val="en-US"/>
              </w:rPr>
            </w:pPr>
            <w:r w:rsidRPr="0010341F">
              <w:rPr>
                <w:rFonts w:cs="Times New Roman"/>
                <w:b/>
                <w:color w:val="auto"/>
                <w:sz w:val="20"/>
                <w:szCs w:val="20"/>
                <w:lang w:val="en-US"/>
              </w:rPr>
              <w:t>Dosage forms (mg)</w:t>
            </w:r>
          </w:p>
        </w:tc>
        <w:tc>
          <w:tcPr>
            <w:tcW w:w="934" w:type="pct"/>
            <w:shd w:val="clear" w:color="auto" w:fill="FFFFFF" w:themeFill="background1"/>
          </w:tcPr>
          <w:p w14:paraId="3784F2F0" w14:textId="77777777" w:rsidR="00F478FF" w:rsidRPr="00EA47DF" w:rsidRDefault="00F478FF" w:rsidP="001263A3">
            <w:pPr>
              <w:jc w:val="center"/>
              <w:rPr>
                <w:rStyle w:val="nfaseSutil"/>
                <w:i w:val="0"/>
                <w:color w:val="auto"/>
                <w:sz w:val="20"/>
                <w:szCs w:val="20"/>
                <w:lang w:val="en-US"/>
              </w:rPr>
            </w:pPr>
            <w:r w:rsidRPr="00EA47DF">
              <w:rPr>
                <w:rStyle w:val="nfaseSutil"/>
                <w:color w:val="auto"/>
                <w:sz w:val="20"/>
                <w:szCs w:val="20"/>
                <w:lang w:val="en-US"/>
              </w:rPr>
              <w:t>Capsule 75 and 150 *</w:t>
            </w:r>
          </w:p>
        </w:tc>
        <w:tc>
          <w:tcPr>
            <w:tcW w:w="1008" w:type="pct"/>
            <w:shd w:val="clear" w:color="auto" w:fill="FFFFFF" w:themeFill="background1"/>
          </w:tcPr>
          <w:p w14:paraId="0268A3A7" w14:textId="77777777" w:rsidR="00F478FF" w:rsidRPr="00EA47DF" w:rsidRDefault="00F478FF" w:rsidP="001263A3">
            <w:pPr>
              <w:jc w:val="center"/>
              <w:rPr>
                <w:rFonts w:cs="Times New Roman"/>
                <w:sz w:val="20"/>
                <w:szCs w:val="20"/>
                <w:lang w:val="en-US"/>
              </w:rPr>
            </w:pPr>
            <w:r w:rsidRPr="00EA47DF">
              <w:rPr>
                <w:rFonts w:cs="Times New Roman"/>
                <w:sz w:val="20"/>
                <w:szCs w:val="20"/>
                <w:lang w:val="en-US"/>
              </w:rPr>
              <w:t>Tablet 2.5, 10, 15 and 20 *</w:t>
            </w:r>
          </w:p>
        </w:tc>
        <w:tc>
          <w:tcPr>
            <w:tcW w:w="931" w:type="pct"/>
            <w:shd w:val="clear" w:color="auto" w:fill="FFFFFF" w:themeFill="background1"/>
          </w:tcPr>
          <w:p w14:paraId="035AF592" w14:textId="77777777" w:rsidR="00F478FF" w:rsidRPr="00EA47DF" w:rsidRDefault="00F478FF" w:rsidP="001263A3">
            <w:pPr>
              <w:jc w:val="center"/>
              <w:rPr>
                <w:rFonts w:cs="Times New Roman"/>
                <w:sz w:val="20"/>
                <w:szCs w:val="20"/>
                <w:lang w:val="en-US"/>
              </w:rPr>
            </w:pPr>
            <w:r w:rsidRPr="00EA47DF">
              <w:rPr>
                <w:rFonts w:cs="Times New Roman"/>
                <w:sz w:val="20"/>
                <w:szCs w:val="20"/>
                <w:lang w:val="en-US"/>
              </w:rPr>
              <w:t>2.5 and 5 *</w:t>
            </w:r>
          </w:p>
        </w:tc>
        <w:tc>
          <w:tcPr>
            <w:tcW w:w="855" w:type="pct"/>
            <w:shd w:val="clear" w:color="auto" w:fill="FFFFFF" w:themeFill="background1"/>
          </w:tcPr>
          <w:p w14:paraId="538B827C" w14:textId="77777777" w:rsidR="00F478FF" w:rsidRPr="00EA47DF" w:rsidRDefault="00F478FF" w:rsidP="001263A3">
            <w:pPr>
              <w:jc w:val="center"/>
              <w:rPr>
                <w:rFonts w:cs="Times New Roman"/>
                <w:sz w:val="20"/>
                <w:szCs w:val="20"/>
                <w:lang w:val="en-US"/>
              </w:rPr>
            </w:pPr>
            <w:r w:rsidRPr="00EA47DF">
              <w:rPr>
                <w:rFonts w:cs="Times New Roman"/>
                <w:sz w:val="20"/>
                <w:szCs w:val="20"/>
                <w:lang w:val="en-US"/>
              </w:rPr>
              <w:t>Tablet 15, 30 and 60 *</w:t>
            </w:r>
          </w:p>
        </w:tc>
        <w:tc>
          <w:tcPr>
            <w:tcW w:w="511" w:type="pct"/>
            <w:shd w:val="clear" w:color="auto" w:fill="FFFFFF" w:themeFill="background1"/>
          </w:tcPr>
          <w:p w14:paraId="2A19B278" w14:textId="77777777" w:rsidR="00F478FF" w:rsidRPr="00EA47DF" w:rsidRDefault="00F478FF" w:rsidP="001263A3">
            <w:pPr>
              <w:jc w:val="center"/>
              <w:rPr>
                <w:rFonts w:cs="Times New Roman"/>
                <w:sz w:val="20"/>
                <w:szCs w:val="20"/>
                <w:lang w:val="en-US"/>
              </w:rPr>
            </w:pPr>
            <w:r w:rsidRPr="00EA47DF">
              <w:rPr>
                <w:rFonts w:cs="Times New Roman"/>
                <w:sz w:val="20"/>
                <w:szCs w:val="20"/>
                <w:lang w:val="en-US"/>
              </w:rPr>
              <w:t>Capsule 40 and 80</w:t>
            </w:r>
          </w:p>
        </w:tc>
      </w:tr>
      <w:tr w:rsidR="00F478FF" w:rsidRPr="00CF3C3E" w14:paraId="61D9EBBD" w14:textId="77777777" w:rsidTr="00F478FF">
        <w:trPr>
          <w:cnfStyle w:val="000000100000" w:firstRow="0" w:lastRow="0" w:firstColumn="0" w:lastColumn="0" w:oddVBand="0" w:evenVBand="0" w:oddHBand="1" w:evenHBand="0" w:firstRowFirstColumn="0" w:firstRowLastColumn="0" w:lastRowFirstColumn="0" w:lastRowLastColumn="0"/>
          <w:trHeight w:val="433"/>
        </w:trPr>
        <w:tc>
          <w:tcPr>
            <w:tcW w:w="760" w:type="pct"/>
            <w:tcBorders>
              <w:left w:val="single" w:sz="4" w:space="0" w:color="auto"/>
              <w:right w:val="single" w:sz="4" w:space="0" w:color="auto"/>
            </w:tcBorders>
            <w:shd w:val="clear" w:color="auto" w:fill="FFFFFF" w:themeFill="background1"/>
            <w:noWrap/>
          </w:tcPr>
          <w:p w14:paraId="5B71CEEC" w14:textId="77777777" w:rsidR="00F478FF" w:rsidRPr="0010341F" w:rsidRDefault="00F478FF" w:rsidP="001263A3">
            <w:pPr>
              <w:rPr>
                <w:rFonts w:cs="Times New Roman"/>
                <w:b/>
                <w:color w:val="auto"/>
                <w:sz w:val="20"/>
                <w:szCs w:val="20"/>
                <w:lang w:val="en-US"/>
              </w:rPr>
            </w:pPr>
            <w:r w:rsidRPr="0010341F">
              <w:rPr>
                <w:rFonts w:cs="Times New Roman"/>
                <w:b/>
                <w:color w:val="auto"/>
                <w:sz w:val="20"/>
                <w:szCs w:val="20"/>
                <w:lang w:val="en-US"/>
              </w:rPr>
              <w:t>Mechanism of action</w:t>
            </w:r>
          </w:p>
        </w:tc>
        <w:tc>
          <w:tcPr>
            <w:tcW w:w="934" w:type="pct"/>
            <w:tcBorders>
              <w:left w:val="single" w:sz="4" w:space="0" w:color="auto"/>
              <w:right w:val="single" w:sz="4" w:space="0" w:color="auto"/>
            </w:tcBorders>
            <w:shd w:val="clear" w:color="auto" w:fill="FFFFFF" w:themeFill="background1"/>
          </w:tcPr>
          <w:p w14:paraId="381C0841" w14:textId="77777777" w:rsidR="00F478FF" w:rsidRPr="00EA47DF" w:rsidRDefault="00F478FF" w:rsidP="001263A3">
            <w:pPr>
              <w:jc w:val="center"/>
              <w:rPr>
                <w:rStyle w:val="nfaseSutil"/>
                <w:i w:val="0"/>
                <w:color w:val="auto"/>
                <w:sz w:val="20"/>
                <w:szCs w:val="20"/>
                <w:lang w:val="en-US"/>
              </w:rPr>
            </w:pPr>
            <w:r w:rsidRPr="00EA47DF">
              <w:rPr>
                <w:rStyle w:val="nfaseSutil"/>
                <w:color w:val="auto"/>
                <w:sz w:val="20"/>
                <w:szCs w:val="20"/>
                <w:lang w:val="en-US"/>
              </w:rPr>
              <w:t>Direct Thrombin Inhibitor</w:t>
            </w:r>
          </w:p>
        </w:tc>
        <w:tc>
          <w:tcPr>
            <w:tcW w:w="1008" w:type="pct"/>
            <w:tcBorders>
              <w:left w:val="single" w:sz="4" w:space="0" w:color="auto"/>
              <w:right w:val="single" w:sz="4" w:space="0" w:color="auto"/>
            </w:tcBorders>
            <w:shd w:val="clear" w:color="auto" w:fill="FFFFFF" w:themeFill="background1"/>
          </w:tcPr>
          <w:p w14:paraId="26757B42" w14:textId="77777777" w:rsidR="00F478FF" w:rsidRPr="00EA47DF" w:rsidRDefault="00F478FF" w:rsidP="001263A3">
            <w:pPr>
              <w:jc w:val="center"/>
              <w:rPr>
                <w:rFonts w:cs="Times New Roman"/>
                <w:sz w:val="20"/>
                <w:szCs w:val="20"/>
                <w:lang w:val="en-US"/>
              </w:rPr>
            </w:pPr>
            <w:r w:rsidRPr="00EA47DF">
              <w:rPr>
                <w:rFonts w:cs="Times New Roman"/>
                <w:sz w:val="20"/>
                <w:szCs w:val="20"/>
                <w:lang w:val="en-US"/>
              </w:rPr>
              <w:t xml:space="preserve">Factor </w:t>
            </w:r>
            <w:proofErr w:type="spellStart"/>
            <w:r w:rsidRPr="00EA47DF">
              <w:rPr>
                <w:rFonts w:cs="Times New Roman"/>
                <w:sz w:val="20"/>
                <w:szCs w:val="20"/>
                <w:lang w:val="en-US"/>
              </w:rPr>
              <w:t>Xa</w:t>
            </w:r>
            <w:proofErr w:type="spellEnd"/>
            <w:r w:rsidRPr="00EA47DF">
              <w:rPr>
                <w:rFonts w:cs="Times New Roman"/>
                <w:sz w:val="20"/>
                <w:szCs w:val="20"/>
                <w:lang w:val="en-US"/>
              </w:rPr>
              <w:t xml:space="preserve"> Inhibitors</w:t>
            </w:r>
          </w:p>
        </w:tc>
        <w:tc>
          <w:tcPr>
            <w:tcW w:w="931" w:type="pct"/>
            <w:tcBorders>
              <w:left w:val="single" w:sz="4" w:space="0" w:color="auto"/>
              <w:right w:val="single" w:sz="4" w:space="0" w:color="auto"/>
            </w:tcBorders>
            <w:shd w:val="clear" w:color="auto" w:fill="FFFFFF" w:themeFill="background1"/>
          </w:tcPr>
          <w:p w14:paraId="04065E0F"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sz w:val="20"/>
                <w:szCs w:val="20"/>
                <w:lang w:val="en-US"/>
              </w:rPr>
              <w:t xml:space="preserve">Factor </w:t>
            </w:r>
            <w:proofErr w:type="spellStart"/>
            <w:r w:rsidRPr="00EA47DF">
              <w:rPr>
                <w:rFonts w:ascii="Times New Roman" w:hAnsi="Times New Roman" w:cs="Times New Roman"/>
                <w:sz w:val="20"/>
                <w:szCs w:val="20"/>
                <w:lang w:val="en-US"/>
              </w:rPr>
              <w:t>Xa</w:t>
            </w:r>
            <w:proofErr w:type="spellEnd"/>
            <w:r w:rsidRPr="00EA47DF">
              <w:rPr>
                <w:rFonts w:ascii="Times New Roman" w:hAnsi="Times New Roman" w:cs="Times New Roman"/>
                <w:sz w:val="20"/>
                <w:szCs w:val="20"/>
                <w:lang w:val="en-US"/>
              </w:rPr>
              <w:t xml:space="preserve"> Inhibitors</w:t>
            </w:r>
          </w:p>
        </w:tc>
        <w:tc>
          <w:tcPr>
            <w:tcW w:w="855" w:type="pct"/>
            <w:tcBorders>
              <w:left w:val="single" w:sz="4" w:space="0" w:color="auto"/>
              <w:right w:val="single" w:sz="4" w:space="0" w:color="auto"/>
            </w:tcBorders>
            <w:shd w:val="clear" w:color="auto" w:fill="FFFFFF" w:themeFill="background1"/>
          </w:tcPr>
          <w:p w14:paraId="03531914"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sz w:val="20"/>
                <w:szCs w:val="20"/>
                <w:lang w:val="en-US"/>
              </w:rPr>
              <w:t xml:space="preserve">Factor </w:t>
            </w:r>
            <w:proofErr w:type="spellStart"/>
            <w:r w:rsidRPr="00EA47DF">
              <w:rPr>
                <w:rFonts w:ascii="Times New Roman" w:hAnsi="Times New Roman" w:cs="Times New Roman"/>
                <w:sz w:val="20"/>
                <w:szCs w:val="20"/>
                <w:lang w:val="en-US"/>
              </w:rPr>
              <w:t>Xa</w:t>
            </w:r>
            <w:proofErr w:type="spellEnd"/>
            <w:r w:rsidRPr="00EA47DF">
              <w:rPr>
                <w:rFonts w:ascii="Times New Roman" w:hAnsi="Times New Roman" w:cs="Times New Roman"/>
                <w:sz w:val="20"/>
                <w:szCs w:val="20"/>
                <w:lang w:val="en-US"/>
              </w:rPr>
              <w:t xml:space="preserve"> Inhibitors</w:t>
            </w:r>
          </w:p>
        </w:tc>
        <w:tc>
          <w:tcPr>
            <w:tcW w:w="511" w:type="pct"/>
            <w:tcBorders>
              <w:left w:val="single" w:sz="4" w:space="0" w:color="auto"/>
              <w:right w:val="single" w:sz="4" w:space="0" w:color="auto"/>
            </w:tcBorders>
            <w:shd w:val="clear" w:color="auto" w:fill="FFFFFF" w:themeFill="background1"/>
          </w:tcPr>
          <w:p w14:paraId="25F5CD83"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 xml:space="preserve">Factor </w:t>
            </w:r>
            <w:proofErr w:type="spellStart"/>
            <w:r w:rsidRPr="00EA47DF">
              <w:rPr>
                <w:rFonts w:ascii="Times New Roman" w:hAnsi="Times New Roman" w:cs="Times New Roman"/>
                <w:sz w:val="20"/>
                <w:szCs w:val="20"/>
                <w:lang w:val="en-US"/>
              </w:rPr>
              <w:t>Xa</w:t>
            </w:r>
            <w:proofErr w:type="spellEnd"/>
            <w:r w:rsidRPr="00EA47DF">
              <w:rPr>
                <w:rFonts w:ascii="Times New Roman" w:hAnsi="Times New Roman" w:cs="Times New Roman"/>
                <w:sz w:val="20"/>
                <w:szCs w:val="20"/>
                <w:lang w:val="en-US"/>
              </w:rPr>
              <w:t xml:space="preserve"> Inhibitors</w:t>
            </w:r>
          </w:p>
        </w:tc>
      </w:tr>
      <w:tr w:rsidR="00F478FF" w:rsidRPr="00264E4F" w14:paraId="084367B4" w14:textId="77777777" w:rsidTr="00F478FF">
        <w:trPr>
          <w:trHeight w:val="433"/>
        </w:trPr>
        <w:tc>
          <w:tcPr>
            <w:tcW w:w="760" w:type="pct"/>
            <w:shd w:val="clear" w:color="auto" w:fill="FFFFFF" w:themeFill="background1"/>
            <w:noWrap/>
          </w:tcPr>
          <w:p w14:paraId="003597A4" w14:textId="77777777" w:rsidR="00F478FF" w:rsidRPr="0010341F" w:rsidRDefault="00F478FF" w:rsidP="001263A3">
            <w:pPr>
              <w:rPr>
                <w:rFonts w:cs="Times New Roman"/>
                <w:b/>
                <w:color w:val="auto"/>
                <w:sz w:val="20"/>
                <w:szCs w:val="20"/>
                <w:lang w:val="en-US"/>
              </w:rPr>
            </w:pPr>
            <w:r w:rsidRPr="0010341F">
              <w:rPr>
                <w:rFonts w:cs="Times New Roman"/>
                <w:b/>
                <w:color w:val="auto"/>
                <w:sz w:val="20"/>
                <w:szCs w:val="20"/>
                <w:lang w:val="en-US"/>
              </w:rPr>
              <w:t>Metabolism</w:t>
            </w:r>
          </w:p>
        </w:tc>
        <w:tc>
          <w:tcPr>
            <w:tcW w:w="934" w:type="pct"/>
            <w:shd w:val="clear" w:color="auto" w:fill="FFFFFF" w:themeFill="background1"/>
          </w:tcPr>
          <w:p w14:paraId="23072A39"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By P-</w:t>
            </w:r>
            <w:proofErr w:type="spellStart"/>
            <w:r w:rsidRPr="00EA47DF">
              <w:rPr>
                <w:rFonts w:ascii="Times New Roman" w:hAnsi="Times New Roman" w:cs="Times New Roman"/>
                <w:color w:val="auto"/>
                <w:sz w:val="20"/>
                <w:szCs w:val="20"/>
                <w:lang w:val="en-US"/>
              </w:rPr>
              <w:t>gp</w:t>
            </w:r>
            <w:proofErr w:type="spellEnd"/>
            <w:r w:rsidRPr="00EA47DF">
              <w:rPr>
                <w:rFonts w:ascii="Times New Roman" w:hAnsi="Times New Roman" w:cs="Times New Roman"/>
                <w:color w:val="auto"/>
                <w:sz w:val="20"/>
                <w:szCs w:val="20"/>
                <w:lang w:val="en-US"/>
              </w:rPr>
              <w:t xml:space="preserve"> and CYP3A4</w:t>
            </w:r>
          </w:p>
        </w:tc>
        <w:tc>
          <w:tcPr>
            <w:tcW w:w="1008" w:type="pct"/>
            <w:shd w:val="clear" w:color="auto" w:fill="FFFFFF" w:themeFill="background1"/>
          </w:tcPr>
          <w:p w14:paraId="64EB96A9"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By P-</w:t>
            </w:r>
            <w:proofErr w:type="spellStart"/>
            <w:r w:rsidRPr="00EA47DF">
              <w:rPr>
                <w:rFonts w:ascii="Times New Roman" w:hAnsi="Times New Roman" w:cs="Times New Roman"/>
                <w:color w:val="auto"/>
                <w:sz w:val="20"/>
                <w:szCs w:val="20"/>
                <w:lang w:val="en-US"/>
              </w:rPr>
              <w:t>gp</w:t>
            </w:r>
            <w:proofErr w:type="spellEnd"/>
            <w:r w:rsidRPr="00EA47DF">
              <w:rPr>
                <w:rFonts w:ascii="Times New Roman" w:hAnsi="Times New Roman" w:cs="Times New Roman"/>
                <w:color w:val="auto"/>
                <w:sz w:val="20"/>
                <w:szCs w:val="20"/>
                <w:lang w:val="en-US"/>
              </w:rPr>
              <w:t xml:space="preserve"> and CYP3A4</w:t>
            </w:r>
          </w:p>
        </w:tc>
        <w:tc>
          <w:tcPr>
            <w:tcW w:w="931" w:type="pct"/>
            <w:shd w:val="clear" w:color="auto" w:fill="FFFFFF" w:themeFill="background1"/>
          </w:tcPr>
          <w:p w14:paraId="3CFFC456"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By P-</w:t>
            </w:r>
            <w:proofErr w:type="spellStart"/>
            <w:r w:rsidRPr="00EA47DF">
              <w:rPr>
                <w:rFonts w:ascii="Times New Roman" w:hAnsi="Times New Roman" w:cs="Times New Roman"/>
                <w:color w:val="auto"/>
                <w:sz w:val="20"/>
                <w:szCs w:val="20"/>
                <w:lang w:val="en-US"/>
              </w:rPr>
              <w:t>gp</w:t>
            </w:r>
            <w:proofErr w:type="spellEnd"/>
            <w:r w:rsidRPr="00EA47DF">
              <w:rPr>
                <w:rFonts w:ascii="Times New Roman" w:hAnsi="Times New Roman" w:cs="Times New Roman"/>
                <w:color w:val="auto"/>
                <w:sz w:val="20"/>
                <w:szCs w:val="20"/>
                <w:lang w:val="en-US"/>
              </w:rPr>
              <w:t xml:space="preserve"> and CYP3A4</w:t>
            </w:r>
          </w:p>
        </w:tc>
        <w:tc>
          <w:tcPr>
            <w:tcW w:w="855" w:type="pct"/>
            <w:shd w:val="clear" w:color="auto" w:fill="FFFFFF" w:themeFill="background1"/>
          </w:tcPr>
          <w:p w14:paraId="3B1BE325"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 xml:space="preserve">By P-glycoprotein </w:t>
            </w:r>
          </w:p>
        </w:tc>
        <w:tc>
          <w:tcPr>
            <w:tcW w:w="511" w:type="pct"/>
            <w:shd w:val="clear" w:color="auto" w:fill="FFFFFF" w:themeFill="background1"/>
          </w:tcPr>
          <w:p w14:paraId="37E5DC5B"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color w:val="auto"/>
                <w:sz w:val="20"/>
                <w:szCs w:val="20"/>
                <w:lang w:val="en-US"/>
              </w:rPr>
              <w:t>CYP-independent hydrolysis</w:t>
            </w:r>
          </w:p>
        </w:tc>
      </w:tr>
      <w:tr w:rsidR="00F478FF" w:rsidRPr="00264E4F" w14:paraId="6CDBF380" w14:textId="77777777" w:rsidTr="00F478FF">
        <w:trPr>
          <w:cnfStyle w:val="000000100000" w:firstRow="0" w:lastRow="0" w:firstColumn="0" w:lastColumn="0" w:oddVBand="0" w:evenVBand="0" w:oddHBand="1" w:evenHBand="0" w:firstRowFirstColumn="0" w:firstRowLastColumn="0" w:lastRowFirstColumn="0" w:lastRowLastColumn="0"/>
          <w:trHeight w:val="299"/>
        </w:trPr>
        <w:tc>
          <w:tcPr>
            <w:tcW w:w="760" w:type="pct"/>
            <w:tcBorders>
              <w:left w:val="single" w:sz="4" w:space="0" w:color="auto"/>
              <w:right w:val="single" w:sz="4" w:space="0" w:color="auto"/>
            </w:tcBorders>
            <w:shd w:val="clear" w:color="auto" w:fill="FFFFFF" w:themeFill="background1"/>
            <w:noWrap/>
          </w:tcPr>
          <w:p w14:paraId="1CEE134C" w14:textId="77777777" w:rsidR="00F478FF" w:rsidRPr="0010341F" w:rsidRDefault="00F478FF" w:rsidP="001263A3">
            <w:pPr>
              <w:rPr>
                <w:rFonts w:cs="Times New Roman"/>
                <w:b/>
                <w:sz w:val="20"/>
                <w:szCs w:val="20"/>
                <w:lang w:val="en-US"/>
              </w:rPr>
            </w:pPr>
            <w:r w:rsidRPr="0010341F">
              <w:rPr>
                <w:rFonts w:cs="Times New Roman"/>
                <w:b/>
                <w:color w:val="auto"/>
                <w:sz w:val="20"/>
                <w:szCs w:val="20"/>
                <w:lang w:val="en-US"/>
              </w:rPr>
              <w:t>Excretion</w:t>
            </w:r>
          </w:p>
        </w:tc>
        <w:tc>
          <w:tcPr>
            <w:tcW w:w="934" w:type="pct"/>
            <w:tcBorders>
              <w:left w:val="single" w:sz="4" w:space="0" w:color="auto"/>
              <w:right w:val="single" w:sz="4" w:space="0" w:color="auto"/>
            </w:tcBorders>
            <w:shd w:val="clear" w:color="auto" w:fill="FFFFFF" w:themeFill="background1"/>
          </w:tcPr>
          <w:p w14:paraId="74671935"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80% urine; 20% hepatic.</w:t>
            </w:r>
          </w:p>
        </w:tc>
        <w:tc>
          <w:tcPr>
            <w:tcW w:w="1008" w:type="pct"/>
            <w:tcBorders>
              <w:left w:val="single" w:sz="4" w:space="0" w:color="auto"/>
              <w:right w:val="single" w:sz="4" w:space="0" w:color="auto"/>
            </w:tcBorders>
            <w:shd w:val="clear" w:color="auto" w:fill="FFFFFF" w:themeFill="background1"/>
          </w:tcPr>
          <w:p w14:paraId="323EF4D9"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1/3 urine and 2/3 feces.</w:t>
            </w:r>
          </w:p>
        </w:tc>
        <w:tc>
          <w:tcPr>
            <w:tcW w:w="931" w:type="pct"/>
            <w:tcBorders>
              <w:left w:val="single" w:sz="4" w:space="0" w:color="auto"/>
              <w:right w:val="single" w:sz="4" w:space="0" w:color="auto"/>
            </w:tcBorders>
            <w:shd w:val="clear" w:color="auto" w:fill="FFFFFF" w:themeFill="background1"/>
          </w:tcPr>
          <w:p w14:paraId="34440692"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3/4 feces and 1/4 urine.</w:t>
            </w:r>
          </w:p>
        </w:tc>
        <w:tc>
          <w:tcPr>
            <w:tcW w:w="855" w:type="pct"/>
            <w:tcBorders>
              <w:left w:val="single" w:sz="4" w:space="0" w:color="auto"/>
              <w:right w:val="single" w:sz="4" w:space="0" w:color="auto"/>
            </w:tcBorders>
            <w:shd w:val="clear" w:color="auto" w:fill="FFFFFF" w:themeFill="background1"/>
          </w:tcPr>
          <w:p w14:paraId="30BCCB6F"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 xml:space="preserve">50% urine </w:t>
            </w:r>
          </w:p>
        </w:tc>
        <w:tc>
          <w:tcPr>
            <w:tcW w:w="511" w:type="pct"/>
            <w:tcBorders>
              <w:left w:val="single" w:sz="4" w:space="0" w:color="auto"/>
              <w:right w:val="single" w:sz="4" w:space="0" w:color="auto"/>
            </w:tcBorders>
            <w:shd w:val="clear" w:color="auto" w:fill="FFFFFF" w:themeFill="background1"/>
          </w:tcPr>
          <w:p w14:paraId="55D5243C"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85% feces and 11% urine</w:t>
            </w:r>
          </w:p>
        </w:tc>
      </w:tr>
      <w:tr w:rsidR="00F478FF" w:rsidRPr="00264E4F" w14:paraId="124C6881" w14:textId="77777777" w:rsidTr="00F478FF">
        <w:trPr>
          <w:trHeight w:val="433"/>
        </w:trPr>
        <w:tc>
          <w:tcPr>
            <w:tcW w:w="760" w:type="pct"/>
            <w:shd w:val="clear" w:color="auto" w:fill="FFFFFF" w:themeFill="background1"/>
            <w:noWrap/>
          </w:tcPr>
          <w:p w14:paraId="4D19704F" w14:textId="77777777" w:rsidR="00F478FF" w:rsidRPr="0010341F" w:rsidRDefault="00F478FF" w:rsidP="001263A3">
            <w:pPr>
              <w:rPr>
                <w:rFonts w:cs="Times New Roman"/>
                <w:b/>
                <w:color w:val="auto"/>
                <w:sz w:val="20"/>
                <w:szCs w:val="20"/>
                <w:lang w:val="en-US"/>
              </w:rPr>
            </w:pPr>
            <w:r w:rsidRPr="0010341F">
              <w:rPr>
                <w:rFonts w:cs="Times New Roman"/>
                <w:b/>
                <w:color w:val="auto"/>
                <w:sz w:val="20"/>
                <w:szCs w:val="20"/>
                <w:lang w:val="en-US"/>
              </w:rPr>
              <w:t>Bioavailability (%)</w:t>
            </w:r>
          </w:p>
        </w:tc>
        <w:tc>
          <w:tcPr>
            <w:tcW w:w="934" w:type="pct"/>
            <w:shd w:val="clear" w:color="auto" w:fill="FFFFFF" w:themeFill="background1"/>
          </w:tcPr>
          <w:p w14:paraId="63F65572"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 xml:space="preserve">~ 3 - 7 </w:t>
            </w:r>
          </w:p>
        </w:tc>
        <w:tc>
          <w:tcPr>
            <w:tcW w:w="1008" w:type="pct"/>
            <w:shd w:val="clear" w:color="auto" w:fill="FFFFFF" w:themeFill="background1"/>
          </w:tcPr>
          <w:p w14:paraId="7C38F2F1"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 80 - 100</w:t>
            </w:r>
          </w:p>
        </w:tc>
        <w:tc>
          <w:tcPr>
            <w:tcW w:w="931" w:type="pct"/>
            <w:shd w:val="clear" w:color="auto" w:fill="FFFFFF" w:themeFill="background1"/>
          </w:tcPr>
          <w:p w14:paraId="2FCD0369"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 50</w:t>
            </w:r>
          </w:p>
        </w:tc>
        <w:tc>
          <w:tcPr>
            <w:tcW w:w="855" w:type="pct"/>
            <w:shd w:val="clear" w:color="auto" w:fill="FFFFFF" w:themeFill="background1"/>
          </w:tcPr>
          <w:p w14:paraId="6708905C"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 xml:space="preserve"> 62</w:t>
            </w:r>
          </w:p>
        </w:tc>
        <w:tc>
          <w:tcPr>
            <w:tcW w:w="511" w:type="pct"/>
            <w:shd w:val="clear" w:color="auto" w:fill="FFFFFF" w:themeFill="background1"/>
          </w:tcPr>
          <w:p w14:paraId="4E97029F"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34</w:t>
            </w:r>
          </w:p>
        </w:tc>
      </w:tr>
      <w:tr w:rsidR="00F478FF" w:rsidRPr="00997A82" w14:paraId="69E94E1D" w14:textId="77777777" w:rsidTr="00F478FF">
        <w:trPr>
          <w:cnfStyle w:val="000000100000" w:firstRow="0" w:lastRow="0" w:firstColumn="0" w:lastColumn="0" w:oddVBand="0" w:evenVBand="0" w:oddHBand="1" w:evenHBand="0" w:firstRowFirstColumn="0" w:firstRowLastColumn="0" w:lastRowFirstColumn="0" w:lastRowLastColumn="0"/>
          <w:trHeight w:val="433"/>
        </w:trPr>
        <w:tc>
          <w:tcPr>
            <w:tcW w:w="760" w:type="pct"/>
            <w:tcBorders>
              <w:left w:val="single" w:sz="4" w:space="0" w:color="auto"/>
              <w:right w:val="single" w:sz="4" w:space="0" w:color="auto"/>
            </w:tcBorders>
            <w:shd w:val="clear" w:color="auto" w:fill="FFFFFF" w:themeFill="background1"/>
            <w:noWrap/>
          </w:tcPr>
          <w:p w14:paraId="1851CF11" w14:textId="77777777" w:rsidR="00F478FF" w:rsidRPr="0010341F" w:rsidRDefault="00F478FF" w:rsidP="001263A3">
            <w:pPr>
              <w:rPr>
                <w:rFonts w:cs="Times New Roman"/>
                <w:b/>
                <w:color w:val="auto"/>
                <w:sz w:val="20"/>
                <w:szCs w:val="20"/>
                <w:lang w:val="en-US"/>
              </w:rPr>
            </w:pPr>
            <w:r w:rsidRPr="0010341F">
              <w:rPr>
                <w:rFonts w:cs="Times New Roman"/>
                <w:b/>
                <w:color w:val="auto"/>
                <w:sz w:val="20"/>
                <w:szCs w:val="20"/>
                <w:lang w:val="en-US"/>
              </w:rPr>
              <w:t>PPT (</w:t>
            </w:r>
            <w:proofErr w:type="spellStart"/>
            <w:r w:rsidRPr="0010341F">
              <w:rPr>
                <w:rFonts w:cs="Times New Roman"/>
                <w:b/>
                <w:color w:val="auto"/>
                <w:sz w:val="20"/>
                <w:szCs w:val="20"/>
                <w:lang w:val="en-US"/>
              </w:rPr>
              <w:t>hr</w:t>
            </w:r>
            <w:proofErr w:type="spellEnd"/>
            <w:r w:rsidRPr="0010341F">
              <w:rPr>
                <w:rFonts w:cs="Times New Roman"/>
                <w:b/>
                <w:color w:val="auto"/>
                <w:sz w:val="20"/>
                <w:szCs w:val="20"/>
                <w:lang w:val="en-US"/>
              </w:rPr>
              <w:t>)</w:t>
            </w:r>
          </w:p>
        </w:tc>
        <w:tc>
          <w:tcPr>
            <w:tcW w:w="934" w:type="pct"/>
            <w:tcBorders>
              <w:left w:val="single" w:sz="4" w:space="0" w:color="auto"/>
              <w:bottom w:val="single" w:sz="4" w:space="0" w:color="auto"/>
              <w:right w:val="single" w:sz="4" w:space="0" w:color="auto"/>
            </w:tcBorders>
            <w:shd w:val="clear" w:color="auto" w:fill="FFFFFF" w:themeFill="background1"/>
          </w:tcPr>
          <w:p w14:paraId="15818D7B"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 xml:space="preserve">1 </w:t>
            </w:r>
          </w:p>
        </w:tc>
        <w:tc>
          <w:tcPr>
            <w:tcW w:w="1008" w:type="pct"/>
            <w:tcBorders>
              <w:left w:val="single" w:sz="4" w:space="0" w:color="auto"/>
              <w:bottom w:val="single" w:sz="4" w:space="0" w:color="auto"/>
              <w:right w:val="single" w:sz="4" w:space="0" w:color="auto"/>
            </w:tcBorders>
            <w:shd w:val="clear" w:color="auto" w:fill="FFFFFF" w:themeFill="background1"/>
          </w:tcPr>
          <w:p w14:paraId="261D540B"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 xml:space="preserve">2-  4 </w:t>
            </w:r>
          </w:p>
        </w:tc>
        <w:tc>
          <w:tcPr>
            <w:tcW w:w="931" w:type="pct"/>
            <w:tcBorders>
              <w:left w:val="single" w:sz="4" w:space="0" w:color="auto"/>
              <w:bottom w:val="single" w:sz="4" w:space="0" w:color="auto"/>
              <w:right w:val="single" w:sz="4" w:space="0" w:color="auto"/>
            </w:tcBorders>
            <w:shd w:val="clear" w:color="auto" w:fill="FFFFFF" w:themeFill="background1"/>
          </w:tcPr>
          <w:p w14:paraId="4E2DF1DA"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 xml:space="preserve">3 - 4 </w:t>
            </w:r>
          </w:p>
        </w:tc>
        <w:tc>
          <w:tcPr>
            <w:tcW w:w="855" w:type="pct"/>
            <w:tcBorders>
              <w:left w:val="single" w:sz="4" w:space="0" w:color="auto"/>
              <w:bottom w:val="single" w:sz="4" w:space="0" w:color="auto"/>
              <w:right w:val="single" w:sz="4" w:space="0" w:color="auto"/>
            </w:tcBorders>
            <w:shd w:val="clear" w:color="auto" w:fill="FFFFFF" w:themeFill="background1"/>
          </w:tcPr>
          <w:p w14:paraId="53A41974"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1 - 2 h</w:t>
            </w:r>
          </w:p>
        </w:tc>
        <w:tc>
          <w:tcPr>
            <w:tcW w:w="511" w:type="pct"/>
            <w:tcBorders>
              <w:left w:val="single" w:sz="4" w:space="0" w:color="auto"/>
              <w:bottom w:val="single" w:sz="4" w:space="0" w:color="auto"/>
              <w:right w:val="single" w:sz="4" w:space="0" w:color="auto"/>
            </w:tcBorders>
            <w:shd w:val="clear" w:color="auto" w:fill="FFFFFF" w:themeFill="background1"/>
          </w:tcPr>
          <w:p w14:paraId="59714823"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3 - 4</w:t>
            </w:r>
          </w:p>
        </w:tc>
      </w:tr>
      <w:tr w:rsidR="00F478FF" w:rsidRPr="00997A82" w14:paraId="1C138E23" w14:textId="77777777" w:rsidTr="00F478FF">
        <w:trPr>
          <w:trHeight w:val="381"/>
        </w:trPr>
        <w:tc>
          <w:tcPr>
            <w:tcW w:w="760" w:type="pct"/>
            <w:shd w:val="clear" w:color="auto" w:fill="FFFFFF" w:themeFill="background1"/>
            <w:noWrap/>
          </w:tcPr>
          <w:p w14:paraId="3666A1DA" w14:textId="77777777" w:rsidR="00F478FF" w:rsidRPr="0010341F" w:rsidRDefault="00F478FF" w:rsidP="001263A3">
            <w:pPr>
              <w:rPr>
                <w:rFonts w:cs="Times New Roman"/>
                <w:b/>
                <w:color w:val="auto"/>
                <w:sz w:val="20"/>
                <w:szCs w:val="20"/>
                <w:lang w:val="en-US"/>
              </w:rPr>
            </w:pPr>
            <w:r w:rsidRPr="0010341F">
              <w:rPr>
                <w:rFonts w:cs="Times New Roman"/>
                <w:b/>
                <w:color w:val="auto"/>
                <w:sz w:val="20"/>
                <w:szCs w:val="20"/>
                <w:lang w:val="en-US"/>
              </w:rPr>
              <w:t>Half-life (</w:t>
            </w:r>
            <w:proofErr w:type="spellStart"/>
            <w:r w:rsidRPr="0010341F">
              <w:rPr>
                <w:rFonts w:cs="Times New Roman"/>
                <w:b/>
                <w:color w:val="auto"/>
                <w:sz w:val="20"/>
                <w:szCs w:val="20"/>
                <w:lang w:val="en-US"/>
              </w:rPr>
              <w:t>hr</w:t>
            </w:r>
            <w:proofErr w:type="spellEnd"/>
            <w:r w:rsidRPr="0010341F">
              <w:rPr>
                <w:rFonts w:cs="Times New Roman"/>
                <w:b/>
                <w:color w:val="auto"/>
                <w:sz w:val="20"/>
                <w:szCs w:val="20"/>
                <w:lang w:val="en-US"/>
              </w:rPr>
              <w:t>)</w:t>
            </w:r>
          </w:p>
        </w:tc>
        <w:tc>
          <w:tcPr>
            <w:tcW w:w="934" w:type="pct"/>
            <w:shd w:val="clear" w:color="auto" w:fill="FFFFFF" w:themeFill="background1"/>
          </w:tcPr>
          <w:p w14:paraId="1A5BF094"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 xml:space="preserve">12 - 17 </w:t>
            </w:r>
            <w:r w:rsidRPr="00EA47DF">
              <w:rPr>
                <w:rFonts w:asciiTheme="minorEastAsia" w:hAnsiTheme="minorEastAsia" w:cstheme="minorEastAsia" w:hint="eastAsia"/>
                <w:color w:val="auto"/>
                <w:sz w:val="20"/>
                <w:szCs w:val="20"/>
                <w:lang w:val="en-US"/>
              </w:rPr>
              <w:t>§</w:t>
            </w:r>
          </w:p>
        </w:tc>
        <w:tc>
          <w:tcPr>
            <w:tcW w:w="1008" w:type="pct"/>
            <w:shd w:val="clear" w:color="auto" w:fill="FFFFFF" w:themeFill="background1"/>
          </w:tcPr>
          <w:p w14:paraId="54292313"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5 – 9 or 11 - 13 (elderly)</w:t>
            </w:r>
          </w:p>
        </w:tc>
        <w:tc>
          <w:tcPr>
            <w:tcW w:w="931" w:type="pct"/>
            <w:shd w:val="clear" w:color="auto" w:fill="FFFFFF" w:themeFill="background1"/>
          </w:tcPr>
          <w:p w14:paraId="49336A6A"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 xml:space="preserve">5 – 6 (dominant) </w:t>
            </w:r>
          </w:p>
        </w:tc>
        <w:tc>
          <w:tcPr>
            <w:tcW w:w="855" w:type="pct"/>
            <w:shd w:val="clear" w:color="auto" w:fill="FFFFFF" w:themeFill="background1"/>
          </w:tcPr>
          <w:p w14:paraId="54864E88"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 xml:space="preserve">10 - 14 </w:t>
            </w:r>
          </w:p>
        </w:tc>
        <w:tc>
          <w:tcPr>
            <w:tcW w:w="511" w:type="pct"/>
            <w:shd w:val="clear" w:color="auto" w:fill="FFFFFF" w:themeFill="background1"/>
          </w:tcPr>
          <w:p w14:paraId="3F7F9212"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19 - 27</w:t>
            </w:r>
          </w:p>
        </w:tc>
      </w:tr>
      <w:tr w:rsidR="00F478FF" w:rsidRPr="00264E4F" w14:paraId="2BB724E6" w14:textId="77777777" w:rsidTr="00F478FF">
        <w:trPr>
          <w:cnfStyle w:val="000000100000" w:firstRow="0" w:lastRow="0" w:firstColumn="0" w:lastColumn="0" w:oddVBand="0" w:evenVBand="0" w:oddHBand="1" w:evenHBand="0" w:firstRowFirstColumn="0" w:firstRowLastColumn="0" w:lastRowFirstColumn="0" w:lastRowLastColumn="0"/>
          <w:trHeight w:val="742"/>
        </w:trPr>
        <w:tc>
          <w:tcPr>
            <w:tcW w:w="760" w:type="pct"/>
            <w:tcBorders>
              <w:left w:val="single" w:sz="4" w:space="0" w:color="auto"/>
              <w:right w:val="single" w:sz="4" w:space="0" w:color="auto"/>
            </w:tcBorders>
            <w:shd w:val="clear" w:color="auto" w:fill="FFFFFF" w:themeFill="background1"/>
            <w:noWrap/>
          </w:tcPr>
          <w:p w14:paraId="3540A723" w14:textId="77777777" w:rsidR="00F478FF" w:rsidRPr="0010341F" w:rsidRDefault="00F478FF" w:rsidP="001263A3">
            <w:pPr>
              <w:rPr>
                <w:rFonts w:cs="Times New Roman"/>
                <w:b/>
                <w:color w:val="auto"/>
                <w:sz w:val="20"/>
                <w:szCs w:val="20"/>
                <w:lang w:val="en-US"/>
              </w:rPr>
            </w:pPr>
            <w:r w:rsidRPr="0010341F">
              <w:rPr>
                <w:rFonts w:cs="Times New Roman"/>
                <w:b/>
                <w:color w:val="auto"/>
                <w:sz w:val="20"/>
                <w:szCs w:val="20"/>
                <w:lang w:val="en-US"/>
              </w:rPr>
              <w:t>Indications</w:t>
            </w:r>
          </w:p>
        </w:tc>
        <w:tc>
          <w:tcPr>
            <w:tcW w:w="934" w:type="pct"/>
            <w:tcBorders>
              <w:left w:val="single" w:sz="4" w:space="0" w:color="auto"/>
              <w:right w:val="single" w:sz="4" w:space="0" w:color="auto"/>
            </w:tcBorders>
            <w:shd w:val="clear" w:color="auto" w:fill="FFFFFF" w:themeFill="background1"/>
          </w:tcPr>
          <w:p w14:paraId="0C58BC11" w14:textId="77777777" w:rsidR="00F478FF" w:rsidRPr="00EA47DF" w:rsidRDefault="00F478FF" w:rsidP="001263A3">
            <w:pPr>
              <w:jc w:val="center"/>
              <w:rPr>
                <w:rStyle w:val="nfaseSutil"/>
                <w:i w:val="0"/>
                <w:color w:val="auto"/>
                <w:sz w:val="20"/>
                <w:szCs w:val="20"/>
                <w:lang w:val="en-US"/>
              </w:rPr>
            </w:pPr>
            <w:r w:rsidRPr="00EA47DF">
              <w:rPr>
                <w:rStyle w:val="nfaseSutil"/>
                <w:color w:val="auto"/>
                <w:sz w:val="20"/>
                <w:szCs w:val="20"/>
                <w:lang w:val="en-US"/>
              </w:rPr>
              <w:t xml:space="preserve">Stroke/SE prophylaxis with AF; DVT or PE treatment or </w:t>
            </w:r>
            <w:proofErr w:type="spellStart"/>
            <w:r w:rsidRPr="00EA47DF">
              <w:rPr>
                <w:rStyle w:val="nfaseSutil"/>
                <w:color w:val="auto"/>
                <w:sz w:val="20"/>
                <w:szCs w:val="20"/>
                <w:lang w:val="en-US"/>
              </w:rPr>
              <w:t>profilaxis</w:t>
            </w:r>
            <w:proofErr w:type="spellEnd"/>
          </w:p>
        </w:tc>
        <w:tc>
          <w:tcPr>
            <w:tcW w:w="1008" w:type="pct"/>
            <w:tcBorders>
              <w:left w:val="single" w:sz="4" w:space="0" w:color="auto"/>
              <w:right w:val="single" w:sz="4" w:space="0" w:color="auto"/>
            </w:tcBorders>
            <w:shd w:val="clear" w:color="auto" w:fill="FFFFFF" w:themeFill="background1"/>
          </w:tcPr>
          <w:p w14:paraId="43337D31" w14:textId="77777777" w:rsidR="00F478FF" w:rsidRPr="00EA47DF" w:rsidRDefault="00F478FF" w:rsidP="001263A3">
            <w:pPr>
              <w:jc w:val="center"/>
              <w:rPr>
                <w:rFonts w:eastAsiaTheme="minorEastAsia" w:cs="Times New Roman"/>
                <w:i/>
                <w:iCs/>
                <w:color w:val="auto"/>
                <w:sz w:val="20"/>
                <w:szCs w:val="20"/>
                <w:lang w:val="en-US"/>
              </w:rPr>
            </w:pPr>
            <w:r w:rsidRPr="00EA47DF">
              <w:rPr>
                <w:rStyle w:val="nfaseSutil"/>
                <w:color w:val="auto"/>
                <w:sz w:val="20"/>
                <w:szCs w:val="20"/>
                <w:lang w:val="en-US"/>
              </w:rPr>
              <w:t xml:space="preserve">DVT or PE treatment or prophylaxis; </w:t>
            </w:r>
            <w:proofErr w:type="spellStart"/>
            <w:r w:rsidRPr="00EA47DF">
              <w:rPr>
                <w:rStyle w:val="nfaseSutil"/>
                <w:color w:val="auto"/>
                <w:sz w:val="20"/>
                <w:szCs w:val="20"/>
                <w:lang w:val="en-US"/>
              </w:rPr>
              <w:t>Nonvalvular</w:t>
            </w:r>
            <w:proofErr w:type="spellEnd"/>
            <w:r w:rsidRPr="00EA47DF">
              <w:rPr>
                <w:rStyle w:val="nfaseSutil"/>
                <w:color w:val="auto"/>
                <w:sz w:val="20"/>
                <w:szCs w:val="20"/>
                <w:lang w:val="en-US"/>
              </w:rPr>
              <w:t xml:space="preserve"> AF; Reduction of RMCE</w:t>
            </w:r>
          </w:p>
        </w:tc>
        <w:tc>
          <w:tcPr>
            <w:tcW w:w="931" w:type="pct"/>
            <w:tcBorders>
              <w:left w:val="single" w:sz="4" w:space="0" w:color="auto"/>
              <w:right w:val="single" w:sz="4" w:space="0" w:color="auto"/>
            </w:tcBorders>
            <w:shd w:val="clear" w:color="auto" w:fill="FFFFFF" w:themeFill="background1"/>
          </w:tcPr>
          <w:p w14:paraId="2956904D" w14:textId="77777777" w:rsidR="00F478FF" w:rsidRPr="00EA47DF" w:rsidRDefault="00F478FF" w:rsidP="001263A3">
            <w:pPr>
              <w:jc w:val="center"/>
              <w:rPr>
                <w:rFonts w:eastAsiaTheme="minorEastAsia" w:cs="Times New Roman"/>
                <w:i/>
                <w:iCs/>
                <w:color w:val="auto"/>
                <w:sz w:val="20"/>
                <w:szCs w:val="20"/>
                <w:lang w:val="en-US"/>
              </w:rPr>
            </w:pPr>
            <w:r w:rsidRPr="00EA47DF">
              <w:rPr>
                <w:rStyle w:val="nfaseSutil"/>
                <w:color w:val="auto"/>
                <w:sz w:val="20"/>
                <w:szCs w:val="20"/>
                <w:lang w:val="en-US"/>
              </w:rPr>
              <w:t xml:space="preserve">Stroke prophylaxis with AF; DVT or PE treatment or prophylaxis; </w:t>
            </w:r>
            <w:proofErr w:type="spellStart"/>
            <w:r w:rsidRPr="00EA47DF">
              <w:rPr>
                <w:rStyle w:val="nfaseSutil"/>
                <w:color w:val="auto"/>
                <w:sz w:val="20"/>
                <w:szCs w:val="20"/>
                <w:lang w:val="en-US"/>
              </w:rPr>
              <w:t>Nonvalvular</w:t>
            </w:r>
            <w:proofErr w:type="spellEnd"/>
            <w:r w:rsidRPr="00EA47DF">
              <w:rPr>
                <w:rStyle w:val="nfaseSutil"/>
                <w:color w:val="auto"/>
                <w:sz w:val="20"/>
                <w:szCs w:val="20"/>
                <w:lang w:val="en-US"/>
              </w:rPr>
              <w:t xml:space="preserve"> AF</w:t>
            </w:r>
          </w:p>
        </w:tc>
        <w:tc>
          <w:tcPr>
            <w:tcW w:w="855" w:type="pct"/>
            <w:tcBorders>
              <w:left w:val="single" w:sz="4" w:space="0" w:color="auto"/>
              <w:right w:val="single" w:sz="4" w:space="0" w:color="auto"/>
            </w:tcBorders>
            <w:shd w:val="clear" w:color="auto" w:fill="FFFFFF" w:themeFill="background1"/>
          </w:tcPr>
          <w:p w14:paraId="78EAA918" w14:textId="77777777" w:rsidR="00F478FF" w:rsidRPr="00EA47DF" w:rsidRDefault="00F478FF" w:rsidP="001263A3">
            <w:pPr>
              <w:jc w:val="center"/>
              <w:rPr>
                <w:rFonts w:eastAsiaTheme="minorEastAsia" w:cs="Times New Roman"/>
                <w:i/>
                <w:iCs/>
                <w:color w:val="auto"/>
                <w:sz w:val="20"/>
                <w:szCs w:val="20"/>
                <w:lang w:val="en-US"/>
              </w:rPr>
            </w:pPr>
            <w:r w:rsidRPr="00EA47DF">
              <w:rPr>
                <w:rStyle w:val="nfaseSutil"/>
                <w:color w:val="auto"/>
                <w:sz w:val="20"/>
                <w:szCs w:val="20"/>
                <w:lang w:val="en-US"/>
              </w:rPr>
              <w:t xml:space="preserve">Stroke prophylaxis with AF; DVT or PE treatment; </w:t>
            </w:r>
            <w:proofErr w:type="spellStart"/>
            <w:r w:rsidRPr="00EA47DF">
              <w:rPr>
                <w:rStyle w:val="nfaseSutil"/>
                <w:color w:val="auto"/>
                <w:sz w:val="20"/>
                <w:szCs w:val="20"/>
                <w:lang w:val="en-US"/>
              </w:rPr>
              <w:t>Nonvalvular</w:t>
            </w:r>
            <w:proofErr w:type="spellEnd"/>
            <w:r w:rsidRPr="00EA47DF">
              <w:rPr>
                <w:rStyle w:val="nfaseSutil"/>
                <w:color w:val="auto"/>
                <w:sz w:val="20"/>
                <w:szCs w:val="20"/>
                <w:lang w:val="en-US"/>
              </w:rPr>
              <w:t xml:space="preserve"> AF</w:t>
            </w:r>
          </w:p>
        </w:tc>
        <w:tc>
          <w:tcPr>
            <w:tcW w:w="511" w:type="pct"/>
            <w:tcBorders>
              <w:left w:val="single" w:sz="4" w:space="0" w:color="auto"/>
              <w:right w:val="single" w:sz="4" w:space="0" w:color="auto"/>
            </w:tcBorders>
            <w:shd w:val="clear" w:color="auto" w:fill="FFFFFF" w:themeFill="background1"/>
          </w:tcPr>
          <w:p w14:paraId="5D65F6BA" w14:textId="77777777" w:rsidR="00F478FF" w:rsidRPr="00EA47DF" w:rsidRDefault="00F478FF" w:rsidP="001263A3">
            <w:pPr>
              <w:jc w:val="center"/>
              <w:rPr>
                <w:rStyle w:val="nfaseSutil"/>
                <w:i w:val="0"/>
                <w:color w:val="auto"/>
                <w:sz w:val="20"/>
                <w:szCs w:val="20"/>
                <w:lang w:val="en-US"/>
              </w:rPr>
            </w:pPr>
            <w:r w:rsidRPr="00EA47DF">
              <w:rPr>
                <w:rStyle w:val="nfaseSutil"/>
                <w:color w:val="auto"/>
                <w:sz w:val="20"/>
                <w:szCs w:val="20"/>
                <w:lang w:val="en-US"/>
              </w:rPr>
              <w:t>DVT Prevention</w:t>
            </w:r>
          </w:p>
        </w:tc>
      </w:tr>
      <w:tr w:rsidR="00F478FF" w:rsidRPr="00DE6F90" w14:paraId="3CB4162E" w14:textId="77777777" w:rsidTr="00F478FF">
        <w:trPr>
          <w:trHeight w:val="698"/>
        </w:trPr>
        <w:tc>
          <w:tcPr>
            <w:tcW w:w="760" w:type="pct"/>
            <w:shd w:val="clear" w:color="auto" w:fill="FFFFFF" w:themeFill="background1"/>
            <w:noWrap/>
          </w:tcPr>
          <w:p w14:paraId="2C0F518A" w14:textId="77777777" w:rsidR="00F478FF" w:rsidRPr="0010341F" w:rsidRDefault="00F478FF" w:rsidP="001263A3">
            <w:pPr>
              <w:rPr>
                <w:rFonts w:cs="Times New Roman"/>
                <w:b/>
                <w:color w:val="auto"/>
                <w:sz w:val="20"/>
                <w:szCs w:val="20"/>
                <w:lang w:val="en-US"/>
              </w:rPr>
            </w:pPr>
            <w:r w:rsidRPr="0010341F">
              <w:rPr>
                <w:rFonts w:cs="Times New Roman"/>
                <w:b/>
                <w:color w:val="auto"/>
                <w:sz w:val="20"/>
                <w:szCs w:val="20"/>
                <w:lang w:val="en-US"/>
              </w:rPr>
              <w:t>Renal impairment</w:t>
            </w:r>
          </w:p>
        </w:tc>
        <w:tc>
          <w:tcPr>
            <w:tcW w:w="934" w:type="pct"/>
            <w:shd w:val="clear" w:color="auto" w:fill="FFFFFF" w:themeFill="background1"/>
          </w:tcPr>
          <w:p w14:paraId="62B7E7A2"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proofErr w:type="spellStart"/>
            <w:r w:rsidRPr="00EA47DF">
              <w:rPr>
                <w:rFonts w:ascii="Times New Roman" w:hAnsi="Times New Roman" w:cs="Times New Roman"/>
                <w:sz w:val="20"/>
                <w:szCs w:val="20"/>
                <w:lang w:val="en-US"/>
              </w:rPr>
              <w:t>CrCl</w:t>
            </w:r>
            <w:proofErr w:type="spellEnd"/>
            <w:r w:rsidRPr="00EA47DF">
              <w:rPr>
                <w:rFonts w:ascii="Times New Roman" w:hAnsi="Times New Roman" w:cs="Times New Roman"/>
                <w:sz w:val="20"/>
                <w:szCs w:val="20"/>
                <w:lang w:val="en-US"/>
              </w:rPr>
              <w:t xml:space="preserve"> ≥ 15 to &lt; 30: necessary adjustment and </w:t>
            </w:r>
            <w:r w:rsidRPr="00EA47DF">
              <w:rPr>
                <w:rFonts w:ascii="Times New Roman" w:hAnsi="Times New Roman" w:cs="Times New Roman"/>
                <w:color w:val="auto"/>
                <w:sz w:val="20"/>
                <w:szCs w:val="20"/>
                <w:lang w:val="en-US"/>
              </w:rPr>
              <w:t>&lt; 15 mg/</w:t>
            </w:r>
            <w:proofErr w:type="spellStart"/>
            <w:r w:rsidRPr="00EA47DF">
              <w:rPr>
                <w:rFonts w:ascii="Times New Roman" w:hAnsi="Times New Roman" w:cs="Times New Roman"/>
                <w:color w:val="auto"/>
                <w:sz w:val="20"/>
                <w:szCs w:val="20"/>
                <w:lang w:val="en-US"/>
              </w:rPr>
              <w:t>dL</w:t>
            </w:r>
            <w:proofErr w:type="spellEnd"/>
            <w:r w:rsidRPr="00EA47DF">
              <w:rPr>
                <w:rFonts w:ascii="Times New Roman" w:hAnsi="Times New Roman" w:cs="Times New Roman"/>
                <w:color w:val="auto"/>
                <w:sz w:val="20"/>
                <w:szCs w:val="20"/>
                <w:lang w:val="en-US"/>
              </w:rPr>
              <w:t>: avoid use</w:t>
            </w:r>
          </w:p>
        </w:tc>
        <w:tc>
          <w:tcPr>
            <w:tcW w:w="1008" w:type="pct"/>
            <w:shd w:val="clear" w:color="auto" w:fill="FFFFFF" w:themeFill="background1"/>
          </w:tcPr>
          <w:p w14:paraId="443E1D26"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proofErr w:type="spellStart"/>
            <w:r w:rsidRPr="00EA47DF">
              <w:rPr>
                <w:rFonts w:ascii="Times New Roman" w:hAnsi="Times New Roman" w:cs="Times New Roman"/>
                <w:sz w:val="20"/>
                <w:szCs w:val="20"/>
                <w:lang w:val="en-US"/>
              </w:rPr>
              <w:t>CrCl</w:t>
            </w:r>
            <w:proofErr w:type="spellEnd"/>
            <w:r w:rsidRPr="00EA47DF">
              <w:rPr>
                <w:rFonts w:ascii="Times New Roman" w:hAnsi="Times New Roman" w:cs="Times New Roman"/>
                <w:sz w:val="20"/>
                <w:szCs w:val="20"/>
                <w:lang w:val="en-US"/>
              </w:rPr>
              <w:t xml:space="preserve"> ≥ 15 to &lt; 30: closely monitor and </w:t>
            </w:r>
            <w:r w:rsidRPr="00EA47DF">
              <w:rPr>
                <w:rFonts w:ascii="Times New Roman" w:hAnsi="Times New Roman" w:cs="Times New Roman"/>
                <w:color w:val="auto"/>
                <w:sz w:val="20"/>
                <w:szCs w:val="20"/>
                <w:lang w:val="en-US"/>
              </w:rPr>
              <w:t>&lt; 15 mg/</w:t>
            </w:r>
            <w:proofErr w:type="spellStart"/>
            <w:r w:rsidRPr="00EA47DF">
              <w:rPr>
                <w:rFonts w:ascii="Times New Roman" w:hAnsi="Times New Roman" w:cs="Times New Roman"/>
                <w:color w:val="auto"/>
                <w:sz w:val="20"/>
                <w:szCs w:val="20"/>
                <w:lang w:val="en-US"/>
              </w:rPr>
              <w:t>dL</w:t>
            </w:r>
            <w:proofErr w:type="spellEnd"/>
            <w:r w:rsidRPr="00EA47DF">
              <w:rPr>
                <w:rFonts w:ascii="Times New Roman" w:hAnsi="Times New Roman" w:cs="Times New Roman"/>
                <w:color w:val="auto"/>
                <w:sz w:val="20"/>
                <w:szCs w:val="20"/>
                <w:lang w:val="en-US"/>
              </w:rPr>
              <w:t xml:space="preserve"> or ESRD on dialysis: avoid use</w:t>
            </w:r>
          </w:p>
        </w:tc>
        <w:tc>
          <w:tcPr>
            <w:tcW w:w="931" w:type="pct"/>
            <w:shd w:val="clear" w:color="auto" w:fill="FFFFFF" w:themeFill="background1"/>
          </w:tcPr>
          <w:p w14:paraId="1DF118D8"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sz w:val="20"/>
                <w:szCs w:val="20"/>
                <w:lang w:val="en-US"/>
              </w:rPr>
              <w:t xml:space="preserve">Necessary adjustment if Cr </w:t>
            </w:r>
            <w:r w:rsidRPr="00EA47DF">
              <w:rPr>
                <w:rFonts w:asciiTheme="minorEastAsia" w:hAnsiTheme="minorEastAsia" w:cstheme="minorEastAsia" w:hint="eastAsia"/>
                <w:sz w:val="20"/>
                <w:szCs w:val="20"/>
                <w:lang w:val="en-US"/>
              </w:rPr>
              <w:t>≥</w:t>
            </w:r>
            <w:r w:rsidRPr="00EA47DF">
              <w:rPr>
                <w:rFonts w:ascii="Times New Roman" w:hAnsi="Times New Roman" w:cs="Times New Roman"/>
                <w:sz w:val="20"/>
                <w:szCs w:val="20"/>
                <w:lang w:val="en-US"/>
              </w:rPr>
              <w:t>1.5mg/</w:t>
            </w:r>
            <w:proofErr w:type="spellStart"/>
            <w:r w:rsidRPr="00EA47DF">
              <w:rPr>
                <w:rFonts w:ascii="Times New Roman" w:hAnsi="Times New Roman" w:cs="Times New Roman"/>
                <w:sz w:val="20"/>
                <w:szCs w:val="20"/>
                <w:lang w:val="en-US"/>
              </w:rPr>
              <w:t>dL</w:t>
            </w:r>
            <w:proofErr w:type="spellEnd"/>
            <w:r w:rsidRPr="00EA47DF">
              <w:rPr>
                <w:rFonts w:ascii="Times New Roman" w:hAnsi="Times New Roman" w:cs="Times New Roman"/>
                <w:sz w:val="20"/>
                <w:szCs w:val="20"/>
                <w:lang w:val="en-US"/>
              </w:rPr>
              <w:t xml:space="preserve">; </w:t>
            </w:r>
            <w:proofErr w:type="spellStart"/>
            <w:r w:rsidRPr="00EA47DF">
              <w:rPr>
                <w:rFonts w:ascii="Times New Roman" w:hAnsi="Times New Roman" w:cs="Times New Roman"/>
                <w:color w:val="auto"/>
                <w:sz w:val="20"/>
                <w:szCs w:val="20"/>
                <w:lang w:val="en-US"/>
              </w:rPr>
              <w:t>CrCl</w:t>
            </w:r>
            <w:proofErr w:type="spellEnd"/>
            <w:r w:rsidRPr="00EA47DF">
              <w:rPr>
                <w:rFonts w:ascii="Times New Roman" w:hAnsi="Times New Roman" w:cs="Times New Roman"/>
                <w:color w:val="auto"/>
                <w:sz w:val="20"/>
                <w:szCs w:val="20"/>
                <w:lang w:val="en-US"/>
              </w:rPr>
              <w:t xml:space="preserve"> &lt; 15 mg/</w:t>
            </w:r>
            <w:proofErr w:type="spellStart"/>
            <w:r w:rsidRPr="00EA47DF">
              <w:rPr>
                <w:rFonts w:ascii="Times New Roman" w:hAnsi="Times New Roman" w:cs="Times New Roman"/>
                <w:color w:val="auto"/>
                <w:sz w:val="20"/>
                <w:szCs w:val="20"/>
                <w:lang w:val="en-US"/>
              </w:rPr>
              <w:t>dL</w:t>
            </w:r>
            <w:proofErr w:type="spellEnd"/>
            <w:r w:rsidRPr="00EA47DF">
              <w:rPr>
                <w:rFonts w:ascii="Times New Roman" w:hAnsi="Times New Roman" w:cs="Times New Roman"/>
                <w:color w:val="auto"/>
                <w:sz w:val="20"/>
                <w:szCs w:val="20"/>
                <w:lang w:val="en-US"/>
              </w:rPr>
              <w:t xml:space="preserve"> or ESRD on dialysis: avoid</w:t>
            </w:r>
          </w:p>
        </w:tc>
        <w:tc>
          <w:tcPr>
            <w:tcW w:w="855" w:type="pct"/>
            <w:shd w:val="clear" w:color="auto" w:fill="FFFFFF" w:themeFill="background1"/>
          </w:tcPr>
          <w:p w14:paraId="4552C85F"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proofErr w:type="spellStart"/>
            <w:r w:rsidRPr="00EA47DF">
              <w:rPr>
                <w:rFonts w:ascii="Times New Roman" w:hAnsi="Times New Roman" w:cs="Times New Roman"/>
                <w:sz w:val="20"/>
                <w:szCs w:val="20"/>
                <w:lang w:val="en-US"/>
              </w:rPr>
              <w:t>CrCl</w:t>
            </w:r>
            <w:proofErr w:type="spellEnd"/>
            <w:r w:rsidRPr="00EA47DF">
              <w:rPr>
                <w:rFonts w:ascii="Times New Roman" w:hAnsi="Times New Roman" w:cs="Times New Roman"/>
                <w:sz w:val="20"/>
                <w:szCs w:val="20"/>
                <w:lang w:val="en-US"/>
              </w:rPr>
              <w:t xml:space="preserve"> 15 to &lt; 50: necessary adjustment and &gt;90 mg/</w:t>
            </w:r>
            <w:proofErr w:type="spellStart"/>
            <w:r w:rsidRPr="00EA47DF">
              <w:rPr>
                <w:rFonts w:ascii="Times New Roman" w:hAnsi="Times New Roman" w:cs="Times New Roman"/>
                <w:sz w:val="20"/>
                <w:szCs w:val="20"/>
                <w:lang w:val="en-US"/>
              </w:rPr>
              <w:t>dL</w:t>
            </w:r>
            <w:proofErr w:type="spellEnd"/>
            <w:r w:rsidRPr="00EA47DF">
              <w:rPr>
                <w:rFonts w:ascii="Times New Roman" w:hAnsi="Times New Roman" w:cs="Times New Roman"/>
                <w:sz w:val="20"/>
                <w:szCs w:val="20"/>
                <w:lang w:val="en-US"/>
              </w:rPr>
              <w:t>: do not use (in NVAF)</w:t>
            </w:r>
          </w:p>
        </w:tc>
        <w:tc>
          <w:tcPr>
            <w:tcW w:w="511" w:type="pct"/>
            <w:shd w:val="clear" w:color="auto" w:fill="FFFFFF" w:themeFill="background1"/>
          </w:tcPr>
          <w:p w14:paraId="13DDBD4E"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proofErr w:type="spellStart"/>
            <w:r w:rsidRPr="00EA47DF">
              <w:rPr>
                <w:rFonts w:ascii="Times New Roman" w:hAnsi="Times New Roman" w:cs="Times New Roman"/>
                <w:sz w:val="20"/>
                <w:szCs w:val="20"/>
                <w:lang w:val="en-US"/>
              </w:rPr>
              <w:t>CrCl</w:t>
            </w:r>
            <w:proofErr w:type="spellEnd"/>
            <w:r w:rsidRPr="00EA47DF">
              <w:rPr>
                <w:rFonts w:ascii="Times New Roman" w:hAnsi="Times New Roman" w:cs="Times New Roman"/>
                <w:sz w:val="20"/>
                <w:szCs w:val="20"/>
                <w:lang w:val="en-US"/>
              </w:rPr>
              <w:t xml:space="preserve"> ≥ 15 to &lt; 30 mL/min: initial dose 80mg, then 40mg QD</w:t>
            </w:r>
          </w:p>
        </w:tc>
      </w:tr>
      <w:tr w:rsidR="00F478FF" w:rsidRPr="00EB0879" w14:paraId="4350D9DB" w14:textId="77777777" w:rsidTr="00F478FF">
        <w:trPr>
          <w:cnfStyle w:val="000000100000" w:firstRow="0" w:lastRow="0" w:firstColumn="0" w:lastColumn="0" w:oddVBand="0" w:evenVBand="0" w:oddHBand="1" w:evenHBand="0" w:firstRowFirstColumn="0" w:firstRowLastColumn="0" w:lastRowFirstColumn="0" w:lastRowLastColumn="0"/>
          <w:trHeight w:val="433"/>
        </w:trPr>
        <w:tc>
          <w:tcPr>
            <w:tcW w:w="760" w:type="pct"/>
            <w:tcBorders>
              <w:left w:val="single" w:sz="4" w:space="0" w:color="auto"/>
              <w:right w:val="single" w:sz="4" w:space="0" w:color="auto"/>
            </w:tcBorders>
            <w:shd w:val="clear" w:color="auto" w:fill="FFFFFF" w:themeFill="background1"/>
            <w:noWrap/>
          </w:tcPr>
          <w:p w14:paraId="63C3A911" w14:textId="77777777" w:rsidR="00F478FF" w:rsidRPr="0010341F" w:rsidRDefault="00F478FF" w:rsidP="001263A3">
            <w:pPr>
              <w:rPr>
                <w:rFonts w:cs="Times New Roman"/>
                <w:b/>
                <w:sz w:val="20"/>
                <w:szCs w:val="20"/>
                <w:lang w:val="en-US"/>
              </w:rPr>
            </w:pPr>
            <w:r w:rsidRPr="0010341F">
              <w:rPr>
                <w:rFonts w:cs="Times New Roman"/>
                <w:b/>
                <w:sz w:val="20"/>
                <w:szCs w:val="20"/>
                <w:lang w:val="en-US"/>
              </w:rPr>
              <w:t>Hepatic impairment</w:t>
            </w:r>
          </w:p>
        </w:tc>
        <w:tc>
          <w:tcPr>
            <w:tcW w:w="934" w:type="pct"/>
            <w:tcBorders>
              <w:left w:val="single" w:sz="4" w:space="0" w:color="auto"/>
              <w:right w:val="single" w:sz="4" w:space="0" w:color="auto"/>
            </w:tcBorders>
            <w:shd w:val="clear" w:color="auto" w:fill="FFFFFF" w:themeFill="background1"/>
          </w:tcPr>
          <w:p w14:paraId="6439E084"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Moderate to severe: avoid</w:t>
            </w:r>
          </w:p>
        </w:tc>
        <w:tc>
          <w:tcPr>
            <w:tcW w:w="1008" w:type="pct"/>
            <w:tcBorders>
              <w:left w:val="single" w:sz="4" w:space="0" w:color="auto"/>
              <w:right w:val="single" w:sz="4" w:space="0" w:color="auto"/>
            </w:tcBorders>
            <w:shd w:val="clear" w:color="auto" w:fill="FFFFFF" w:themeFill="background1"/>
          </w:tcPr>
          <w:p w14:paraId="1B672503"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Moderate to severe: avoid</w:t>
            </w:r>
          </w:p>
        </w:tc>
        <w:tc>
          <w:tcPr>
            <w:tcW w:w="931" w:type="pct"/>
            <w:tcBorders>
              <w:left w:val="single" w:sz="4" w:space="0" w:color="auto"/>
              <w:right w:val="single" w:sz="4" w:space="0" w:color="auto"/>
            </w:tcBorders>
            <w:shd w:val="clear" w:color="auto" w:fill="FFFFFF" w:themeFill="background1"/>
          </w:tcPr>
          <w:p w14:paraId="5F039DA2"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Moderate to severe: avoid</w:t>
            </w:r>
          </w:p>
        </w:tc>
        <w:tc>
          <w:tcPr>
            <w:tcW w:w="855" w:type="pct"/>
            <w:tcBorders>
              <w:left w:val="single" w:sz="4" w:space="0" w:color="auto"/>
              <w:right w:val="single" w:sz="4" w:space="0" w:color="auto"/>
            </w:tcBorders>
            <w:shd w:val="clear" w:color="auto" w:fill="FFFFFF" w:themeFill="background1"/>
          </w:tcPr>
          <w:p w14:paraId="28C33CE0"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Moderate to severe: avoid</w:t>
            </w:r>
          </w:p>
        </w:tc>
        <w:tc>
          <w:tcPr>
            <w:tcW w:w="511" w:type="pct"/>
            <w:tcBorders>
              <w:left w:val="single" w:sz="4" w:space="0" w:color="auto"/>
              <w:right w:val="single" w:sz="4" w:space="0" w:color="auto"/>
            </w:tcBorders>
            <w:shd w:val="clear" w:color="auto" w:fill="FFFFFF" w:themeFill="background1"/>
          </w:tcPr>
          <w:p w14:paraId="65031BDD"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sz w:val="20"/>
                <w:szCs w:val="20"/>
                <w:lang w:val="en-US"/>
              </w:rPr>
              <w:t>Moderate to severe: avoid</w:t>
            </w:r>
          </w:p>
        </w:tc>
      </w:tr>
      <w:tr w:rsidR="00F478FF" w:rsidRPr="00264E4F" w14:paraId="4A5258CF" w14:textId="77777777" w:rsidTr="00F478FF">
        <w:trPr>
          <w:trHeight w:val="433"/>
        </w:trPr>
        <w:tc>
          <w:tcPr>
            <w:tcW w:w="760" w:type="pct"/>
            <w:shd w:val="clear" w:color="auto" w:fill="FFFFFF" w:themeFill="background1"/>
            <w:noWrap/>
          </w:tcPr>
          <w:p w14:paraId="0FC287F8" w14:textId="77777777" w:rsidR="00F478FF" w:rsidRPr="0010341F" w:rsidRDefault="00F478FF" w:rsidP="001263A3">
            <w:pPr>
              <w:rPr>
                <w:rFonts w:cs="Times New Roman"/>
                <w:b/>
                <w:color w:val="auto"/>
                <w:sz w:val="20"/>
                <w:szCs w:val="20"/>
                <w:lang w:val="en-US"/>
              </w:rPr>
            </w:pPr>
            <w:r>
              <w:rPr>
                <w:rFonts w:cs="Times New Roman"/>
                <w:b/>
                <w:color w:val="auto"/>
                <w:sz w:val="20"/>
                <w:szCs w:val="20"/>
                <w:lang w:val="en-US"/>
              </w:rPr>
              <w:lastRenderedPageBreak/>
              <w:t>Dose modifications</w:t>
            </w:r>
          </w:p>
        </w:tc>
        <w:tc>
          <w:tcPr>
            <w:tcW w:w="934" w:type="pct"/>
            <w:shd w:val="clear" w:color="auto" w:fill="FFFFFF" w:themeFill="background1"/>
          </w:tcPr>
          <w:p w14:paraId="34E6EDAA"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Renal impairment, P-</w:t>
            </w:r>
            <w:proofErr w:type="spellStart"/>
            <w:r w:rsidRPr="00EA47DF">
              <w:rPr>
                <w:rFonts w:ascii="Times New Roman" w:hAnsi="Times New Roman" w:cs="Times New Roman"/>
                <w:color w:val="auto"/>
                <w:sz w:val="20"/>
                <w:szCs w:val="20"/>
                <w:lang w:val="en-US"/>
              </w:rPr>
              <w:t>gp</w:t>
            </w:r>
            <w:proofErr w:type="spellEnd"/>
            <w:r w:rsidRPr="00EA47DF">
              <w:rPr>
                <w:rFonts w:ascii="Times New Roman" w:hAnsi="Times New Roman" w:cs="Times New Roman"/>
                <w:color w:val="auto"/>
                <w:sz w:val="20"/>
                <w:szCs w:val="20"/>
                <w:lang w:val="en-US"/>
              </w:rPr>
              <w:t xml:space="preserve"> inhibitor </w:t>
            </w:r>
            <w:proofErr w:type="spellStart"/>
            <w:r w:rsidRPr="00EA47DF">
              <w:rPr>
                <w:rFonts w:ascii="Times New Roman" w:hAnsi="Times New Roman" w:cs="Times New Roman"/>
                <w:color w:val="auto"/>
                <w:sz w:val="20"/>
                <w:szCs w:val="20"/>
                <w:lang w:val="en-US"/>
              </w:rPr>
              <w:t>coadministration</w:t>
            </w:r>
            <w:proofErr w:type="spellEnd"/>
          </w:p>
        </w:tc>
        <w:tc>
          <w:tcPr>
            <w:tcW w:w="1008" w:type="pct"/>
            <w:shd w:val="clear" w:color="auto" w:fill="FFFFFF" w:themeFill="background1"/>
          </w:tcPr>
          <w:p w14:paraId="1A3871EB"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Renal impairment</w:t>
            </w:r>
          </w:p>
        </w:tc>
        <w:tc>
          <w:tcPr>
            <w:tcW w:w="931" w:type="pct"/>
            <w:shd w:val="clear" w:color="auto" w:fill="FFFFFF" w:themeFill="background1"/>
          </w:tcPr>
          <w:p w14:paraId="02771213"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Renal impairment, age, body weight</w:t>
            </w:r>
          </w:p>
        </w:tc>
        <w:tc>
          <w:tcPr>
            <w:tcW w:w="855" w:type="pct"/>
            <w:shd w:val="clear" w:color="auto" w:fill="FFFFFF" w:themeFill="background1"/>
          </w:tcPr>
          <w:p w14:paraId="2CFD243E"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Renal impairment, weight</w:t>
            </w:r>
          </w:p>
        </w:tc>
        <w:tc>
          <w:tcPr>
            <w:tcW w:w="511" w:type="pct"/>
            <w:shd w:val="clear" w:color="auto" w:fill="FFFFFF" w:themeFill="background1"/>
          </w:tcPr>
          <w:p w14:paraId="066420FE"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color w:val="auto"/>
                <w:sz w:val="20"/>
                <w:szCs w:val="20"/>
                <w:lang w:val="en-US"/>
              </w:rPr>
              <w:t>Renal impairment, P-</w:t>
            </w:r>
            <w:proofErr w:type="spellStart"/>
            <w:r w:rsidRPr="00EA47DF">
              <w:rPr>
                <w:rFonts w:ascii="Times New Roman" w:hAnsi="Times New Roman" w:cs="Times New Roman"/>
                <w:color w:val="auto"/>
                <w:sz w:val="20"/>
                <w:szCs w:val="20"/>
                <w:lang w:val="en-US"/>
              </w:rPr>
              <w:t>gp</w:t>
            </w:r>
            <w:proofErr w:type="spellEnd"/>
            <w:r w:rsidRPr="00EA47DF">
              <w:rPr>
                <w:rFonts w:ascii="Times New Roman" w:hAnsi="Times New Roman" w:cs="Times New Roman"/>
                <w:color w:val="auto"/>
                <w:sz w:val="20"/>
                <w:szCs w:val="20"/>
                <w:lang w:val="en-US"/>
              </w:rPr>
              <w:t xml:space="preserve"> inhibitor </w:t>
            </w:r>
            <w:proofErr w:type="spellStart"/>
            <w:r w:rsidRPr="00EA47DF">
              <w:rPr>
                <w:rFonts w:ascii="Times New Roman" w:hAnsi="Times New Roman" w:cs="Times New Roman"/>
                <w:color w:val="auto"/>
                <w:sz w:val="20"/>
                <w:szCs w:val="20"/>
                <w:lang w:val="en-US"/>
              </w:rPr>
              <w:t>coadministration</w:t>
            </w:r>
            <w:proofErr w:type="spellEnd"/>
          </w:p>
        </w:tc>
      </w:tr>
      <w:tr w:rsidR="00F478FF" w:rsidRPr="00264E4F" w14:paraId="1ED06747" w14:textId="77777777" w:rsidTr="00F478FF">
        <w:trPr>
          <w:cnfStyle w:val="000000100000" w:firstRow="0" w:lastRow="0" w:firstColumn="0" w:lastColumn="0" w:oddVBand="0" w:evenVBand="0" w:oddHBand="1" w:evenHBand="0" w:firstRowFirstColumn="0" w:firstRowLastColumn="0" w:lastRowFirstColumn="0" w:lastRowLastColumn="0"/>
          <w:trHeight w:val="433"/>
        </w:trPr>
        <w:tc>
          <w:tcPr>
            <w:tcW w:w="760" w:type="pct"/>
            <w:tcBorders>
              <w:left w:val="single" w:sz="4" w:space="0" w:color="auto"/>
              <w:right w:val="single" w:sz="4" w:space="0" w:color="auto"/>
            </w:tcBorders>
            <w:shd w:val="clear" w:color="auto" w:fill="FFFFFF" w:themeFill="background1"/>
            <w:noWrap/>
          </w:tcPr>
          <w:p w14:paraId="5425E14D" w14:textId="77777777" w:rsidR="00F478FF" w:rsidRPr="0010341F" w:rsidRDefault="00F478FF" w:rsidP="001263A3">
            <w:pPr>
              <w:rPr>
                <w:rFonts w:cs="Times New Roman"/>
                <w:b/>
                <w:color w:val="auto"/>
                <w:sz w:val="20"/>
                <w:szCs w:val="20"/>
                <w:lang w:val="en-US"/>
              </w:rPr>
            </w:pPr>
            <w:r w:rsidRPr="0010341F">
              <w:rPr>
                <w:rFonts w:cs="Times New Roman"/>
                <w:b/>
                <w:color w:val="auto"/>
                <w:sz w:val="20"/>
                <w:szCs w:val="20"/>
                <w:lang w:val="en-US"/>
              </w:rPr>
              <w:t>Reverser</w:t>
            </w:r>
          </w:p>
        </w:tc>
        <w:tc>
          <w:tcPr>
            <w:tcW w:w="934" w:type="pct"/>
            <w:tcBorders>
              <w:left w:val="single" w:sz="4" w:space="0" w:color="auto"/>
              <w:right w:val="single" w:sz="4" w:space="0" w:color="auto"/>
            </w:tcBorders>
            <w:shd w:val="clear" w:color="auto" w:fill="FFFFFF" w:themeFill="background1"/>
          </w:tcPr>
          <w:p w14:paraId="4C413A96"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proofErr w:type="spellStart"/>
            <w:r w:rsidRPr="00EA47DF">
              <w:rPr>
                <w:rFonts w:ascii="Times New Roman" w:hAnsi="Times New Roman" w:cs="Times New Roman"/>
                <w:color w:val="auto"/>
                <w:sz w:val="20"/>
                <w:szCs w:val="20"/>
                <w:lang w:val="en-US"/>
              </w:rPr>
              <w:t>Idarucizumabe</w:t>
            </w:r>
            <w:proofErr w:type="spellEnd"/>
            <w:r w:rsidRPr="00EA47DF">
              <w:rPr>
                <w:rFonts w:ascii="Times New Roman" w:hAnsi="Times New Roman" w:cs="Times New Roman"/>
                <w:color w:val="auto"/>
                <w:sz w:val="20"/>
                <w:szCs w:val="20"/>
                <w:lang w:val="en-US"/>
              </w:rPr>
              <w:t xml:space="preserve"> (</w:t>
            </w:r>
            <w:proofErr w:type="spellStart"/>
            <w:r w:rsidRPr="00EA47DF">
              <w:rPr>
                <w:rFonts w:ascii="Times New Roman" w:hAnsi="Times New Roman" w:cs="Times New Roman"/>
                <w:color w:val="auto"/>
                <w:sz w:val="20"/>
                <w:szCs w:val="20"/>
                <w:lang w:val="en-US"/>
              </w:rPr>
              <w:t>Praxbind</w:t>
            </w:r>
            <w:proofErr w:type="spellEnd"/>
            <w:r w:rsidRPr="00EA47DF">
              <w:rPr>
                <w:rStyle w:val="nfaseSutil"/>
                <w:color w:val="auto"/>
                <w:sz w:val="20"/>
                <w:szCs w:val="20"/>
                <w:lang w:val="en-US"/>
              </w:rPr>
              <w:t>®</w:t>
            </w:r>
            <w:r w:rsidRPr="00EA47DF">
              <w:rPr>
                <w:rFonts w:ascii="Times New Roman" w:hAnsi="Times New Roman" w:cs="Times New Roman"/>
                <w:color w:val="auto"/>
                <w:sz w:val="20"/>
                <w:szCs w:val="20"/>
                <w:lang w:val="en-US"/>
              </w:rPr>
              <w:t>)</w:t>
            </w:r>
          </w:p>
        </w:tc>
        <w:tc>
          <w:tcPr>
            <w:tcW w:w="1008" w:type="pct"/>
            <w:tcBorders>
              <w:left w:val="single" w:sz="4" w:space="0" w:color="auto"/>
              <w:right w:val="single" w:sz="4" w:space="0" w:color="auto"/>
            </w:tcBorders>
            <w:shd w:val="clear" w:color="auto" w:fill="FFFFFF" w:themeFill="background1"/>
          </w:tcPr>
          <w:p w14:paraId="7D7170BE"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 xml:space="preserve">Coagulation </w:t>
            </w:r>
            <w:proofErr w:type="spellStart"/>
            <w:r w:rsidRPr="00EA47DF">
              <w:rPr>
                <w:rFonts w:ascii="Times New Roman" w:hAnsi="Times New Roman" w:cs="Times New Roman"/>
                <w:color w:val="auto"/>
                <w:sz w:val="20"/>
                <w:szCs w:val="20"/>
                <w:lang w:val="en-US"/>
              </w:rPr>
              <w:t>FXa</w:t>
            </w:r>
            <w:proofErr w:type="spellEnd"/>
            <w:r w:rsidRPr="00EA47DF">
              <w:rPr>
                <w:rFonts w:ascii="Times New Roman" w:hAnsi="Times New Roman" w:cs="Times New Roman"/>
                <w:color w:val="auto"/>
                <w:sz w:val="20"/>
                <w:szCs w:val="20"/>
                <w:lang w:val="en-US"/>
              </w:rPr>
              <w:t xml:space="preserve"> - </w:t>
            </w:r>
            <w:proofErr w:type="spellStart"/>
            <w:r w:rsidRPr="00EA47DF">
              <w:rPr>
                <w:rFonts w:ascii="Times New Roman" w:hAnsi="Times New Roman" w:cs="Times New Roman"/>
                <w:color w:val="auto"/>
                <w:sz w:val="20"/>
                <w:szCs w:val="20"/>
                <w:lang w:val="en-US"/>
              </w:rPr>
              <w:t>Recombinat</w:t>
            </w:r>
            <w:proofErr w:type="spellEnd"/>
            <w:r w:rsidRPr="00EA47DF">
              <w:rPr>
                <w:rFonts w:ascii="Times New Roman" w:hAnsi="Times New Roman" w:cs="Times New Roman"/>
                <w:color w:val="auto"/>
                <w:sz w:val="20"/>
                <w:szCs w:val="20"/>
                <w:lang w:val="en-US"/>
              </w:rPr>
              <w:t xml:space="preserve"> (</w:t>
            </w:r>
            <w:proofErr w:type="spellStart"/>
            <w:r w:rsidRPr="00EA47DF">
              <w:rPr>
                <w:rFonts w:ascii="Times New Roman" w:hAnsi="Times New Roman" w:cs="Times New Roman"/>
                <w:color w:val="auto"/>
                <w:sz w:val="20"/>
                <w:szCs w:val="20"/>
                <w:lang w:val="en-US"/>
              </w:rPr>
              <w:t>Andexxa</w:t>
            </w:r>
            <w:proofErr w:type="spellEnd"/>
            <w:r w:rsidRPr="00EA47DF">
              <w:rPr>
                <w:rStyle w:val="nfaseSutil"/>
                <w:color w:val="auto"/>
                <w:sz w:val="20"/>
                <w:szCs w:val="20"/>
                <w:lang w:val="en-US"/>
              </w:rPr>
              <w:t>®)</w:t>
            </w:r>
          </w:p>
        </w:tc>
        <w:tc>
          <w:tcPr>
            <w:tcW w:w="931" w:type="pct"/>
            <w:tcBorders>
              <w:left w:val="single" w:sz="4" w:space="0" w:color="auto"/>
              <w:right w:val="single" w:sz="4" w:space="0" w:color="auto"/>
            </w:tcBorders>
            <w:shd w:val="clear" w:color="auto" w:fill="FFFFFF" w:themeFill="background1"/>
          </w:tcPr>
          <w:p w14:paraId="03FF2A94"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 xml:space="preserve">Coagulation </w:t>
            </w:r>
            <w:proofErr w:type="spellStart"/>
            <w:r w:rsidRPr="00EA47DF">
              <w:rPr>
                <w:rFonts w:ascii="Times New Roman" w:hAnsi="Times New Roman" w:cs="Times New Roman"/>
                <w:color w:val="auto"/>
                <w:sz w:val="20"/>
                <w:szCs w:val="20"/>
                <w:lang w:val="en-US"/>
              </w:rPr>
              <w:t>FXa</w:t>
            </w:r>
            <w:proofErr w:type="spellEnd"/>
            <w:r w:rsidRPr="00EA47DF">
              <w:rPr>
                <w:rFonts w:ascii="Times New Roman" w:hAnsi="Times New Roman" w:cs="Times New Roman"/>
                <w:color w:val="auto"/>
                <w:sz w:val="20"/>
                <w:szCs w:val="20"/>
                <w:lang w:val="en-US"/>
              </w:rPr>
              <w:t xml:space="preserve"> - </w:t>
            </w:r>
            <w:proofErr w:type="spellStart"/>
            <w:r w:rsidRPr="00EA47DF">
              <w:rPr>
                <w:rFonts w:ascii="Times New Roman" w:hAnsi="Times New Roman" w:cs="Times New Roman"/>
                <w:color w:val="auto"/>
                <w:sz w:val="20"/>
                <w:szCs w:val="20"/>
                <w:lang w:val="en-US"/>
              </w:rPr>
              <w:t>Recombinat</w:t>
            </w:r>
            <w:proofErr w:type="spellEnd"/>
            <w:r w:rsidRPr="00EA47DF">
              <w:rPr>
                <w:rFonts w:ascii="Times New Roman" w:hAnsi="Times New Roman" w:cs="Times New Roman"/>
                <w:color w:val="auto"/>
                <w:sz w:val="20"/>
                <w:szCs w:val="20"/>
                <w:lang w:val="en-US"/>
              </w:rPr>
              <w:t xml:space="preserve"> (</w:t>
            </w:r>
            <w:proofErr w:type="spellStart"/>
            <w:r w:rsidRPr="00EA47DF">
              <w:rPr>
                <w:rFonts w:ascii="Times New Roman" w:hAnsi="Times New Roman" w:cs="Times New Roman"/>
                <w:color w:val="auto"/>
                <w:sz w:val="20"/>
                <w:szCs w:val="20"/>
                <w:lang w:val="en-US"/>
              </w:rPr>
              <w:t>Andexxa</w:t>
            </w:r>
            <w:proofErr w:type="spellEnd"/>
            <w:r w:rsidRPr="00EA47DF">
              <w:rPr>
                <w:rStyle w:val="nfaseSutil"/>
                <w:color w:val="auto"/>
                <w:sz w:val="20"/>
                <w:szCs w:val="20"/>
                <w:lang w:val="en-US"/>
              </w:rPr>
              <w:t>®)</w:t>
            </w:r>
          </w:p>
        </w:tc>
        <w:tc>
          <w:tcPr>
            <w:tcW w:w="855" w:type="pct"/>
            <w:tcBorders>
              <w:left w:val="single" w:sz="4" w:space="0" w:color="auto"/>
              <w:right w:val="single" w:sz="4" w:space="0" w:color="auto"/>
            </w:tcBorders>
            <w:shd w:val="clear" w:color="auto" w:fill="FFFFFF" w:themeFill="background1"/>
          </w:tcPr>
          <w:p w14:paraId="6F11257D" w14:textId="77777777" w:rsidR="00F478FF" w:rsidRPr="00EA47DF" w:rsidRDefault="00F478FF" w:rsidP="001263A3">
            <w:pPr>
              <w:pStyle w:val="DecimalAligned"/>
              <w:spacing w:line="240" w:lineRule="auto"/>
              <w:jc w:val="center"/>
              <w:rPr>
                <w:rFonts w:ascii="Times New Roman" w:hAnsi="Times New Roman" w:cs="Times New Roman"/>
                <w:color w:val="auto"/>
                <w:sz w:val="20"/>
                <w:szCs w:val="20"/>
                <w:lang w:val="en-US"/>
              </w:rPr>
            </w:pPr>
            <w:r w:rsidRPr="00EA47DF">
              <w:rPr>
                <w:rFonts w:ascii="Times New Roman" w:hAnsi="Times New Roman" w:cs="Times New Roman"/>
                <w:color w:val="auto"/>
                <w:sz w:val="20"/>
                <w:szCs w:val="20"/>
                <w:lang w:val="en-US"/>
              </w:rPr>
              <w:t>Not available.</w:t>
            </w:r>
          </w:p>
        </w:tc>
        <w:tc>
          <w:tcPr>
            <w:tcW w:w="511" w:type="pct"/>
            <w:tcBorders>
              <w:left w:val="single" w:sz="4" w:space="0" w:color="auto"/>
              <w:right w:val="single" w:sz="4" w:space="0" w:color="auto"/>
            </w:tcBorders>
            <w:shd w:val="clear" w:color="auto" w:fill="FFFFFF" w:themeFill="background1"/>
          </w:tcPr>
          <w:p w14:paraId="7FD80F50" w14:textId="77777777" w:rsidR="00F478FF" w:rsidRPr="00EA47DF" w:rsidRDefault="00F478FF" w:rsidP="001263A3">
            <w:pPr>
              <w:pStyle w:val="DecimalAligned"/>
              <w:spacing w:line="240" w:lineRule="auto"/>
              <w:jc w:val="center"/>
              <w:rPr>
                <w:rFonts w:ascii="Times New Roman" w:hAnsi="Times New Roman" w:cs="Times New Roman"/>
                <w:sz w:val="20"/>
                <w:szCs w:val="20"/>
                <w:lang w:val="en-US"/>
              </w:rPr>
            </w:pPr>
            <w:r w:rsidRPr="00EA47DF">
              <w:rPr>
                <w:rFonts w:ascii="Times New Roman" w:hAnsi="Times New Roman" w:cs="Times New Roman"/>
                <w:color w:val="auto"/>
                <w:sz w:val="20"/>
                <w:szCs w:val="20"/>
                <w:lang w:val="en-US"/>
              </w:rPr>
              <w:t>Not available.</w:t>
            </w:r>
          </w:p>
        </w:tc>
      </w:tr>
      <w:tr w:rsidR="00F478FF" w:rsidRPr="00264E4F" w14:paraId="056A105F" w14:textId="77777777" w:rsidTr="00F478FF">
        <w:trPr>
          <w:cnfStyle w:val="010000000000" w:firstRow="0" w:lastRow="1" w:firstColumn="0" w:lastColumn="0" w:oddVBand="0" w:evenVBand="0" w:oddHBand="0" w:evenHBand="0" w:firstRowFirstColumn="0" w:firstRowLastColumn="0" w:lastRowFirstColumn="0" w:lastRowLastColumn="0"/>
          <w:trHeight w:val="87"/>
        </w:trPr>
        <w:tc>
          <w:tcPr>
            <w:tcW w:w="760" w:type="pct"/>
            <w:tcBorders>
              <w:left w:val="single" w:sz="4" w:space="0" w:color="auto"/>
              <w:right w:val="single" w:sz="4" w:space="0" w:color="auto"/>
            </w:tcBorders>
            <w:shd w:val="clear" w:color="auto" w:fill="FFFFFF" w:themeFill="background1"/>
            <w:noWrap/>
          </w:tcPr>
          <w:p w14:paraId="3C16C1F8" w14:textId="77777777" w:rsidR="00F478FF" w:rsidRPr="0010341F" w:rsidRDefault="00F478FF" w:rsidP="001263A3">
            <w:pPr>
              <w:rPr>
                <w:rFonts w:cs="Times New Roman"/>
                <w:sz w:val="20"/>
                <w:szCs w:val="20"/>
                <w:lang w:val="en-US"/>
              </w:rPr>
            </w:pPr>
            <w:r w:rsidRPr="0010341F">
              <w:rPr>
                <w:rFonts w:cs="Times New Roman"/>
                <w:sz w:val="20"/>
                <w:szCs w:val="20"/>
                <w:lang w:val="en-US"/>
              </w:rPr>
              <w:t>Drug interactions</w:t>
            </w:r>
          </w:p>
        </w:tc>
        <w:tc>
          <w:tcPr>
            <w:tcW w:w="934" w:type="pct"/>
            <w:tcBorders>
              <w:top w:val="single" w:sz="4" w:space="0" w:color="auto"/>
              <w:left w:val="single" w:sz="4" w:space="0" w:color="auto"/>
              <w:bottom w:val="single" w:sz="4" w:space="0" w:color="auto"/>
              <w:right w:val="single" w:sz="4" w:space="0" w:color="auto"/>
            </w:tcBorders>
            <w:shd w:val="clear" w:color="auto" w:fill="FFFFFF" w:themeFill="background1"/>
          </w:tcPr>
          <w:p w14:paraId="501C2341" w14:textId="77777777" w:rsidR="00F478FF" w:rsidRPr="00EA47DF" w:rsidRDefault="00F478FF" w:rsidP="001263A3">
            <w:pPr>
              <w:pStyle w:val="DecimalAligned"/>
              <w:spacing w:line="240" w:lineRule="auto"/>
              <w:jc w:val="center"/>
              <w:rPr>
                <w:rFonts w:ascii="Times New Roman" w:hAnsi="Times New Roman" w:cs="Times New Roman"/>
                <w:b w:val="0"/>
                <w:sz w:val="20"/>
                <w:szCs w:val="20"/>
                <w:lang w:val="en-US"/>
              </w:rPr>
            </w:pPr>
            <w:r w:rsidRPr="00EA47DF">
              <w:rPr>
                <w:rFonts w:ascii="Times New Roman" w:hAnsi="Times New Roman" w:cs="Times New Roman"/>
                <w:b w:val="0"/>
                <w:sz w:val="20"/>
                <w:szCs w:val="20"/>
                <w:lang w:val="en-US"/>
              </w:rPr>
              <w:t>P-</w:t>
            </w:r>
            <w:proofErr w:type="spellStart"/>
            <w:r w:rsidRPr="00EA47DF">
              <w:rPr>
                <w:rFonts w:ascii="Times New Roman" w:hAnsi="Times New Roman" w:cs="Times New Roman"/>
                <w:b w:val="0"/>
                <w:sz w:val="20"/>
                <w:szCs w:val="20"/>
                <w:lang w:val="en-US"/>
              </w:rPr>
              <w:t>gp</w:t>
            </w:r>
            <w:proofErr w:type="spellEnd"/>
            <w:r w:rsidRPr="00EA47DF">
              <w:rPr>
                <w:rFonts w:ascii="Times New Roman" w:hAnsi="Times New Roman" w:cs="Times New Roman"/>
                <w:b w:val="0"/>
                <w:sz w:val="20"/>
                <w:szCs w:val="20"/>
                <w:lang w:val="en-US"/>
              </w:rPr>
              <w:t xml:space="preserve"> inhibitors or inducers</w:t>
            </w:r>
          </w:p>
        </w:tc>
        <w:tc>
          <w:tcPr>
            <w:tcW w:w="1008" w:type="pct"/>
            <w:tcBorders>
              <w:top w:val="single" w:sz="4" w:space="0" w:color="auto"/>
              <w:left w:val="single" w:sz="4" w:space="0" w:color="auto"/>
              <w:bottom w:val="single" w:sz="4" w:space="0" w:color="auto"/>
              <w:right w:val="single" w:sz="4" w:space="0" w:color="auto"/>
            </w:tcBorders>
            <w:shd w:val="clear" w:color="auto" w:fill="FFFFFF" w:themeFill="background1"/>
          </w:tcPr>
          <w:p w14:paraId="62815E7C" w14:textId="77777777" w:rsidR="00F478FF" w:rsidRPr="00EA47DF" w:rsidRDefault="00F478FF" w:rsidP="001263A3">
            <w:pPr>
              <w:pStyle w:val="DecimalAligned"/>
              <w:spacing w:line="240" w:lineRule="auto"/>
              <w:jc w:val="center"/>
              <w:rPr>
                <w:rFonts w:ascii="Times New Roman" w:hAnsi="Times New Roman" w:cs="Times New Roman"/>
                <w:b w:val="0"/>
                <w:sz w:val="20"/>
                <w:szCs w:val="20"/>
                <w:lang w:val="en-US"/>
              </w:rPr>
            </w:pPr>
            <w:r w:rsidRPr="00EA47DF">
              <w:rPr>
                <w:rFonts w:ascii="Times New Roman" w:hAnsi="Times New Roman" w:cs="Times New Roman"/>
                <w:b w:val="0"/>
                <w:sz w:val="20"/>
                <w:szCs w:val="20"/>
                <w:lang w:val="en-US"/>
              </w:rPr>
              <w:t>P-</w:t>
            </w:r>
            <w:proofErr w:type="spellStart"/>
            <w:r w:rsidRPr="00EA47DF">
              <w:rPr>
                <w:rFonts w:ascii="Times New Roman" w:hAnsi="Times New Roman" w:cs="Times New Roman"/>
                <w:b w:val="0"/>
                <w:sz w:val="20"/>
                <w:szCs w:val="20"/>
                <w:lang w:val="en-US"/>
              </w:rPr>
              <w:t>gp</w:t>
            </w:r>
            <w:proofErr w:type="spellEnd"/>
            <w:r w:rsidRPr="00EA47DF">
              <w:rPr>
                <w:rFonts w:ascii="Times New Roman" w:hAnsi="Times New Roman" w:cs="Times New Roman"/>
                <w:b w:val="0"/>
                <w:sz w:val="20"/>
                <w:szCs w:val="20"/>
                <w:lang w:val="en-US"/>
              </w:rPr>
              <w:t xml:space="preserve"> and CYP3A4 inhibitors or inducers</w:t>
            </w:r>
          </w:p>
        </w:tc>
        <w:tc>
          <w:tcPr>
            <w:tcW w:w="931" w:type="pct"/>
            <w:tcBorders>
              <w:top w:val="single" w:sz="4" w:space="0" w:color="auto"/>
              <w:left w:val="single" w:sz="4" w:space="0" w:color="auto"/>
              <w:bottom w:val="single" w:sz="4" w:space="0" w:color="auto"/>
              <w:right w:val="single" w:sz="4" w:space="0" w:color="auto"/>
            </w:tcBorders>
            <w:shd w:val="clear" w:color="auto" w:fill="FFFFFF" w:themeFill="background1"/>
          </w:tcPr>
          <w:p w14:paraId="1812AE24" w14:textId="77777777" w:rsidR="00F478FF" w:rsidRPr="00EA47DF" w:rsidRDefault="00F478FF" w:rsidP="001263A3">
            <w:pPr>
              <w:pStyle w:val="DecimalAligned"/>
              <w:spacing w:line="240" w:lineRule="auto"/>
              <w:jc w:val="center"/>
              <w:rPr>
                <w:rFonts w:ascii="Times New Roman" w:hAnsi="Times New Roman" w:cs="Times New Roman"/>
                <w:b w:val="0"/>
                <w:sz w:val="20"/>
                <w:szCs w:val="20"/>
                <w:lang w:val="en-US"/>
              </w:rPr>
            </w:pPr>
            <w:r w:rsidRPr="00EA47DF">
              <w:rPr>
                <w:rFonts w:ascii="Times New Roman" w:hAnsi="Times New Roman" w:cs="Times New Roman"/>
                <w:b w:val="0"/>
                <w:sz w:val="20"/>
                <w:szCs w:val="20"/>
                <w:lang w:val="en-US"/>
              </w:rPr>
              <w:t>P-</w:t>
            </w:r>
            <w:proofErr w:type="spellStart"/>
            <w:r w:rsidRPr="00EA47DF">
              <w:rPr>
                <w:rFonts w:ascii="Times New Roman" w:hAnsi="Times New Roman" w:cs="Times New Roman"/>
                <w:b w:val="0"/>
                <w:sz w:val="20"/>
                <w:szCs w:val="20"/>
                <w:lang w:val="en-US"/>
              </w:rPr>
              <w:t>gp</w:t>
            </w:r>
            <w:proofErr w:type="spellEnd"/>
            <w:r w:rsidRPr="00EA47DF">
              <w:rPr>
                <w:rFonts w:ascii="Times New Roman" w:hAnsi="Times New Roman" w:cs="Times New Roman"/>
                <w:b w:val="0"/>
                <w:sz w:val="20"/>
                <w:szCs w:val="20"/>
                <w:lang w:val="en-US"/>
              </w:rPr>
              <w:t xml:space="preserve"> and CYP3A4 inhibitors or inducers</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tcPr>
          <w:p w14:paraId="1FAF4E8E" w14:textId="77777777" w:rsidR="00F478FF" w:rsidRPr="00EA47DF" w:rsidRDefault="00F478FF" w:rsidP="001263A3">
            <w:pPr>
              <w:pStyle w:val="DecimalAligned"/>
              <w:spacing w:line="240" w:lineRule="auto"/>
              <w:jc w:val="center"/>
              <w:rPr>
                <w:rFonts w:ascii="Times New Roman" w:hAnsi="Times New Roman" w:cs="Times New Roman"/>
                <w:b w:val="0"/>
                <w:sz w:val="20"/>
                <w:szCs w:val="20"/>
                <w:lang w:val="en-US"/>
              </w:rPr>
            </w:pPr>
            <w:r w:rsidRPr="00EA47DF">
              <w:rPr>
                <w:rFonts w:ascii="Times New Roman" w:hAnsi="Times New Roman" w:cs="Times New Roman"/>
                <w:b w:val="0"/>
                <w:sz w:val="20"/>
                <w:szCs w:val="20"/>
                <w:lang w:val="en-US"/>
              </w:rPr>
              <w:t xml:space="preserve"> P-</w:t>
            </w:r>
            <w:proofErr w:type="spellStart"/>
            <w:r w:rsidRPr="00EA47DF">
              <w:rPr>
                <w:rFonts w:ascii="Times New Roman" w:hAnsi="Times New Roman" w:cs="Times New Roman"/>
                <w:b w:val="0"/>
                <w:sz w:val="20"/>
                <w:szCs w:val="20"/>
                <w:lang w:val="en-US"/>
              </w:rPr>
              <w:t>gp</w:t>
            </w:r>
            <w:proofErr w:type="spellEnd"/>
            <w:r w:rsidRPr="00EA47DF">
              <w:rPr>
                <w:rFonts w:ascii="Times New Roman" w:hAnsi="Times New Roman" w:cs="Times New Roman"/>
                <w:b w:val="0"/>
                <w:sz w:val="20"/>
                <w:szCs w:val="20"/>
                <w:lang w:val="en-US"/>
              </w:rPr>
              <w:t xml:space="preserve"> inhibitors</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tcPr>
          <w:p w14:paraId="23656F43" w14:textId="77777777" w:rsidR="00F478FF" w:rsidRPr="00EA47DF" w:rsidRDefault="00F478FF" w:rsidP="001263A3">
            <w:pPr>
              <w:pStyle w:val="DecimalAligned"/>
              <w:spacing w:line="240" w:lineRule="auto"/>
              <w:jc w:val="center"/>
              <w:rPr>
                <w:rFonts w:ascii="Times New Roman" w:hAnsi="Times New Roman" w:cs="Times New Roman"/>
                <w:b w:val="0"/>
                <w:sz w:val="20"/>
                <w:szCs w:val="20"/>
                <w:lang w:val="en-US"/>
              </w:rPr>
            </w:pPr>
            <w:r w:rsidRPr="00EA47DF">
              <w:rPr>
                <w:rFonts w:ascii="Times New Roman" w:hAnsi="Times New Roman" w:cs="Times New Roman"/>
                <w:b w:val="0"/>
                <w:sz w:val="20"/>
                <w:szCs w:val="20"/>
                <w:lang w:val="en-US"/>
              </w:rPr>
              <w:t>P-</w:t>
            </w:r>
            <w:proofErr w:type="spellStart"/>
            <w:r w:rsidRPr="00EA47DF">
              <w:rPr>
                <w:rFonts w:ascii="Times New Roman" w:hAnsi="Times New Roman" w:cs="Times New Roman"/>
                <w:b w:val="0"/>
                <w:sz w:val="20"/>
                <w:szCs w:val="20"/>
                <w:lang w:val="en-US"/>
              </w:rPr>
              <w:t>gp</w:t>
            </w:r>
            <w:proofErr w:type="spellEnd"/>
            <w:r w:rsidRPr="00EA47DF">
              <w:rPr>
                <w:rFonts w:ascii="Times New Roman" w:hAnsi="Times New Roman" w:cs="Times New Roman"/>
                <w:b w:val="0"/>
                <w:sz w:val="20"/>
                <w:szCs w:val="20"/>
                <w:lang w:val="en-US"/>
              </w:rPr>
              <w:t xml:space="preserve"> inhibitors</w:t>
            </w:r>
          </w:p>
        </w:tc>
      </w:tr>
    </w:tbl>
    <w:p w14:paraId="5102B45F" w14:textId="77777777" w:rsidR="00F478FF" w:rsidRDefault="00F478FF" w:rsidP="00F478FF">
      <w:pPr>
        <w:ind w:left="-850" w:right="-964"/>
        <w:jc w:val="both"/>
        <w:rPr>
          <w:rFonts w:cs="Times New Roman"/>
          <w:sz w:val="20"/>
          <w:szCs w:val="20"/>
        </w:rPr>
      </w:pPr>
    </w:p>
    <w:p w14:paraId="6FCE92A0" w14:textId="77777777" w:rsidR="00F478FF" w:rsidRPr="00F478FF" w:rsidRDefault="00F478FF" w:rsidP="00F478FF">
      <w:pPr>
        <w:ind w:left="-340" w:right="-340"/>
        <w:jc w:val="both"/>
        <w:rPr>
          <w:rFonts w:asciiTheme="minorEastAsia" w:hAnsiTheme="minorEastAsia" w:cstheme="minorEastAsia"/>
          <w:szCs w:val="24"/>
        </w:rPr>
      </w:pPr>
      <w:proofErr w:type="gramStart"/>
      <w:r w:rsidRPr="00F478FF">
        <w:rPr>
          <w:rFonts w:cs="Times New Roman"/>
          <w:szCs w:val="24"/>
        </w:rPr>
        <w:t xml:space="preserve">AF = atrial fibrillation; DOAC = direct oral anticoagulant; FDA = Food and Drug Administration; </w:t>
      </w:r>
      <w:proofErr w:type="spellStart"/>
      <w:r w:rsidRPr="00F478FF">
        <w:rPr>
          <w:rFonts w:cs="Times New Roman"/>
          <w:szCs w:val="24"/>
        </w:rPr>
        <w:t>CrCl</w:t>
      </w:r>
      <w:proofErr w:type="spellEnd"/>
      <w:r w:rsidRPr="00F478FF">
        <w:rPr>
          <w:rFonts w:cs="Times New Roman"/>
          <w:szCs w:val="24"/>
        </w:rPr>
        <w:t xml:space="preserve"> = creatinine clearence; PPT = peak plasma time; PE = pulmonary embolus; P-</w:t>
      </w:r>
      <w:proofErr w:type="spellStart"/>
      <w:r w:rsidRPr="00F478FF">
        <w:rPr>
          <w:rFonts w:cs="Times New Roman"/>
          <w:szCs w:val="24"/>
        </w:rPr>
        <w:t>gp</w:t>
      </w:r>
      <w:proofErr w:type="spellEnd"/>
      <w:r w:rsidRPr="00F478FF">
        <w:rPr>
          <w:rFonts w:cs="Times New Roman"/>
          <w:szCs w:val="24"/>
        </w:rPr>
        <w:t xml:space="preserve"> = P-glycoprotein; </w:t>
      </w:r>
      <w:proofErr w:type="spellStart"/>
      <w:r w:rsidRPr="00F478FF">
        <w:rPr>
          <w:rFonts w:cs="Times New Roman"/>
          <w:szCs w:val="24"/>
        </w:rPr>
        <w:t>FXa</w:t>
      </w:r>
      <w:proofErr w:type="spellEnd"/>
      <w:r w:rsidRPr="00F478FF">
        <w:rPr>
          <w:rFonts w:cs="Times New Roman"/>
          <w:szCs w:val="24"/>
        </w:rPr>
        <w:t xml:space="preserve"> = factor </w:t>
      </w:r>
      <w:proofErr w:type="spellStart"/>
      <w:r w:rsidRPr="00F478FF">
        <w:rPr>
          <w:rFonts w:cs="Times New Roman"/>
          <w:szCs w:val="24"/>
        </w:rPr>
        <w:t>Xa</w:t>
      </w:r>
      <w:proofErr w:type="spellEnd"/>
      <w:r w:rsidRPr="00F478FF">
        <w:rPr>
          <w:rFonts w:cs="Times New Roman"/>
          <w:szCs w:val="24"/>
        </w:rPr>
        <w:t xml:space="preserve"> Inhibitors; NVAF = </w:t>
      </w:r>
      <w:proofErr w:type="spellStart"/>
      <w:r w:rsidRPr="00F478FF">
        <w:rPr>
          <w:rFonts w:cs="Times New Roman"/>
          <w:szCs w:val="24"/>
        </w:rPr>
        <w:t>Nonvalvular</w:t>
      </w:r>
      <w:proofErr w:type="spellEnd"/>
      <w:r w:rsidRPr="00F478FF">
        <w:rPr>
          <w:rFonts w:cs="Times New Roman"/>
          <w:szCs w:val="24"/>
        </w:rPr>
        <w:t xml:space="preserve"> atrial fibrillation; DVT = deep vein thrombosis; RMCE = risk of major cardiovascular events;  NR = not recommended; BID = twice daily; QD = once a day; HR = hour; * The indication of the use of a given presentation varies according to the clinical indication and renal adjustment when necessary; ** Major adverse events often reported in addition to bleeding;</w:t>
      </w:r>
      <w:r w:rsidRPr="00F478FF">
        <w:rPr>
          <w:rFonts w:asciiTheme="minorEastAsia" w:hAnsiTheme="minorEastAsia" w:cstheme="minorEastAsia" w:hint="eastAsia"/>
          <w:szCs w:val="24"/>
        </w:rPr>
        <w:t>§</w:t>
      </w:r>
      <w:r w:rsidRPr="00F478FF">
        <w:rPr>
          <w:rFonts w:asciiTheme="minorEastAsia" w:hAnsiTheme="minorEastAsia" w:cstheme="minorEastAsia" w:hint="eastAsia"/>
          <w:szCs w:val="24"/>
        </w:rPr>
        <w:t>I</w:t>
      </w:r>
      <w:r w:rsidRPr="00F478FF">
        <w:rPr>
          <w:rFonts w:asciiTheme="minorEastAsia" w:hAnsiTheme="minorEastAsia" w:cstheme="minorEastAsia"/>
          <w:szCs w:val="24"/>
        </w:rPr>
        <w:t>f normal renal function.</w:t>
      </w:r>
      <w:proofErr w:type="gramEnd"/>
      <w:r w:rsidRPr="00F478FF">
        <w:rPr>
          <w:rFonts w:asciiTheme="minorEastAsia" w:hAnsiTheme="minorEastAsia" w:cstheme="minorEastAsia"/>
          <w:szCs w:val="24"/>
        </w:rPr>
        <w:t xml:space="preserve"> </w:t>
      </w:r>
    </w:p>
    <w:p w14:paraId="62DBF677" w14:textId="77777777" w:rsidR="00F478FF" w:rsidRDefault="00F478FF" w:rsidP="00F478FF">
      <w:pPr>
        <w:ind w:left="-850" w:right="-964"/>
        <w:jc w:val="both"/>
        <w:rPr>
          <w:rFonts w:cs="Times New Roman"/>
          <w:sz w:val="20"/>
          <w:szCs w:val="20"/>
        </w:rPr>
      </w:pPr>
    </w:p>
    <w:p w14:paraId="2B8B1444" w14:textId="77777777" w:rsidR="00F478FF" w:rsidRPr="00356380" w:rsidRDefault="00F478FF" w:rsidP="00F478FF">
      <w:pPr>
        <w:ind w:left="-850" w:right="-964"/>
        <w:jc w:val="both"/>
        <w:rPr>
          <w:rFonts w:cs="Times New Roman"/>
          <w:b/>
          <w:szCs w:val="24"/>
        </w:rPr>
      </w:pPr>
    </w:p>
    <w:p w14:paraId="119530CC" w14:textId="77777777" w:rsidR="00F478FF" w:rsidRPr="00356380" w:rsidRDefault="00F478FF" w:rsidP="00F478FF">
      <w:pPr>
        <w:ind w:left="-850" w:right="-964" w:firstLine="850"/>
        <w:jc w:val="both"/>
        <w:rPr>
          <w:rFonts w:cs="Times New Roman"/>
          <w:b/>
          <w:szCs w:val="24"/>
        </w:rPr>
      </w:pPr>
      <w:r w:rsidRPr="00356380">
        <w:rPr>
          <w:rFonts w:cs="Times New Roman"/>
          <w:b/>
          <w:szCs w:val="24"/>
        </w:rPr>
        <w:t>REFERENCES</w:t>
      </w:r>
    </w:p>
    <w:p w14:paraId="237DCF83" w14:textId="77777777" w:rsidR="00F478FF" w:rsidRPr="00356380" w:rsidRDefault="00F478FF" w:rsidP="00F478FF">
      <w:pPr>
        <w:ind w:left="-850" w:right="-964"/>
        <w:jc w:val="both"/>
        <w:rPr>
          <w:rFonts w:cs="Times New Roman"/>
          <w:szCs w:val="24"/>
        </w:rPr>
      </w:pPr>
    </w:p>
    <w:p w14:paraId="2C8EA06B" w14:textId="77777777" w:rsidR="00F478FF" w:rsidRPr="00DE6F90" w:rsidRDefault="00F478FF" w:rsidP="00F478FF">
      <w:pPr>
        <w:widowControl w:val="0"/>
        <w:autoSpaceDE w:val="0"/>
        <w:autoSpaceDN w:val="0"/>
        <w:adjustRightInd w:val="0"/>
        <w:ind w:left="640" w:hanging="640"/>
        <w:jc w:val="both"/>
        <w:rPr>
          <w:rFonts w:cs="Times New Roman"/>
          <w:noProof/>
          <w:szCs w:val="24"/>
        </w:rPr>
      </w:pPr>
      <w:r w:rsidRPr="00356380">
        <w:rPr>
          <w:rFonts w:cs="Times New Roman"/>
          <w:szCs w:val="24"/>
        </w:rPr>
        <w:fldChar w:fldCharType="begin" w:fldLock="1"/>
      </w:r>
      <w:r w:rsidRPr="00356380">
        <w:rPr>
          <w:rFonts w:cs="Times New Roman"/>
          <w:szCs w:val="24"/>
        </w:rPr>
        <w:instrText xml:space="preserve">ADDIN Mendeley Bibliography CSL_BIBLIOGRAPHY </w:instrText>
      </w:r>
      <w:r w:rsidRPr="00356380">
        <w:rPr>
          <w:rFonts w:cs="Times New Roman"/>
          <w:szCs w:val="24"/>
        </w:rPr>
        <w:fldChar w:fldCharType="separate"/>
      </w:r>
      <w:r w:rsidRPr="00DE6F90">
        <w:rPr>
          <w:rFonts w:cs="Times New Roman"/>
          <w:noProof/>
          <w:szCs w:val="24"/>
        </w:rPr>
        <w:t xml:space="preserve">1. </w:t>
      </w:r>
      <w:r w:rsidRPr="00DE6F90">
        <w:rPr>
          <w:rFonts w:cs="Times New Roman"/>
          <w:noProof/>
          <w:szCs w:val="24"/>
        </w:rPr>
        <w:tab/>
        <w:t xml:space="preserve">Higgins J, Altman D, Gotzsche P, Juni P, Moher D, Oxman A, et al. Chapter 8: Assessing Risk of Bias in Included Studies. Cochrane Handbook for Systematic Reviews of Interventions Version 5.1.0. Cochrane Collab. 2011; </w:t>
      </w:r>
    </w:p>
    <w:p w14:paraId="76ACFBD0" w14:textId="77777777" w:rsidR="00F478FF" w:rsidRPr="00DE6F90" w:rsidRDefault="00F478FF" w:rsidP="00F478FF">
      <w:pPr>
        <w:widowControl w:val="0"/>
        <w:autoSpaceDE w:val="0"/>
        <w:autoSpaceDN w:val="0"/>
        <w:adjustRightInd w:val="0"/>
        <w:ind w:left="640" w:hanging="640"/>
        <w:jc w:val="both"/>
        <w:rPr>
          <w:rFonts w:cs="Times New Roman"/>
          <w:noProof/>
          <w:szCs w:val="24"/>
        </w:rPr>
      </w:pPr>
      <w:r w:rsidRPr="00DE6F90">
        <w:rPr>
          <w:rFonts w:cs="Times New Roman"/>
          <w:noProof/>
          <w:szCs w:val="24"/>
        </w:rPr>
        <w:t xml:space="preserve">2. </w:t>
      </w:r>
      <w:r w:rsidRPr="00DE6F90">
        <w:rPr>
          <w:rFonts w:cs="Times New Roman"/>
          <w:noProof/>
          <w:szCs w:val="24"/>
        </w:rPr>
        <w:tab/>
        <w:t xml:space="preserve">Schünemann HJ, Schünemann AHJ, Oxman AD, Brozek J, Glasziou P, Jaeschke R, et al. Grading quality of evidence and strength of recommendations for diagnostic tests and strategies. BMJ. 2008 May 17;336(7653):1106–10. </w:t>
      </w:r>
    </w:p>
    <w:p w14:paraId="65455DAF" w14:textId="77777777" w:rsidR="00F478FF" w:rsidRPr="00DE6F90" w:rsidRDefault="00F478FF" w:rsidP="00F478FF">
      <w:pPr>
        <w:widowControl w:val="0"/>
        <w:autoSpaceDE w:val="0"/>
        <w:autoSpaceDN w:val="0"/>
        <w:adjustRightInd w:val="0"/>
        <w:ind w:left="640" w:hanging="640"/>
        <w:jc w:val="both"/>
        <w:rPr>
          <w:rFonts w:cs="Times New Roman"/>
          <w:noProof/>
          <w:szCs w:val="24"/>
        </w:rPr>
      </w:pPr>
      <w:r w:rsidRPr="00DE6F90">
        <w:rPr>
          <w:rFonts w:cs="Times New Roman"/>
          <w:noProof/>
          <w:szCs w:val="24"/>
        </w:rPr>
        <w:t xml:space="preserve">3. </w:t>
      </w:r>
      <w:r w:rsidRPr="00DE6F90">
        <w:rPr>
          <w:rFonts w:cs="Times New Roman"/>
          <w:noProof/>
          <w:szCs w:val="24"/>
        </w:rPr>
        <w:tab/>
        <w:t xml:space="preserve">Guyatt GH, Oxman AD, Kunz R, Falck-Ytter Y, Vist GE, Liberati A, et al. Going from evidence to recommendations. BMJ. 2008 May 10;336(7652):1049–51. </w:t>
      </w:r>
    </w:p>
    <w:p w14:paraId="3127FDFB" w14:textId="77777777" w:rsidR="00F478FF" w:rsidRPr="00DE6F90" w:rsidRDefault="00F478FF" w:rsidP="00F478FF">
      <w:pPr>
        <w:widowControl w:val="0"/>
        <w:autoSpaceDE w:val="0"/>
        <w:autoSpaceDN w:val="0"/>
        <w:adjustRightInd w:val="0"/>
        <w:ind w:left="640" w:hanging="640"/>
        <w:jc w:val="both"/>
        <w:rPr>
          <w:rFonts w:cs="Times New Roman"/>
          <w:noProof/>
          <w:szCs w:val="24"/>
        </w:rPr>
      </w:pPr>
      <w:r w:rsidRPr="00DE6F90">
        <w:rPr>
          <w:rFonts w:cs="Times New Roman"/>
          <w:noProof/>
          <w:szCs w:val="24"/>
        </w:rPr>
        <w:t xml:space="preserve">4. </w:t>
      </w:r>
      <w:r w:rsidRPr="00DE6F90">
        <w:rPr>
          <w:rFonts w:cs="Times New Roman"/>
          <w:noProof/>
          <w:szCs w:val="24"/>
        </w:rPr>
        <w:tab/>
        <w:t xml:space="preserve">Eikelboom JW, Connolly SJ, Brueckmann M, Granger CB, Kappetein AP, Mack MJ, et al. Dabigatran versus warfarin in patients with mechanical heart valves. N Engl J Med. 2013 Sep 26;369(13):1206–14. </w:t>
      </w:r>
    </w:p>
    <w:p w14:paraId="6647663D" w14:textId="77777777" w:rsidR="00F478FF" w:rsidRPr="00DE6F90" w:rsidRDefault="00F478FF" w:rsidP="00F478FF">
      <w:pPr>
        <w:widowControl w:val="0"/>
        <w:autoSpaceDE w:val="0"/>
        <w:autoSpaceDN w:val="0"/>
        <w:adjustRightInd w:val="0"/>
        <w:ind w:left="640" w:hanging="640"/>
        <w:jc w:val="both"/>
        <w:rPr>
          <w:rFonts w:cs="Times New Roman"/>
          <w:noProof/>
          <w:szCs w:val="24"/>
        </w:rPr>
      </w:pPr>
      <w:r w:rsidRPr="00DE6F90">
        <w:rPr>
          <w:rFonts w:cs="Times New Roman"/>
          <w:noProof/>
          <w:szCs w:val="24"/>
        </w:rPr>
        <w:t xml:space="preserve">5. </w:t>
      </w:r>
      <w:r w:rsidRPr="00DE6F90">
        <w:rPr>
          <w:rFonts w:cs="Times New Roman"/>
          <w:noProof/>
          <w:szCs w:val="24"/>
        </w:rPr>
        <w:tab/>
        <w:t xml:space="preserve">Breithardt G, Baumgartner H, Berkowitz SD, Hellkamp AS, Piccini JP, Stevens SR, et al. Clinical characteristics and outcomes with rivaroxaban vs. warfarin in patients with non-valvular atrial fibrillation but underlying native mitral and aortic valve disease participating in the ROCKET AF trial. Eur Heart J. 2014 Dec 14;35(47):3377–85. </w:t>
      </w:r>
    </w:p>
    <w:p w14:paraId="5C2A2D1E" w14:textId="77777777" w:rsidR="00F478FF" w:rsidRPr="00F478FF" w:rsidRDefault="00F478FF" w:rsidP="00F478FF">
      <w:pPr>
        <w:widowControl w:val="0"/>
        <w:autoSpaceDE w:val="0"/>
        <w:autoSpaceDN w:val="0"/>
        <w:adjustRightInd w:val="0"/>
        <w:ind w:left="640" w:hanging="640"/>
        <w:jc w:val="both"/>
        <w:rPr>
          <w:rFonts w:cs="Times New Roman"/>
          <w:noProof/>
          <w:szCs w:val="24"/>
          <w:lang w:val="pt-BR"/>
        </w:rPr>
      </w:pPr>
      <w:r w:rsidRPr="00DE6F90">
        <w:rPr>
          <w:rFonts w:cs="Times New Roman"/>
          <w:noProof/>
          <w:szCs w:val="24"/>
        </w:rPr>
        <w:lastRenderedPageBreak/>
        <w:t xml:space="preserve">6. </w:t>
      </w:r>
      <w:r w:rsidRPr="00DE6F90">
        <w:rPr>
          <w:rFonts w:cs="Times New Roman"/>
          <w:noProof/>
          <w:szCs w:val="24"/>
        </w:rPr>
        <w:tab/>
        <w:t xml:space="preserve">Avezum A, Lopes RD, Schulte PJ, Lanas F, Gersh BJ, Hanna M, et al. Apixaban Compared with Warfarin in Patients With Atrial Fibrillation and Valvular Heart Disease: Findings From the ARISTOTLE Trial. </w:t>
      </w:r>
      <w:r w:rsidRPr="00F478FF">
        <w:rPr>
          <w:rFonts w:cs="Times New Roman"/>
          <w:noProof/>
          <w:szCs w:val="24"/>
          <w:lang w:val="pt-BR"/>
        </w:rPr>
        <w:t xml:space="preserve">Circulation. 2015; </w:t>
      </w:r>
    </w:p>
    <w:p w14:paraId="5911B482" w14:textId="77777777" w:rsidR="00F478FF" w:rsidRPr="00DE6F90" w:rsidRDefault="00F478FF" w:rsidP="00F478FF">
      <w:pPr>
        <w:widowControl w:val="0"/>
        <w:autoSpaceDE w:val="0"/>
        <w:autoSpaceDN w:val="0"/>
        <w:adjustRightInd w:val="0"/>
        <w:ind w:left="640" w:hanging="640"/>
        <w:jc w:val="both"/>
        <w:rPr>
          <w:rFonts w:cs="Times New Roman"/>
          <w:noProof/>
          <w:szCs w:val="24"/>
        </w:rPr>
      </w:pPr>
      <w:r w:rsidRPr="00F478FF">
        <w:rPr>
          <w:rFonts w:cs="Times New Roman"/>
          <w:noProof/>
          <w:szCs w:val="24"/>
          <w:lang w:val="pt-BR"/>
        </w:rPr>
        <w:t xml:space="preserve">7. </w:t>
      </w:r>
      <w:r w:rsidRPr="00F478FF">
        <w:rPr>
          <w:rFonts w:cs="Times New Roman"/>
          <w:noProof/>
          <w:szCs w:val="24"/>
          <w:lang w:val="pt-BR"/>
        </w:rPr>
        <w:tab/>
        <w:t xml:space="preserve">Rodrigues Durães A, Pollianna de Souza Roriz B, Bianca de Almeida Nunes B, Pinho Albuquerque F, Fábio Vieira de Bulhões B, Andre Mauricio de Souza Fernandes B, et al. </w:t>
      </w:r>
      <w:r w:rsidRPr="00DE6F90">
        <w:rPr>
          <w:rFonts w:cs="Times New Roman"/>
          <w:noProof/>
          <w:szCs w:val="24"/>
        </w:rPr>
        <w:t xml:space="preserve">Dabigatran Versus Warfarin After Bioprosthesis Valve Replacement for the Management of Atrial Fibrillation Postoperatively: DAWA Pilot Study. Drugs R D. 2016;16. </w:t>
      </w:r>
    </w:p>
    <w:p w14:paraId="1746CC8D" w14:textId="77777777" w:rsidR="00F478FF" w:rsidRPr="00DE6F90" w:rsidRDefault="00F478FF" w:rsidP="00F478FF">
      <w:pPr>
        <w:widowControl w:val="0"/>
        <w:autoSpaceDE w:val="0"/>
        <w:autoSpaceDN w:val="0"/>
        <w:adjustRightInd w:val="0"/>
        <w:ind w:left="640" w:hanging="640"/>
        <w:jc w:val="both"/>
        <w:rPr>
          <w:rFonts w:cs="Times New Roman"/>
          <w:noProof/>
          <w:szCs w:val="24"/>
        </w:rPr>
      </w:pPr>
      <w:r w:rsidRPr="00DE6F90">
        <w:rPr>
          <w:rFonts w:cs="Times New Roman"/>
          <w:noProof/>
          <w:szCs w:val="24"/>
        </w:rPr>
        <w:t xml:space="preserve">8. </w:t>
      </w:r>
      <w:r w:rsidRPr="00DE6F90">
        <w:rPr>
          <w:rFonts w:cs="Times New Roman"/>
          <w:noProof/>
          <w:szCs w:val="24"/>
        </w:rPr>
        <w:tab/>
        <w:t xml:space="preserve">Ezekowitz MD, Nagarakanti R, Noack H, Brueckmann M, Litherland C, Jacobs M, et al. Comparison of Dabigatran and Warfarin in Patients With Atrial Fibrillation and Valvular Heart DiseaseClinical Perspective. Circulation. 2016 Aug 23;134(8):589–98. </w:t>
      </w:r>
    </w:p>
    <w:p w14:paraId="1221F13A" w14:textId="77777777" w:rsidR="00F478FF" w:rsidRPr="00DE6F90" w:rsidRDefault="00F478FF" w:rsidP="00F478FF">
      <w:pPr>
        <w:widowControl w:val="0"/>
        <w:autoSpaceDE w:val="0"/>
        <w:autoSpaceDN w:val="0"/>
        <w:adjustRightInd w:val="0"/>
        <w:ind w:left="640" w:hanging="640"/>
        <w:jc w:val="both"/>
        <w:rPr>
          <w:rFonts w:cs="Times New Roman"/>
          <w:noProof/>
        </w:rPr>
      </w:pPr>
      <w:r w:rsidRPr="00DE6F90">
        <w:rPr>
          <w:rFonts w:cs="Times New Roman"/>
          <w:noProof/>
          <w:szCs w:val="24"/>
        </w:rPr>
        <w:t xml:space="preserve">9. </w:t>
      </w:r>
      <w:r w:rsidRPr="00DE6F90">
        <w:rPr>
          <w:rFonts w:cs="Times New Roman"/>
          <w:noProof/>
          <w:szCs w:val="24"/>
        </w:rPr>
        <w:tab/>
        <w:t xml:space="preserve">De Caterina R, Renda G, Carnicelli AP, Nordio F, Trevisan M, Mercuri MF, et al. Valvular Heart Disease Patients on Edoxaban or Warfarin in the ENGAGE AF-TIMI 48 Trial. J Am Coll Cardiol. 2017 Mar 21;69(11):1372–82. </w:t>
      </w:r>
    </w:p>
    <w:p w14:paraId="3B2FF3CB" w14:textId="77777777" w:rsidR="00F478FF" w:rsidRPr="00264E4F" w:rsidRDefault="00F478FF" w:rsidP="00F478FF">
      <w:pPr>
        <w:ind w:left="-850" w:right="-964"/>
        <w:jc w:val="both"/>
        <w:rPr>
          <w:rFonts w:cs="Times New Roman"/>
          <w:sz w:val="20"/>
          <w:szCs w:val="20"/>
        </w:rPr>
      </w:pPr>
      <w:r w:rsidRPr="00356380">
        <w:rPr>
          <w:rFonts w:cs="Times New Roman"/>
          <w:szCs w:val="24"/>
        </w:rPr>
        <w:fldChar w:fldCharType="end"/>
      </w:r>
    </w:p>
    <w:p w14:paraId="39A895A7" w14:textId="77777777" w:rsidR="00F478FF" w:rsidRPr="00F30E1F" w:rsidRDefault="00F478FF" w:rsidP="00F478FF">
      <w:pPr>
        <w:jc w:val="both"/>
      </w:pPr>
    </w:p>
    <w:p w14:paraId="1381F885" w14:textId="77777777" w:rsidR="00F478FF" w:rsidRPr="00264E4F" w:rsidRDefault="00F478FF" w:rsidP="00F478FF">
      <w:pPr>
        <w:spacing w:line="480" w:lineRule="auto"/>
        <w:ind w:left="-567" w:right="-567"/>
        <w:jc w:val="both"/>
        <w:rPr>
          <w:rFonts w:cs="Times New Roman"/>
          <w:b/>
          <w:sz w:val="20"/>
          <w:szCs w:val="20"/>
        </w:rPr>
      </w:pPr>
    </w:p>
    <w:p w14:paraId="7B65BC41" w14:textId="77777777" w:rsidR="00DE23E8" w:rsidRPr="00F478FF" w:rsidRDefault="00DE23E8" w:rsidP="00F478FF"/>
    <w:sectPr w:rsidR="00DE23E8" w:rsidRPr="00F478FF"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AB780" w14:textId="77777777" w:rsidR="00111EDE" w:rsidRDefault="00111EDE" w:rsidP="00117666">
      <w:pPr>
        <w:spacing w:after="0"/>
      </w:pPr>
      <w:r>
        <w:separator/>
      </w:r>
    </w:p>
  </w:endnote>
  <w:endnote w:type="continuationSeparator" w:id="0">
    <w:p w14:paraId="41E99BA9" w14:textId="77777777" w:rsidR="00111EDE" w:rsidRDefault="00111ED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995F6A" w:rsidRPr="00577C4C" w:rsidRDefault="00C52A7B">
    <w:pPr>
      <w:rPr>
        <w:color w:val="C00000"/>
        <w:szCs w:val="24"/>
      </w:rPr>
    </w:pPr>
    <w:r>
      <w:rPr>
        <w:noProof/>
        <w:lang w:val="pt-BR" w:eastAsia="pt-BR"/>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478FF">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478FF">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995F6A" w:rsidRPr="00577C4C" w:rsidRDefault="00C52A7B">
    <w:pPr>
      <w:rPr>
        <w:b/>
        <w:sz w:val="20"/>
        <w:szCs w:val="24"/>
      </w:rPr>
    </w:pPr>
    <w:r>
      <w:rPr>
        <w:noProof/>
        <w:lang w:val="pt-BR" w:eastAsia="pt-BR"/>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478FF">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478FF">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58C54" w14:textId="77777777" w:rsidR="00111EDE" w:rsidRDefault="00111EDE" w:rsidP="00117666">
      <w:pPr>
        <w:spacing w:after="0"/>
      </w:pPr>
      <w:r>
        <w:separator/>
      </w:r>
    </w:p>
  </w:footnote>
  <w:footnote w:type="continuationSeparator" w:id="0">
    <w:p w14:paraId="460B786B" w14:textId="77777777" w:rsidR="00111EDE" w:rsidRDefault="00111EDE"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77777777" w:rsidR="00995F6A" w:rsidRDefault="0093429D" w:rsidP="0093429D">
    <w:r w:rsidRPr="005A1D84">
      <w:rPr>
        <w:b/>
        <w:noProof/>
        <w:color w:val="A6A6A6" w:themeColor="background1" w:themeShade="A6"/>
        <w:lang w:val="pt-BR" w:eastAsia="pt-BR"/>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567"/>
        </w:tabs>
        <w:ind w:left="567" w:hanging="567"/>
      </w:pPr>
      <w:rPr>
        <w:rFonts w:hint="default"/>
      </w:rPr>
    </w:lvl>
    <w:lvl w:ilvl="3">
      <w:start w:val="1"/>
      <w:numFmt w:val="decimal"/>
      <w:pStyle w:val="Ttulo4"/>
      <w:lvlText w:val="%1.%2.%3.%4"/>
      <w:lvlJc w:val="left"/>
      <w:pPr>
        <w:tabs>
          <w:tab w:val="num" w:pos="567"/>
        </w:tabs>
        <w:ind w:left="567" w:hanging="567"/>
      </w:pPr>
      <w:rPr>
        <w:rFonts w:hint="default"/>
      </w:rPr>
    </w:lvl>
    <w:lvl w:ilvl="4">
      <w:start w:val="1"/>
      <w:numFmt w:val="decimal"/>
      <w:pStyle w:val="Ttu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grafodaList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1EDE"/>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478FF"/>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tulo1">
    <w:name w:val="heading 1"/>
    <w:basedOn w:val="PargrafodaLista"/>
    <w:next w:val="Normal"/>
    <w:link w:val="Ttulo1Char"/>
    <w:uiPriority w:val="2"/>
    <w:qFormat/>
    <w:rsid w:val="00AB6715"/>
    <w:pPr>
      <w:numPr>
        <w:numId w:val="19"/>
      </w:numPr>
      <w:spacing w:before="240"/>
      <w:contextualSpacing w:val="0"/>
      <w:outlineLvl w:val="0"/>
    </w:pPr>
    <w:rPr>
      <w:b/>
    </w:rPr>
  </w:style>
  <w:style w:type="paragraph" w:styleId="Ttulo2">
    <w:name w:val="heading 2"/>
    <w:basedOn w:val="Ttulo1"/>
    <w:next w:val="Normal"/>
    <w:link w:val="Ttulo2Char"/>
    <w:uiPriority w:val="2"/>
    <w:qFormat/>
    <w:rsid w:val="00AB6715"/>
    <w:pPr>
      <w:numPr>
        <w:ilvl w:val="1"/>
      </w:numPr>
      <w:spacing w:after="200"/>
      <w:outlineLvl w:val="1"/>
    </w:pPr>
  </w:style>
  <w:style w:type="paragraph" w:styleId="Ttulo3">
    <w:name w:val="heading 3"/>
    <w:basedOn w:val="Normal"/>
    <w:next w:val="Normal"/>
    <w:link w:val="Ttulo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tulo4">
    <w:name w:val="heading 4"/>
    <w:basedOn w:val="Ttulo3"/>
    <w:next w:val="Normal"/>
    <w:link w:val="Ttulo4Char"/>
    <w:uiPriority w:val="9"/>
    <w:qFormat/>
    <w:rsid w:val="00AB6715"/>
    <w:pPr>
      <w:numPr>
        <w:ilvl w:val="3"/>
      </w:numPr>
      <w:outlineLvl w:val="3"/>
    </w:pPr>
    <w:rPr>
      <w:iCs/>
    </w:rPr>
  </w:style>
  <w:style w:type="paragraph" w:styleId="Ttulo5">
    <w:name w:val="heading 5"/>
    <w:basedOn w:val="Ttulo4"/>
    <w:next w:val="Normal"/>
    <w:link w:val="Ttulo5Char"/>
    <w:uiPriority w:val="2"/>
    <w:qFormat/>
    <w:rsid w:val="00AB6715"/>
    <w:pPr>
      <w:numPr>
        <w:ilvl w:val="4"/>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2"/>
    <w:rsid w:val="00AB6715"/>
    <w:rPr>
      <w:rFonts w:ascii="Times New Roman" w:eastAsia="Cambria" w:hAnsi="Times New Roman" w:cs="Times New Roman"/>
      <w:b/>
      <w:sz w:val="24"/>
      <w:szCs w:val="24"/>
    </w:rPr>
  </w:style>
  <w:style w:type="character" w:customStyle="1" w:styleId="Ttulo2Char">
    <w:name w:val="Título 2 Char"/>
    <w:basedOn w:val="Fontepargpadro"/>
    <w:link w:val="Ttulo2"/>
    <w:uiPriority w:val="2"/>
    <w:rsid w:val="00AB6715"/>
    <w:rPr>
      <w:rFonts w:ascii="Times New Roman" w:eastAsia="Cambria" w:hAnsi="Times New Roman" w:cs="Times New Roman"/>
      <w:b/>
      <w:sz w:val="24"/>
      <w:szCs w:val="24"/>
    </w:rPr>
  </w:style>
  <w:style w:type="paragraph" w:styleId="Subttulo">
    <w:name w:val="Subtitle"/>
    <w:basedOn w:val="Normal"/>
    <w:next w:val="Normal"/>
    <w:link w:val="SubttuloChar"/>
    <w:uiPriority w:val="99"/>
    <w:unhideWhenUsed/>
    <w:qFormat/>
    <w:rsid w:val="00AB6715"/>
    <w:pPr>
      <w:spacing w:before="240"/>
    </w:pPr>
    <w:rPr>
      <w:rFonts w:cs="Times New Roman"/>
      <w:b/>
      <w:szCs w:val="24"/>
    </w:rPr>
  </w:style>
  <w:style w:type="character" w:customStyle="1" w:styleId="SubttuloChar">
    <w:name w:val="Subtítulo Char"/>
    <w:basedOn w:val="Fontepargpadro"/>
    <w:link w:val="Subttulo"/>
    <w:uiPriority w:val="99"/>
    <w:rsid w:val="00AB6715"/>
    <w:rPr>
      <w:rFonts w:ascii="Times New Roman" w:hAnsi="Times New Roman" w:cs="Times New Roman"/>
      <w:b/>
      <w:sz w:val="24"/>
      <w:szCs w:val="24"/>
    </w:rPr>
  </w:style>
  <w:style w:type="paragraph" w:customStyle="1" w:styleId="AuthorList">
    <w:name w:val="Author List"/>
    <w:aliases w:val="Keywords,Abstract"/>
    <w:basedOn w:val="Subttulo"/>
    <w:next w:val="Normal"/>
    <w:uiPriority w:val="1"/>
    <w:qFormat/>
    <w:rsid w:val="00AB6715"/>
  </w:style>
  <w:style w:type="paragraph" w:styleId="Textodebalo">
    <w:name w:val="Balloon Text"/>
    <w:basedOn w:val="Normal"/>
    <w:link w:val="TextodebaloChar"/>
    <w:uiPriority w:val="99"/>
    <w:semiHidden/>
    <w:unhideWhenUsed/>
    <w:rsid w:val="00AB671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AB6715"/>
    <w:rPr>
      <w:rFonts w:ascii="Tahoma" w:hAnsi="Tahoma" w:cs="Tahoma"/>
      <w:sz w:val="16"/>
      <w:szCs w:val="16"/>
    </w:rPr>
  </w:style>
  <w:style w:type="character" w:styleId="TtulodoLivro">
    <w:name w:val="Book Title"/>
    <w:basedOn w:val="Fontepargpadro"/>
    <w:uiPriority w:val="33"/>
    <w:qFormat/>
    <w:rsid w:val="00AB6715"/>
    <w:rPr>
      <w:rFonts w:ascii="Times New Roman" w:hAnsi="Times New Roman"/>
      <w:b/>
      <w:bCs/>
      <w:i/>
      <w:iCs/>
      <w:spacing w:val="5"/>
    </w:rPr>
  </w:style>
  <w:style w:type="paragraph" w:styleId="Legenda">
    <w:name w:val="caption"/>
    <w:basedOn w:val="Normal"/>
    <w:next w:val="SemEspaamento"/>
    <w:uiPriority w:val="35"/>
    <w:unhideWhenUsed/>
    <w:qFormat/>
    <w:rsid w:val="00AB6715"/>
    <w:pPr>
      <w:keepNext/>
    </w:pPr>
    <w:rPr>
      <w:rFonts w:cs="Times New Roman"/>
      <w:b/>
      <w:bCs/>
      <w:szCs w:val="24"/>
    </w:rPr>
  </w:style>
  <w:style w:type="paragraph" w:styleId="SemEspaamento">
    <w:name w:val="No Spacing"/>
    <w:uiPriority w:val="99"/>
    <w:unhideWhenUsed/>
    <w:qFormat/>
    <w:rsid w:val="00AB6715"/>
    <w:pPr>
      <w:spacing w:after="0" w:line="240" w:lineRule="auto"/>
    </w:pPr>
    <w:rPr>
      <w:rFonts w:ascii="Times New Roman" w:hAnsi="Times New Roman"/>
      <w:sz w:val="24"/>
    </w:rPr>
  </w:style>
  <w:style w:type="character" w:styleId="Refdecomentrio">
    <w:name w:val="annotation reference"/>
    <w:basedOn w:val="Fontepargpadro"/>
    <w:uiPriority w:val="99"/>
    <w:semiHidden/>
    <w:unhideWhenUsed/>
    <w:rsid w:val="00AB6715"/>
    <w:rPr>
      <w:sz w:val="16"/>
      <w:szCs w:val="16"/>
    </w:rPr>
  </w:style>
  <w:style w:type="paragraph" w:styleId="Textodecomentrio">
    <w:name w:val="annotation text"/>
    <w:basedOn w:val="Normal"/>
    <w:link w:val="TextodecomentrioChar"/>
    <w:uiPriority w:val="99"/>
    <w:semiHidden/>
    <w:unhideWhenUsed/>
    <w:rsid w:val="00AB6715"/>
    <w:rPr>
      <w:sz w:val="20"/>
      <w:szCs w:val="20"/>
    </w:rPr>
  </w:style>
  <w:style w:type="character" w:customStyle="1" w:styleId="TextodecomentrioChar">
    <w:name w:val="Texto de comentário Char"/>
    <w:basedOn w:val="Fontepargpadro"/>
    <w:link w:val="Textodecomentrio"/>
    <w:uiPriority w:val="99"/>
    <w:semiHidden/>
    <w:rsid w:val="00AB6715"/>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B6715"/>
    <w:rPr>
      <w:b/>
      <w:bCs/>
    </w:rPr>
  </w:style>
  <w:style w:type="character" w:customStyle="1" w:styleId="AssuntodocomentrioChar">
    <w:name w:val="Assunto do comentário Char"/>
    <w:basedOn w:val="TextodecomentrioChar"/>
    <w:link w:val="Assuntodocomentrio"/>
    <w:uiPriority w:val="99"/>
    <w:semiHidden/>
    <w:rsid w:val="00AB6715"/>
    <w:rPr>
      <w:rFonts w:ascii="Times New Roman" w:hAnsi="Times New Roman"/>
      <w:b/>
      <w:bCs/>
      <w:sz w:val="20"/>
      <w:szCs w:val="20"/>
    </w:rPr>
  </w:style>
  <w:style w:type="character" w:styleId="nfase">
    <w:name w:val="Emphasis"/>
    <w:basedOn w:val="Fontepargpadro"/>
    <w:uiPriority w:val="20"/>
    <w:qFormat/>
    <w:rsid w:val="00AB6715"/>
    <w:rPr>
      <w:rFonts w:ascii="Times New Roman" w:hAnsi="Times New Roman"/>
      <w:i/>
      <w:iCs/>
    </w:rPr>
  </w:style>
  <w:style w:type="character" w:styleId="Refdenotadefim">
    <w:name w:val="endnote reference"/>
    <w:basedOn w:val="Fontepargpadro"/>
    <w:uiPriority w:val="99"/>
    <w:semiHidden/>
    <w:unhideWhenUsed/>
    <w:rsid w:val="00AB6715"/>
    <w:rPr>
      <w:vertAlign w:val="superscript"/>
    </w:rPr>
  </w:style>
  <w:style w:type="paragraph" w:styleId="Textodenotadefim">
    <w:name w:val="endnote text"/>
    <w:basedOn w:val="Normal"/>
    <w:link w:val="TextodenotadefimChar"/>
    <w:uiPriority w:val="99"/>
    <w:semiHidden/>
    <w:unhideWhenUsed/>
    <w:rsid w:val="00AB6715"/>
    <w:pPr>
      <w:spacing w:after="0"/>
    </w:pPr>
    <w:rPr>
      <w:sz w:val="20"/>
      <w:szCs w:val="20"/>
    </w:rPr>
  </w:style>
  <w:style w:type="character" w:customStyle="1" w:styleId="TextodenotadefimChar">
    <w:name w:val="Texto de nota de fim Char"/>
    <w:basedOn w:val="Fontepargpadro"/>
    <w:link w:val="Textodenotadefim"/>
    <w:uiPriority w:val="99"/>
    <w:semiHidden/>
    <w:rsid w:val="00AB6715"/>
    <w:rPr>
      <w:rFonts w:ascii="Times New Roman" w:hAnsi="Times New Roman"/>
      <w:sz w:val="20"/>
      <w:szCs w:val="20"/>
    </w:rPr>
  </w:style>
  <w:style w:type="character" w:styleId="HiperlinkVisitado">
    <w:name w:val="FollowedHyperlink"/>
    <w:basedOn w:val="Fontepargpadro"/>
    <w:uiPriority w:val="99"/>
    <w:semiHidden/>
    <w:unhideWhenUsed/>
    <w:rsid w:val="00AB6715"/>
    <w:rPr>
      <w:color w:val="800080" w:themeColor="followedHyperlink"/>
      <w:u w:val="single"/>
    </w:rPr>
  </w:style>
  <w:style w:type="paragraph" w:styleId="Rodap">
    <w:name w:val="footer"/>
    <w:basedOn w:val="Normal"/>
    <w:link w:val="RodapChar"/>
    <w:uiPriority w:val="99"/>
    <w:unhideWhenUsed/>
    <w:rsid w:val="00AB6715"/>
    <w:pPr>
      <w:tabs>
        <w:tab w:val="center" w:pos="4844"/>
        <w:tab w:val="right" w:pos="9689"/>
      </w:tabs>
      <w:spacing w:after="0"/>
    </w:pPr>
  </w:style>
  <w:style w:type="character" w:customStyle="1" w:styleId="RodapChar">
    <w:name w:val="Rodapé Char"/>
    <w:basedOn w:val="Fontepargpadro"/>
    <w:link w:val="Rodap"/>
    <w:uiPriority w:val="99"/>
    <w:rsid w:val="00AB6715"/>
    <w:rPr>
      <w:rFonts w:ascii="Times New Roman" w:hAnsi="Times New Roman"/>
      <w:sz w:val="24"/>
    </w:rPr>
  </w:style>
  <w:style w:type="character" w:styleId="Refdenotaderodap">
    <w:name w:val="footnote reference"/>
    <w:basedOn w:val="Fontepargpadro"/>
    <w:uiPriority w:val="99"/>
    <w:semiHidden/>
    <w:unhideWhenUsed/>
    <w:rsid w:val="00AB6715"/>
    <w:rPr>
      <w:vertAlign w:val="superscript"/>
    </w:rPr>
  </w:style>
  <w:style w:type="paragraph" w:styleId="Textodenotaderodap">
    <w:name w:val="footnote text"/>
    <w:basedOn w:val="Normal"/>
    <w:link w:val="TextodenotaderodapChar"/>
    <w:uiPriority w:val="99"/>
    <w:unhideWhenUsed/>
    <w:rsid w:val="00AB6715"/>
    <w:pPr>
      <w:spacing w:after="0"/>
    </w:pPr>
    <w:rPr>
      <w:sz w:val="20"/>
      <w:szCs w:val="20"/>
    </w:rPr>
  </w:style>
  <w:style w:type="character" w:customStyle="1" w:styleId="TextodenotaderodapChar">
    <w:name w:val="Texto de nota de rodapé Char"/>
    <w:basedOn w:val="Fontepargpadro"/>
    <w:link w:val="Textodenotaderodap"/>
    <w:uiPriority w:val="99"/>
    <w:rsid w:val="00AB6715"/>
    <w:rPr>
      <w:rFonts w:ascii="Times New Roman" w:hAnsi="Times New Roman"/>
      <w:sz w:val="20"/>
      <w:szCs w:val="20"/>
    </w:rPr>
  </w:style>
  <w:style w:type="paragraph" w:styleId="Cabealho">
    <w:name w:val="header"/>
    <w:basedOn w:val="Normal"/>
    <w:link w:val="CabealhoChar"/>
    <w:uiPriority w:val="99"/>
    <w:unhideWhenUsed/>
    <w:rsid w:val="00AB6715"/>
    <w:pPr>
      <w:tabs>
        <w:tab w:val="center" w:pos="4844"/>
        <w:tab w:val="right" w:pos="9689"/>
      </w:tabs>
    </w:pPr>
    <w:rPr>
      <w:b/>
    </w:rPr>
  </w:style>
  <w:style w:type="character" w:customStyle="1" w:styleId="CabealhoChar">
    <w:name w:val="Cabeçalho Char"/>
    <w:basedOn w:val="Fontepargpadro"/>
    <w:link w:val="Cabealho"/>
    <w:uiPriority w:val="99"/>
    <w:rsid w:val="00AB6715"/>
    <w:rPr>
      <w:rFonts w:ascii="Times New Roman" w:hAnsi="Times New Roman"/>
      <w:b/>
      <w:sz w:val="24"/>
    </w:rPr>
  </w:style>
  <w:style w:type="paragraph" w:styleId="PargrafodaLista">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Fontepargpadro"/>
    <w:uiPriority w:val="99"/>
    <w:unhideWhenUsed/>
    <w:rsid w:val="00AB6715"/>
    <w:rPr>
      <w:color w:val="0000FF"/>
      <w:u w:val="single"/>
    </w:rPr>
  </w:style>
  <w:style w:type="character" w:styleId="nfaseIntensa">
    <w:name w:val="Intense Emphasis"/>
    <w:basedOn w:val="Fontepargpadro"/>
    <w:uiPriority w:val="21"/>
    <w:unhideWhenUsed/>
    <w:rsid w:val="00AB6715"/>
    <w:rPr>
      <w:rFonts w:ascii="Times New Roman" w:hAnsi="Times New Roman"/>
      <w:i/>
      <w:iCs/>
      <w:color w:val="auto"/>
    </w:rPr>
  </w:style>
  <w:style w:type="character" w:styleId="RefernciaIntensa">
    <w:name w:val="Intense Reference"/>
    <w:basedOn w:val="Fontepargpadro"/>
    <w:uiPriority w:val="32"/>
    <w:qFormat/>
    <w:rsid w:val="00AB6715"/>
    <w:rPr>
      <w:b/>
      <w:bCs/>
      <w:smallCaps/>
      <w:color w:val="auto"/>
      <w:spacing w:val="5"/>
    </w:rPr>
  </w:style>
  <w:style w:type="character" w:styleId="Nmerodelinha">
    <w:name w:val="line number"/>
    <w:basedOn w:val="Fontepargpadro"/>
    <w:uiPriority w:val="99"/>
    <w:semiHidden/>
    <w:unhideWhenUsed/>
    <w:rsid w:val="00AB6715"/>
  </w:style>
  <w:style w:type="character" w:customStyle="1" w:styleId="Ttulo3Char">
    <w:name w:val="Título 3 Char"/>
    <w:basedOn w:val="Fontepargpadro"/>
    <w:link w:val="Ttulo3"/>
    <w:uiPriority w:val="2"/>
    <w:rsid w:val="00AB6715"/>
    <w:rPr>
      <w:rFonts w:ascii="Times New Roman" w:eastAsiaTheme="majorEastAsia" w:hAnsi="Times New Roman" w:cstheme="majorBidi"/>
      <w:b/>
      <w:sz w:val="24"/>
      <w:szCs w:val="24"/>
    </w:rPr>
  </w:style>
  <w:style w:type="character" w:customStyle="1" w:styleId="Ttulo4Char">
    <w:name w:val="Título 4 Char"/>
    <w:basedOn w:val="Fontepargpadro"/>
    <w:link w:val="Ttulo4"/>
    <w:uiPriority w:val="9"/>
    <w:rsid w:val="00AB6715"/>
    <w:rPr>
      <w:rFonts w:ascii="Times New Roman" w:eastAsiaTheme="majorEastAsia" w:hAnsi="Times New Roman" w:cstheme="majorBidi"/>
      <w:b/>
      <w:iCs/>
      <w:sz w:val="24"/>
      <w:szCs w:val="24"/>
    </w:rPr>
  </w:style>
  <w:style w:type="character" w:customStyle="1" w:styleId="Ttulo5Char">
    <w:name w:val="Título 5 Char"/>
    <w:basedOn w:val="Fontepargpadro"/>
    <w:link w:val="Ttulo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o">
    <w:name w:val="Quote"/>
    <w:basedOn w:val="Normal"/>
    <w:next w:val="Normal"/>
    <w:link w:val="CitaoChar"/>
    <w:uiPriority w:val="29"/>
    <w:qFormat/>
    <w:rsid w:val="00AB6715"/>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AB6715"/>
    <w:rPr>
      <w:rFonts w:ascii="Times New Roman" w:hAnsi="Times New Roman"/>
      <w:i/>
      <w:iCs/>
      <w:color w:val="404040" w:themeColor="text1" w:themeTint="BF"/>
      <w:sz w:val="24"/>
    </w:rPr>
  </w:style>
  <w:style w:type="character" w:styleId="Forte">
    <w:name w:val="Strong"/>
    <w:basedOn w:val="Fontepargpadro"/>
    <w:uiPriority w:val="22"/>
    <w:qFormat/>
    <w:rsid w:val="00AB6715"/>
    <w:rPr>
      <w:rFonts w:ascii="Times New Roman" w:hAnsi="Times New Roman"/>
      <w:b/>
      <w:bCs/>
    </w:rPr>
  </w:style>
  <w:style w:type="character" w:styleId="nfaseSutil">
    <w:name w:val="Subtle Emphasis"/>
    <w:basedOn w:val="Fontepargpadro"/>
    <w:uiPriority w:val="19"/>
    <w:qFormat/>
    <w:rsid w:val="00AB6715"/>
    <w:rPr>
      <w:rFonts w:ascii="Times New Roman" w:hAnsi="Times New Roman"/>
      <w:i/>
      <w:iCs/>
      <w:color w:val="404040" w:themeColor="text1" w:themeTint="BF"/>
    </w:rPr>
  </w:style>
  <w:style w:type="table" w:styleId="Tabelacomgrade">
    <w:name w:val="Table Grid"/>
    <w:basedOn w:val="Tabela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AB6715"/>
    <w:pPr>
      <w:suppressLineNumbers/>
      <w:spacing w:before="240" w:after="360"/>
      <w:jc w:val="center"/>
    </w:pPr>
    <w:rPr>
      <w:rFonts w:cs="Times New Roman"/>
      <w:b/>
      <w:sz w:val="32"/>
      <w:szCs w:val="32"/>
    </w:rPr>
  </w:style>
  <w:style w:type="character" w:customStyle="1" w:styleId="TtuloChar">
    <w:name w:val="Título Char"/>
    <w:basedOn w:val="Fontepargpadro"/>
    <w:link w:val="Ttulo"/>
    <w:rsid w:val="00AB6715"/>
    <w:rPr>
      <w:rFonts w:ascii="Times New Roman" w:hAnsi="Times New Roman" w:cs="Times New Roman"/>
      <w:b/>
      <w:sz w:val="32"/>
      <w:szCs w:val="32"/>
    </w:rPr>
  </w:style>
  <w:style w:type="paragraph" w:customStyle="1" w:styleId="SupplementaryMaterial">
    <w:name w:val="Supplementary Material"/>
    <w:basedOn w:val="Ttulo"/>
    <w:next w:val="Ttulo"/>
    <w:qFormat/>
    <w:rsid w:val="0001436A"/>
    <w:pPr>
      <w:spacing w:after="120"/>
    </w:pPr>
    <w:rPr>
      <w:i/>
    </w:rPr>
  </w:style>
  <w:style w:type="paragraph" w:customStyle="1" w:styleId="DecimalAligned">
    <w:name w:val="Decimal Aligned"/>
    <w:basedOn w:val="Normal"/>
    <w:uiPriority w:val="40"/>
    <w:qFormat/>
    <w:rsid w:val="00F478FF"/>
    <w:pPr>
      <w:tabs>
        <w:tab w:val="decimal" w:pos="360"/>
      </w:tabs>
      <w:spacing w:before="0" w:after="200" w:line="276" w:lineRule="auto"/>
    </w:pPr>
    <w:rPr>
      <w:rFonts w:asciiTheme="minorHAnsi" w:eastAsiaTheme="minorEastAsia" w:hAnsiTheme="minorHAnsi"/>
      <w:sz w:val="22"/>
      <w:lang w:val="pt-BR"/>
    </w:rPr>
  </w:style>
  <w:style w:type="table" w:customStyle="1" w:styleId="SombreamentoClaro1">
    <w:name w:val="Sombreamento Claro1"/>
    <w:basedOn w:val="Tabelanormal"/>
    <w:uiPriority w:val="60"/>
    <w:rsid w:val="00F478FF"/>
    <w:pPr>
      <w:spacing w:after="0" w:line="240" w:lineRule="auto"/>
    </w:pPr>
    <w:rPr>
      <w:color w:val="000000" w:themeColor="text1" w:themeShade="BF"/>
      <w:lang w:val="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odapChar1">
    <w:name w:val="Rodapé Char1"/>
    <w:basedOn w:val="Fontepargpadro"/>
    <w:uiPriority w:val="99"/>
    <w:rsid w:val="00F478FF"/>
  </w:style>
  <w:style w:type="paragraph" w:customStyle="1" w:styleId="sof-title">
    <w:name w:val="sof-title"/>
    <w:basedOn w:val="Normal"/>
    <w:rsid w:val="00F478FF"/>
    <w:pPr>
      <w:spacing w:before="100" w:beforeAutospacing="1" w:after="100" w:afterAutospacing="1"/>
    </w:pPr>
    <w:rPr>
      <w:rFonts w:eastAsiaTheme="minorEastAsia" w:cs="Times New Roman"/>
      <w:szCs w:val="24"/>
      <w:lang w:val="pt-BR" w:eastAsia="pt-BR"/>
    </w:rPr>
  </w:style>
  <w:style w:type="paragraph" w:customStyle="1" w:styleId="first-letter">
    <w:name w:val="first-letter"/>
    <w:basedOn w:val="Normal"/>
    <w:rsid w:val="00F478FF"/>
    <w:pPr>
      <w:spacing w:before="100" w:beforeAutospacing="1" w:after="100" w:afterAutospacing="1"/>
    </w:pPr>
    <w:rPr>
      <w:rFonts w:eastAsiaTheme="minorEastAsia" w:cs="Times New Roman"/>
      <w:szCs w:val="24"/>
      <w:lang w:val="pt-BR" w:eastAsia="pt-BR"/>
    </w:rPr>
  </w:style>
  <w:style w:type="character" w:customStyle="1" w:styleId="label">
    <w:name w:val="label"/>
    <w:basedOn w:val="Fontepargpadro"/>
    <w:rsid w:val="00F478FF"/>
  </w:style>
  <w:style w:type="character" w:customStyle="1" w:styleId="cell-value">
    <w:name w:val="cell-value"/>
    <w:basedOn w:val="Fontepargpadro"/>
    <w:rsid w:val="00F478FF"/>
  </w:style>
  <w:style w:type="character" w:customStyle="1" w:styleId="cell">
    <w:name w:val="cell"/>
    <w:basedOn w:val="Fontepargpadro"/>
    <w:rsid w:val="00F478FF"/>
  </w:style>
  <w:style w:type="character" w:customStyle="1" w:styleId="block">
    <w:name w:val="block"/>
    <w:basedOn w:val="Fontepargpadro"/>
    <w:rsid w:val="00F478FF"/>
  </w:style>
  <w:style w:type="character" w:customStyle="1" w:styleId="quality-sign">
    <w:name w:val="quality-sign"/>
    <w:basedOn w:val="Fontepargpadro"/>
    <w:rsid w:val="00F478FF"/>
  </w:style>
  <w:style w:type="character" w:customStyle="1" w:styleId="quality-text">
    <w:name w:val="quality-text"/>
    <w:basedOn w:val="Fontepargpadro"/>
    <w:rsid w:val="00F478FF"/>
  </w:style>
  <w:style w:type="paragraph" w:customStyle="1" w:styleId="Default">
    <w:name w:val="Default"/>
    <w:rsid w:val="00F478FF"/>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LinkdaInternet">
    <w:name w:val="Link da Internet"/>
    <w:basedOn w:val="Fontepargpadro"/>
    <w:uiPriority w:val="99"/>
    <w:unhideWhenUsed/>
    <w:rsid w:val="00F478FF"/>
    <w:rPr>
      <w:color w:val="0000FF" w:themeColor="hyperlink"/>
      <w:u w:val="single"/>
    </w:rPr>
  </w:style>
  <w:style w:type="character" w:customStyle="1" w:styleId="comma">
    <w:name w:val="comma"/>
    <w:basedOn w:val="Fontepargpadro"/>
    <w:rsid w:val="00F4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06273B-C3C4-4933-898A-64B506D9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9</TotalTime>
  <Pages>16</Pages>
  <Words>12775</Words>
  <Characters>68987</Characters>
  <Application>Microsoft Office Word</Application>
  <DocSecurity>0</DocSecurity>
  <Lines>574</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Yasmin  de Souza Lima Bitar</cp:lastModifiedBy>
  <cp:revision>3</cp:revision>
  <cp:lastPrinted>2013-10-03T12:51:00Z</cp:lastPrinted>
  <dcterms:created xsi:type="dcterms:W3CDTF">2018-11-23T08:58:00Z</dcterms:created>
  <dcterms:modified xsi:type="dcterms:W3CDTF">2021-05-20T12:12:00Z</dcterms:modified>
</cp:coreProperties>
</file>