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DC" w:rsidRDefault="00642E64">
      <w:pPr>
        <w:rPr>
          <w:rFonts w:ascii="Times New Roman" w:hAnsi="Times New Roman" w:cs="Times New Roman"/>
        </w:rPr>
      </w:pPr>
      <w:r w:rsidRPr="00642E64">
        <w:rPr>
          <w:rFonts w:ascii="Times New Roman" w:hAnsi="Times New Roman" w:cs="Times New Roman"/>
        </w:rPr>
        <w:t xml:space="preserve">Description </w:t>
      </w:r>
      <w:proofErr w:type="spellStart"/>
      <w:r w:rsidRPr="00642E64">
        <w:rPr>
          <w:rFonts w:ascii="Times New Roman" w:hAnsi="Times New Roman" w:cs="Times New Roman"/>
        </w:rPr>
        <w:t>of</w:t>
      </w:r>
      <w:proofErr w:type="spellEnd"/>
      <w:r w:rsidRPr="00642E64">
        <w:rPr>
          <w:rFonts w:ascii="Times New Roman" w:hAnsi="Times New Roman" w:cs="Times New Roman"/>
        </w:rPr>
        <w:t xml:space="preserve"> </w:t>
      </w:r>
      <w:proofErr w:type="spellStart"/>
      <w:r w:rsidRPr="00642E64">
        <w:rPr>
          <w:rFonts w:ascii="Times New Roman" w:hAnsi="Times New Roman" w:cs="Times New Roman"/>
        </w:rPr>
        <w:t>the</w:t>
      </w:r>
      <w:proofErr w:type="spellEnd"/>
      <w:r w:rsidRPr="00642E64">
        <w:rPr>
          <w:rFonts w:ascii="Times New Roman" w:hAnsi="Times New Roman" w:cs="Times New Roman"/>
        </w:rPr>
        <w:t xml:space="preserve"> </w:t>
      </w:r>
      <w:proofErr w:type="spellStart"/>
      <w:r w:rsidRPr="00642E64">
        <w:rPr>
          <w:rFonts w:ascii="Times New Roman" w:hAnsi="Times New Roman" w:cs="Times New Roman"/>
        </w:rPr>
        <w:t>flowchart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Adonis® Software.</w:t>
      </w:r>
    </w:p>
    <w:p w:rsidR="00642E64" w:rsidRDefault="00642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elements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symbolize</w:t>
      </w:r>
      <w:proofErr w:type="spellEnd"/>
      <w:r>
        <w:rPr>
          <w:rFonts w:ascii="Times New Roman" w:hAnsi="Times New Roman" w:cs="Times New Roman"/>
        </w:rPr>
        <w:t xml:space="preserve"> different </w:t>
      </w:r>
      <w:proofErr w:type="spellStart"/>
      <w:r>
        <w:rPr>
          <w:rFonts w:ascii="Times New Roman" w:hAnsi="Times New Roman" w:cs="Times New Roman"/>
        </w:rPr>
        <w:t>types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>:</w:t>
      </w:r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Yellow </w:t>
      </w:r>
      <w:proofErr w:type="spellStart"/>
      <w:r>
        <w:rPr>
          <w:rFonts w:ascii="Times New Roman" w:hAnsi="Times New Roman" w:cs="Times New Roman"/>
        </w:rPr>
        <w:t>triangle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start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Dark </w:t>
      </w:r>
      <w:proofErr w:type="spellStart"/>
      <w:r>
        <w:rPr>
          <w:rFonts w:ascii="Times New Roman" w:hAnsi="Times New Roman" w:cs="Times New Roman"/>
        </w:rPr>
        <w:t>blue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rectangle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activity</w:t>
      </w:r>
      <w:proofErr w:type="spellEnd"/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Little </w:t>
      </w:r>
      <w:proofErr w:type="spellStart"/>
      <w:r>
        <w:rPr>
          <w:rFonts w:ascii="Times New Roman" w:hAnsi="Times New Roman" w:cs="Times New Roman"/>
        </w:rPr>
        <w:t>yellow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triangles</w:t>
      </w:r>
      <w:proofErr w:type="spellEnd"/>
      <w:r>
        <w:rPr>
          <w:rFonts w:ascii="Times New Roman" w:hAnsi="Times New Roman" w:cs="Times New Roman"/>
        </w:rPr>
        <w:t xml:space="preserve"> = The </w:t>
      </w:r>
      <w:proofErr w:type="spellStart"/>
      <w:r>
        <w:rPr>
          <w:rFonts w:ascii="Times New Roman" w:hAnsi="Times New Roman" w:cs="Times New Roman"/>
        </w:rPr>
        <w:t>start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subprocesses</w:t>
      </w:r>
      <w:proofErr w:type="spellEnd"/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pentagons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pointers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cross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Yellow </w:t>
      </w:r>
      <w:proofErr w:type="spellStart"/>
      <w:r>
        <w:rPr>
          <w:rFonts w:ascii="Times New Roman" w:hAnsi="Times New Roman" w:cs="Times New Roman"/>
        </w:rPr>
        <w:t>diamonds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decision</w:t>
      </w:r>
      <w:proofErr w:type="spellEnd"/>
    </w:p>
    <w:p w:rsidR="00642E64" w:rsidRDefault="00642E64" w:rsidP="00642E64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Yellow </w:t>
      </w:r>
      <w:proofErr w:type="spellStart"/>
      <w:r>
        <w:rPr>
          <w:rFonts w:ascii="Times New Roman" w:hAnsi="Times New Roman" w:cs="Times New Roman"/>
        </w:rPr>
        <w:t>circle</w:t>
      </w:r>
      <w:proofErr w:type="spellEnd"/>
      <w:r>
        <w:rPr>
          <w:rFonts w:ascii="Times New Roman" w:hAnsi="Times New Roman" w:cs="Times New Roman"/>
        </w:rPr>
        <w:t xml:space="preserve">   = end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</w:p>
    <w:p w:rsidR="00D4112F" w:rsidRDefault="00D4112F" w:rsidP="00D4112F">
      <w:pPr>
        <w:rPr>
          <w:rFonts w:ascii="Times New Roman" w:hAnsi="Times New Roman" w:cs="Times New Roman"/>
        </w:rPr>
      </w:pP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proofErr w:type="spellStart"/>
      <w:r>
        <w:rPr>
          <w:rFonts w:ascii="Times New Roman" w:hAnsi="Times New Roman" w:cs="Times New Roman"/>
        </w:rPr>
        <w:t>explanatory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flowcharts</w:t>
      </w:r>
      <w:proofErr w:type="spellEnd"/>
      <w:r>
        <w:rPr>
          <w:rFonts w:ascii="Times New Roman" w:hAnsi="Times New Roman" w:cs="Times New Roman"/>
        </w:rPr>
        <w:t>: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„Task_1: </w:t>
      </w:r>
      <w:proofErr w:type="spellStart"/>
      <w:r>
        <w:rPr>
          <w:rFonts w:ascii="Times New Roman" w:hAnsi="Times New Roman" w:cs="Times New Roman"/>
        </w:rPr>
        <w:t>Initiating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getting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answers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questionnaire</w:t>
      </w:r>
      <w:proofErr w:type="spellEnd"/>
      <w:r>
        <w:rPr>
          <w:rFonts w:ascii="Times New Roman" w:hAnsi="Times New Roman" w:cs="Times New Roman"/>
        </w:rPr>
        <w:t>“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flowcharts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questionnaire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using</w:t>
      </w:r>
      <w:proofErr w:type="spellEnd"/>
      <w:r>
        <w:rPr>
          <w:rFonts w:ascii="Times New Roman" w:hAnsi="Times New Roman" w:cs="Times New Roman"/>
        </w:rPr>
        <w:t xml:space="preserve"> a Delphi </w:t>
      </w:r>
      <w:proofErr w:type="spellStart"/>
      <w:r>
        <w:rPr>
          <w:rFonts w:ascii="Times New Roman" w:hAnsi="Times New Roman" w:cs="Times New Roman"/>
        </w:rPr>
        <w:t>method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modified</w:t>
      </w:r>
      <w:proofErr w:type="spellEnd"/>
      <w:r>
        <w:rPr>
          <w:rFonts w:ascii="Times New Roman" w:hAnsi="Times New Roman" w:cs="Times New Roman"/>
        </w:rPr>
        <w:t xml:space="preserve"> Delphi </w:t>
      </w:r>
      <w:proofErr w:type="spellStart"/>
      <w:r>
        <w:rPr>
          <w:rFonts w:ascii="Times New Roman" w:hAnsi="Times New Roman" w:cs="Times New Roman"/>
        </w:rPr>
        <w:t>method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plausibility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completeness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 w:rsidR="00AB2C69">
        <w:rPr>
          <w:rFonts w:ascii="Times New Roman" w:hAnsi="Times New Roman" w:cs="Times New Roman"/>
        </w:rPr>
        <w:t>as</w:t>
      </w:r>
      <w:proofErr w:type="spellEnd"/>
      <w:r w:rsidR="00AB2C69">
        <w:rPr>
          <w:rFonts w:ascii="Times New Roman" w:hAnsi="Times New Roman" w:cs="Times New Roman"/>
        </w:rPr>
        <w:t xml:space="preserve"> </w:t>
      </w:r>
      <w:proofErr w:type="spellStart"/>
      <w:r w:rsidR="00AB2C69">
        <w:rPr>
          <w:rFonts w:ascii="Times New Roman" w:hAnsi="Times New Roman" w:cs="Times New Roman"/>
        </w:rPr>
        <w:t>quality</w:t>
      </w:r>
      <w:proofErr w:type="spellEnd"/>
      <w:r w:rsidR="00AB2C69">
        <w:rPr>
          <w:rFonts w:ascii="Times New Roman" w:hAnsi="Times New Roman" w:cs="Times New Roman"/>
        </w:rPr>
        <w:t xml:space="preserve"> </w:t>
      </w:r>
      <w:proofErr w:type="spellStart"/>
      <w:r w:rsidR="00AB2C69">
        <w:rPr>
          <w:rFonts w:ascii="Times New Roman" w:hAnsi="Times New Roman" w:cs="Times New Roman"/>
        </w:rPr>
        <w:t>assurance</w:t>
      </w:r>
      <w:proofErr w:type="spellEnd"/>
      <w:r w:rsidR="00AB2C6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</w:t>
      </w:r>
      <w:proofErr w:type="spellEnd"/>
      <w:r>
        <w:rPr>
          <w:rFonts w:ascii="Times New Roman" w:hAnsi="Times New Roman" w:cs="Times New Roman"/>
        </w:rPr>
        <w:t xml:space="preserve">, not </w:t>
      </w:r>
      <w:proofErr w:type="spellStart"/>
      <w:r>
        <w:rPr>
          <w:rFonts w:ascii="Times New Roman" w:hAnsi="Times New Roman" w:cs="Times New Roman"/>
        </w:rPr>
        <w:t>content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Verbatim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transscription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additional </w:t>
      </w:r>
      <w:proofErr w:type="spellStart"/>
      <w:r>
        <w:rPr>
          <w:rFonts w:ascii="Times New Roman" w:hAnsi="Times New Roman" w:cs="Times New Roman"/>
        </w:rPr>
        <w:t>remarks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ideal, but not </w:t>
      </w:r>
      <w:proofErr w:type="spellStart"/>
      <w:r>
        <w:rPr>
          <w:rFonts w:ascii="Times New Roman" w:hAnsi="Times New Roman" w:cs="Times New Roman"/>
        </w:rPr>
        <w:t>always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possible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man-power. This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 out, </w:t>
      </w:r>
      <w:proofErr w:type="spellStart"/>
      <w:r>
        <w:rPr>
          <w:rFonts w:ascii="Times New Roman" w:hAnsi="Times New Roman" w:cs="Times New Roman"/>
        </w:rPr>
        <w:t>chosing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feasibilty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over-completeness</w:t>
      </w:r>
      <w:proofErr w:type="spellEnd"/>
      <w:r>
        <w:rPr>
          <w:rFonts w:ascii="Times New Roman" w:hAnsi="Times New Roman" w:cs="Times New Roman"/>
        </w:rPr>
        <w:t>.</w:t>
      </w:r>
    </w:p>
    <w:p w:rsidR="00D4112F" w:rsidRDefault="00D4112F" w:rsidP="00D4112F">
      <w:pPr>
        <w:rPr>
          <w:rFonts w:ascii="Times New Roman" w:hAnsi="Times New Roman" w:cs="Times New Roman"/>
        </w:rPr>
      </w:pP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„Task_2: </w:t>
      </w:r>
      <w:proofErr w:type="spellStart"/>
      <w:r>
        <w:rPr>
          <w:rFonts w:ascii="Times New Roman" w:hAnsi="Times New Roman" w:cs="Times New Roman"/>
        </w:rPr>
        <w:t>Compilation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questionnaires</w:t>
      </w:r>
      <w:proofErr w:type="spellEnd"/>
      <w:r>
        <w:rPr>
          <w:rFonts w:ascii="Times New Roman" w:hAnsi="Times New Roman" w:cs="Times New Roman"/>
        </w:rPr>
        <w:t>“: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flowchart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compilation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questionnaires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answered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answer</w:t>
      </w:r>
      <w:proofErr w:type="spellEnd"/>
      <w:r>
        <w:rPr>
          <w:rFonts w:ascii="Times New Roman" w:hAnsi="Times New Roman" w:cs="Times New Roman"/>
        </w:rPr>
        <w:t xml:space="preserve"> per item. As in </w:t>
      </w:r>
      <w:proofErr w:type="spellStart"/>
      <w:r>
        <w:rPr>
          <w:rFonts w:ascii="Times New Roman" w:hAnsi="Times New Roman" w:cs="Times New Roman"/>
        </w:rPr>
        <w:t>task</w:t>
      </w:r>
      <w:proofErr w:type="spellEnd"/>
      <w:r>
        <w:rPr>
          <w:rFonts w:ascii="Times New Roman" w:hAnsi="Times New Roman" w:cs="Times New Roman"/>
        </w:rPr>
        <w:t xml:space="preserve"> 1 „</w:t>
      </w:r>
      <w:proofErr w:type="spellStart"/>
      <w:r>
        <w:rPr>
          <w:rFonts w:ascii="Times New Roman" w:hAnsi="Times New Roman" w:cs="Times New Roman"/>
        </w:rPr>
        <w:t>plausibility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completeness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refer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</w:t>
      </w:r>
      <w:proofErr w:type="spellEnd"/>
      <w:r>
        <w:rPr>
          <w:rFonts w:ascii="Times New Roman" w:hAnsi="Times New Roman" w:cs="Times New Roman"/>
        </w:rPr>
        <w:t xml:space="preserve">, not </w:t>
      </w:r>
      <w:proofErr w:type="spellStart"/>
      <w:r>
        <w:rPr>
          <w:rFonts w:ascii="Times New Roman" w:hAnsi="Times New Roman" w:cs="Times New Roman"/>
        </w:rPr>
        <w:t>content</w:t>
      </w:r>
      <w:proofErr w:type="spellEnd"/>
      <w:r>
        <w:rPr>
          <w:rFonts w:ascii="Times New Roman" w:hAnsi="Times New Roman" w:cs="Times New Roman"/>
        </w:rPr>
        <w:t>.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compilation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spreadsheets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helpful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respect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answers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 per item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expert </w:t>
      </w:r>
      <w:proofErr w:type="spellStart"/>
      <w:r>
        <w:rPr>
          <w:rFonts w:ascii="Times New Roman" w:hAnsi="Times New Roman" w:cs="Times New Roman"/>
        </w:rPr>
        <w:t>opinions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same </w:t>
      </w:r>
      <w:proofErr w:type="spellStart"/>
      <w:r>
        <w:rPr>
          <w:rFonts w:ascii="Times New Roman" w:hAnsi="Times New Roman" w:cs="Times New Roman"/>
        </w:rPr>
        <w:t>numeric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value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task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easier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4112F" w:rsidRDefault="00D4112F" w:rsidP="00D4112F">
      <w:pPr>
        <w:rPr>
          <w:rFonts w:ascii="Times New Roman" w:hAnsi="Times New Roman" w:cs="Times New Roman"/>
        </w:rPr>
      </w:pP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„Task 3: Evaluation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items</w:t>
      </w:r>
      <w:proofErr w:type="spellEnd"/>
      <w:r>
        <w:rPr>
          <w:rFonts w:ascii="Times New Roman" w:hAnsi="Times New Roman" w:cs="Times New Roman"/>
        </w:rPr>
        <w:t xml:space="preserve"> oft he </w:t>
      </w:r>
      <w:proofErr w:type="spellStart"/>
      <w:r>
        <w:rPr>
          <w:rFonts w:ascii="Times New Roman" w:hAnsi="Times New Roman" w:cs="Times New Roman"/>
        </w:rPr>
        <w:t>questionnaire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synoptic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presentation</w:t>
      </w:r>
      <w:proofErr w:type="spellEnd"/>
      <w:r>
        <w:rPr>
          <w:rFonts w:ascii="Times New Roman" w:hAnsi="Times New Roman" w:cs="Times New Roman"/>
        </w:rPr>
        <w:t>“</w:t>
      </w: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flowchart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answer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each</w:t>
      </w:r>
      <w:proofErr w:type="spellEnd"/>
      <w:r>
        <w:rPr>
          <w:rFonts w:ascii="Times New Roman" w:hAnsi="Times New Roman" w:cs="Times New Roman"/>
        </w:rPr>
        <w:t xml:space="preserve"> item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generated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consideration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experts</w:t>
      </w:r>
      <w:proofErr w:type="spellEnd"/>
      <w:r>
        <w:rPr>
          <w:rFonts w:ascii="Times New Roman" w:hAnsi="Times New Roman" w:cs="Times New Roman"/>
        </w:rPr>
        <w:t xml:space="preserve">´ </w:t>
      </w:r>
      <w:proofErr w:type="spellStart"/>
      <w:r>
        <w:rPr>
          <w:rFonts w:ascii="Times New Roman" w:hAnsi="Times New Roman" w:cs="Times New Roman"/>
        </w:rPr>
        <w:t>rating</w:t>
      </w:r>
      <w:proofErr w:type="spellEnd"/>
      <w:r>
        <w:rPr>
          <w:rFonts w:ascii="Times New Roman" w:hAnsi="Times New Roman" w:cs="Times New Roman"/>
        </w:rPr>
        <w:t xml:space="preserve"> plus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generates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considered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„invalid“ at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stage</w:t>
      </w:r>
      <w:proofErr w:type="spellEnd"/>
      <w:r>
        <w:rPr>
          <w:rFonts w:ascii="Times New Roman" w:hAnsi="Times New Roman" w:cs="Times New Roman"/>
        </w:rPr>
        <w:t xml:space="preserve"> oft he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will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refferal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item in </w:t>
      </w:r>
      <w:proofErr w:type="spellStart"/>
      <w:r>
        <w:rPr>
          <w:rFonts w:ascii="Times New Roman" w:hAnsi="Times New Roman" w:cs="Times New Roman"/>
        </w:rPr>
        <w:t>question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task_4, 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a valid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generated</w:t>
      </w:r>
      <w:proofErr w:type="spellEnd"/>
      <w:r>
        <w:rPr>
          <w:rFonts w:ascii="Times New Roman" w:hAnsi="Times New Roman" w:cs="Times New Roman"/>
        </w:rPr>
        <w:t>.</w:t>
      </w:r>
    </w:p>
    <w:p w:rsidR="00D4112F" w:rsidRDefault="00D4112F" w:rsidP="00D4112F">
      <w:pPr>
        <w:rPr>
          <w:rFonts w:ascii="Times New Roman" w:hAnsi="Times New Roman" w:cs="Times New Roman"/>
        </w:rPr>
      </w:pPr>
    </w:p>
    <w:p w:rsid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„Task 4: </w:t>
      </w:r>
      <w:proofErr w:type="spellStart"/>
      <w:r>
        <w:rPr>
          <w:rFonts w:ascii="Times New Roman" w:hAnsi="Times New Roman" w:cs="Times New Roman"/>
        </w:rPr>
        <w:t>Consequences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an invalid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>“</w:t>
      </w:r>
    </w:p>
    <w:p w:rsidR="00D4112F" w:rsidRPr="00D4112F" w:rsidRDefault="00D4112F" w:rsidP="00D4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proofErr w:type="spellStart"/>
      <w:r>
        <w:rPr>
          <w:rFonts w:ascii="Times New Roman" w:hAnsi="Times New Roman" w:cs="Times New Roman"/>
        </w:rPr>
        <w:t>flowchart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questionnaire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resulted</w:t>
      </w:r>
      <w:proofErr w:type="spellEnd"/>
      <w:r>
        <w:rPr>
          <w:rFonts w:ascii="Times New Roman" w:hAnsi="Times New Roman" w:cs="Times New Roman"/>
        </w:rPr>
        <w:t xml:space="preserve"> in an „invalid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described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task</w:t>
      </w:r>
      <w:proofErr w:type="spellEnd"/>
      <w:r>
        <w:rPr>
          <w:rFonts w:ascii="Times New Roman" w:hAnsi="Times New Roman" w:cs="Times New Roman"/>
        </w:rPr>
        <w:t xml:space="preserve"> 3. This </w:t>
      </w:r>
      <w:proofErr w:type="spellStart"/>
      <w:r>
        <w:rPr>
          <w:rFonts w:ascii="Times New Roman" w:hAnsi="Times New Roman" w:cs="Times New Roman"/>
        </w:rPr>
        <w:t>involves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identification</w:t>
      </w:r>
      <w:proofErr w:type="spellEnd"/>
      <w:r>
        <w:rPr>
          <w:rFonts w:ascii="Times New Roman" w:hAnsi="Times New Roman" w:cs="Times New Roman"/>
        </w:rPr>
        <w:t xml:space="preserve"> oft he </w:t>
      </w:r>
      <w:proofErr w:type="spellStart"/>
      <w:r>
        <w:rPr>
          <w:rFonts w:ascii="Times New Roman" w:hAnsi="Times New Roman" w:cs="Times New Roman"/>
        </w:rPr>
        <w:t>crucial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item in </w:t>
      </w:r>
      <w:proofErr w:type="spellStart"/>
      <w:r>
        <w:rPr>
          <w:rFonts w:ascii="Times New Roman" w:hAnsi="Times New Roman" w:cs="Times New Roman"/>
        </w:rPr>
        <w:t>question</w:t>
      </w:r>
      <w:proofErr w:type="spellEnd"/>
      <w:r>
        <w:rPr>
          <w:rFonts w:ascii="Times New Roman" w:hAnsi="Times New Roman" w:cs="Times New Roman"/>
        </w:rPr>
        <w:t xml:space="preserve">. This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insight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different </w:t>
      </w:r>
      <w:proofErr w:type="spellStart"/>
      <w:r>
        <w:rPr>
          <w:rFonts w:ascii="Times New Roman" w:hAnsi="Times New Roman" w:cs="Times New Roman"/>
        </w:rPr>
        <w:t>answers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different </w:t>
      </w:r>
      <w:proofErr w:type="spellStart"/>
      <w:r>
        <w:rPr>
          <w:rFonts w:ascii="Times New Roman" w:hAnsi="Times New Roman" w:cs="Times New Roman"/>
        </w:rPr>
        <w:t>levels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implementation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certain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structures</w:t>
      </w:r>
      <w:proofErr w:type="spellEnd"/>
      <w:r>
        <w:rPr>
          <w:rFonts w:ascii="Times New Roman" w:hAnsi="Times New Roman" w:cs="Times New Roman"/>
        </w:rPr>
        <w:t xml:space="preserve"> (i.e. electronic </w:t>
      </w:r>
      <w:proofErr w:type="spellStart"/>
      <w:r>
        <w:rPr>
          <w:rFonts w:ascii="Times New Roman" w:hAnsi="Times New Roman" w:cs="Times New Roman"/>
        </w:rPr>
        <w:t>prescribing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strategies</w:t>
      </w:r>
      <w:proofErr w:type="spellEnd"/>
      <w:r>
        <w:rPr>
          <w:rFonts w:ascii="Times New Roman" w:hAnsi="Times New Roman" w:cs="Times New Roman"/>
        </w:rPr>
        <w:t xml:space="preserve"> relevant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patient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monitor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also find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crucial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selected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experts</w:t>
      </w:r>
      <w:proofErr w:type="spellEnd"/>
      <w:r>
        <w:rPr>
          <w:rFonts w:ascii="Times New Roman" w:hAnsi="Times New Roman" w:cs="Times New Roman"/>
        </w:rPr>
        <w:t xml:space="preserve"> (i.e. </w:t>
      </w:r>
      <w:proofErr w:type="spellStart"/>
      <w:r>
        <w:rPr>
          <w:rFonts w:ascii="Times New Roman" w:hAnsi="Times New Roman" w:cs="Times New Roman"/>
        </w:rPr>
        <w:t>handling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prescription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cytotoxic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drugs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will </w:t>
      </w:r>
      <w:proofErr w:type="spellStart"/>
      <w:r>
        <w:rPr>
          <w:rFonts w:ascii="Times New Roman" w:hAnsi="Times New Roman" w:cs="Times New Roman"/>
        </w:rPr>
        <w:t>therefore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appoint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performance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expert </w:t>
      </w:r>
      <w:proofErr w:type="spellStart"/>
      <w:r>
        <w:rPr>
          <w:rFonts w:ascii="Times New Roman" w:hAnsi="Times New Roman" w:cs="Times New Roman"/>
        </w:rPr>
        <w:t>panel</w:t>
      </w:r>
      <w:proofErr w:type="spellEnd"/>
      <w:r>
        <w:rPr>
          <w:rFonts w:ascii="Times New Roman" w:hAnsi="Times New Roman" w:cs="Times New Roman"/>
        </w:rPr>
        <w:t>.</w:t>
      </w:r>
    </w:p>
    <w:sectPr w:rsidR="00D4112F" w:rsidRPr="00D411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6FC"/>
    <w:multiLevelType w:val="hybridMultilevel"/>
    <w:tmpl w:val="6E008D92"/>
    <w:lvl w:ilvl="0" w:tplc="9DD43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64"/>
    <w:rsid w:val="000D46DC"/>
    <w:rsid w:val="00642E64"/>
    <w:rsid w:val="00AB2C69"/>
    <w:rsid w:val="00D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41C56-DB6A-4679-AEC6-90826E7E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Böhmdorfer-McNair Birgit</dc:creator>
  <cp:keywords/>
  <dc:description/>
  <cp:lastModifiedBy>Böhmdorfer-McNair Birgit</cp:lastModifiedBy>
  <cp:revision>4</cp:revision>
  <dcterms:created xsi:type="dcterms:W3CDTF">2021-06-15T11:07:00Z</dcterms:created>
  <dcterms:modified xsi:type="dcterms:W3CDTF">2021-06-15T12:22:00Z</dcterms:modified>
</cp:coreProperties>
</file>