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5591B38D" w:rsidR="00EA3D3C" w:rsidRPr="00994A3D" w:rsidRDefault="009117CA" w:rsidP="0001436A">
      <w:pPr>
        <w:pStyle w:val="Heading1"/>
      </w:pPr>
      <w:r>
        <w:t>Mathematical model of parathyroid glan</w:t>
      </w:r>
      <w:r w:rsidR="009A6069">
        <w:t>d</w:t>
      </w:r>
      <w:r>
        <w:t xml:space="preserve"> (PTG) biology: Optimization algorithm</w:t>
      </w:r>
    </w:p>
    <w:p w14:paraId="3D0AA272" w14:textId="628AEBC9" w:rsidR="00830931" w:rsidRDefault="009A6069" w:rsidP="009117CA">
      <w:pPr>
        <w:rPr>
          <w:szCs w:val="20"/>
        </w:rPr>
      </w:pPr>
      <w:r>
        <w:rPr>
          <w:szCs w:val="20"/>
        </w:rPr>
        <w:t xml:space="preserve">The mathematical </w:t>
      </w:r>
      <w:r w:rsidR="00321C51">
        <w:rPr>
          <w:szCs w:val="20"/>
        </w:rPr>
        <w:t xml:space="preserve">parathyroid gland (PTG) </w:t>
      </w:r>
      <w:r w:rsidR="00ED1D7D">
        <w:rPr>
          <w:szCs w:val="20"/>
        </w:rPr>
        <w:t xml:space="preserve">model </w:t>
      </w:r>
      <w:r>
        <w:rPr>
          <w:szCs w:val="20"/>
        </w:rPr>
        <w:t xml:space="preserve">is described in detail </w:t>
      </w:r>
      <w:r w:rsidR="009C3C47">
        <w:rPr>
          <w:szCs w:val="20"/>
        </w:rPr>
        <w:t>else</w:t>
      </w:r>
      <w:r w:rsidR="00ED1D7D">
        <w:rPr>
          <w:szCs w:val="20"/>
        </w:rPr>
        <w:t>where</w:t>
      </w:r>
      <w:r w:rsidR="009C3C47">
        <w:rPr>
          <w:szCs w:val="20"/>
        </w:rPr>
        <w:t xml:space="preserve"> </w:t>
      </w:r>
      <w:r>
        <w:rPr>
          <w:szCs w:val="20"/>
        </w:rPr>
        <w:t>(</w:t>
      </w:r>
      <w:proofErr w:type="spellStart"/>
      <w:r>
        <w:rPr>
          <w:szCs w:val="20"/>
        </w:rPr>
        <w:t>Schappacher-Tilp</w:t>
      </w:r>
      <w:proofErr w:type="spellEnd"/>
      <w:r>
        <w:rPr>
          <w:szCs w:val="20"/>
        </w:rPr>
        <w:t xml:space="preserve"> et al, 2019). The model describes </w:t>
      </w:r>
      <w:r w:rsidR="00321C51">
        <w:rPr>
          <w:szCs w:val="20"/>
        </w:rPr>
        <w:t>PTG</w:t>
      </w:r>
      <w:r>
        <w:rPr>
          <w:szCs w:val="20"/>
        </w:rPr>
        <w:t xml:space="preserve"> biology and its adaptation mechanisms</w:t>
      </w:r>
      <w:r w:rsidR="00F55C6A">
        <w:rPr>
          <w:szCs w:val="20"/>
        </w:rPr>
        <w:t>. These mechanisms include the</w:t>
      </w:r>
      <w:r>
        <w:rPr>
          <w:szCs w:val="20"/>
        </w:rPr>
        <w:t xml:space="preserve"> decrease of intracellular </w:t>
      </w:r>
      <w:r w:rsidR="00ED1D7D">
        <w:rPr>
          <w:szCs w:val="20"/>
        </w:rPr>
        <w:t xml:space="preserve">PTH </w:t>
      </w:r>
      <w:r>
        <w:rPr>
          <w:szCs w:val="20"/>
        </w:rPr>
        <w:t xml:space="preserve">degradation rate, the increase in PTH synthesis rate, and the increase in cellular proliferation </w:t>
      </w:r>
      <w:r w:rsidR="002A0EEE">
        <w:rPr>
          <w:szCs w:val="20"/>
        </w:rPr>
        <w:t xml:space="preserve">(Fig. </w:t>
      </w:r>
      <w:r w:rsidR="002A0EEE" w:rsidRPr="00C7597A">
        <w:rPr>
          <w:szCs w:val="20"/>
        </w:rPr>
        <w:t>S1)</w:t>
      </w:r>
      <w:r w:rsidR="00C7597A">
        <w:rPr>
          <w:szCs w:val="20"/>
        </w:rPr>
        <w:t xml:space="preserve">. </w:t>
      </w:r>
      <w:r w:rsidR="00F55C6A">
        <w:rPr>
          <w:szCs w:val="20"/>
        </w:rPr>
        <w:t xml:space="preserve">PTH release as well as </w:t>
      </w:r>
      <w:r w:rsidR="00DA6C1A">
        <w:rPr>
          <w:szCs w:val="20"/>
        </w:rPr>
        <w:t xml:space="preserve">PTG </w:t>
      </w:r>
      <w:r w:rsidR="00830931">
        <w:rPr>
          <w:szCs w:val="20"/>
        </w:rPr>
        <w:t xml:space="preserve">adaptation mechanisms </w:t>
      </w:r>
      <w:r w:rsidR="00865205">
        <w:rPr>
          <w:szCs w:val="20"/>
        </w:rPr>
        <w:t xml:space="preserve">are </w:t>
      </w:r>
      <w:r w:rsidR="00F55C6A">
        <w:rPr>
          <w:szCs w:val="20"/>
        </w:rPr>
        <w:t>regulated by the activation of</w:t>
      </w:r>
      <w:r w:rsidR="00865205">
        <w:rPr>
          <w:szCs w:val="20"/>
        </w:rPr>
        <w:t xml:space="preserve"> the calcium sensing receptor (</w:t>
      </w:r>
      <w:proofErr w:type="spellStart"/>
      <w:r w:rsidR="00865205">
        <w:rPr>
          <w:szCs w:val="20"/>
        </w:rPr>
        <w:t>CaSR</w:t>
      </w:r>
      <w:proofErr w:type="spellEnd"/>
      <w:r w:rsidR="00865205">
        <w:rPr>
          <w:szCs w:val="20"/>
        </w:rPr>
        <w:t>) and vitamin D receptor (VDR)</w:t>
      </w:r>
      <w:r w:rsidR="00F55C6A">
        <w:rPr>
          <w:szCs w:val="20"/>
        </w:rPr>
        <w:t xml:space="preserve"> and their down-stream signaling</w:t>
      </w:r>
      <w:r w:rsidR="00372A33">
        <w:rPr>
          <w:szCs w:val="20"/>
        </w:rPr>
        <w:t xml:space="preserve"> (Fig. S2)</w:t>
      </w:r>
      <w:r w:rsidR="00F55C6A">
        <w:rPr>
          <w:szCs w:val="20"/>
        </w:rPr>
        <w:t xml:space="preserve">. </w:t>
      </w:r>
      <w:r w:rsidR="00DA6C1A">
        <w:rPr>
          <w:szCs w:val="20"/>
        </w:rPr>
        <w:t xml:space="preserve">In the mathematical </w:t>
      </w:r>
      <w:r w:rsidR="00321C51">
        <w:rPr>
          <w:szCs w:val="20"/>
        </w:rPr>
        <w:t xml:space="preserve">PTG </w:t>
      </w:r>
      <w:r w:rsidR="00DA6C1A">
        <w:rPr>
          <w:szCs w:val="20"/>
        </w:rPr>
        <w:t xml:space="preserve">model, this physiological property is reflected in the following sense: </w:t>
      </w:r>
      <w:r w:rsidR="00F55C6A">
        <w:rPr>
          <w:szCs w:val="20"/>
        </w:rPr>
        <w:t>th</w:t>
      </w:r>
      <w:r w:rsidR="00865205" w:rsidRPr="00231853">
        <w:rPr>
          <w:szCs w:val="20"/>
        </w:rPr>
        <w:t xml:space="preserve">e response of the PTG to different </w:t>
      </w:r>
      <w:r w:rsidR="00865205">
        <w:rPr>
          <w:szCs w:val="20"/>
        </w:rPr>
        <w:t>ionized calcium (</w:t>
      </w:r>
      <w:proofErr w:type="spellStart"/>
      <w:r w:rsidR="00865205">
        <w:rPr>
          <w:szCs w:val="20"/>
        </w:rPr>
        <w:t>iCa</w:t>
      </w:r>
      <w:proofErr w:type="spellEnd"/>
      <w:r w:rsidR="00865205">
        <w:rPr>
          <w:szCs w:val="20"/>
        </w:rPr>
        <w:t>)</w:t>
      </w:r>
      <w:r w:rsidR="00865205" w:rsidRPr="00231853">
        <w:rPr>
          <w:szCs w:val="20"/>
        </w:rPr>
        <w:t xml:space="preserve"> and phosphate concentrations depends on the stimulus of the </w:t>
      </w:r>
      <w:proofErr w:type="spellStart"/>
      <w:r w:rsidR="00865205" w:rsidRPr="00231853">
        <w:rPr>
          <w:szCs w:val="20"/>
        </w:rPr>
        <w:t>CaSR</w:t>
      </w:r>
      <w:proofErr w:type="spellEnd"/>
      <w:r w:rsidR="00865205" w:rsidRPr="00231853">
        <w:rPr>
          <w:szCs w:val="20"/>
        </w:rPr>
        <w:t xml:space="preserve"> and VDR with regard to the individual optimal </w:t>
      </w:r>
      <w:proofErr w:type="spellStart"/>
      <w:r w:rsidR="00865205">
        <w:rPr>
          <w:szCs w:val="20"/>
        </w:rPr>
        <w:t>iCa</w:t>
      </w:r>
      <w:proofErr w:type="spellEnd"/>
      <w:r w:rsidR="00865205" w:rsidRPr="00283722">
        <w:rPr>
          <w:szCs w:val="2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  <m:r>
          <w:rPr>
            <w:rFonts w:ascii="Cambria Math" w:hAnsi="Cambria Math"/>
            <w:szCs w:val="20"/>
          </w:rPr>
          <m:t xml:space="preserve">) </m:t>
        </m:r>
      </m:oMath>
      <w:r w:rsidR="00865205" w:rsidRPr="00231853">
        <w:rPr>
          <w:szCs w:val="20"/>
        </w:rPr>
        <w:t>and phosphate</w:t>
      </w:r>
      <w:r w:rsidR="00865205"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865205" w:rsidRPr="00283722">
        <w:rPr>
          <w:szCs w:val="20"/>
        </w:rPr>
        <w:t xml:space="preserve"> </w:t>
      </w:r>
      <w:r w:rsidR="00865205" w:rsidRPr="00231853">
        <w:rPr>
          <w:szCs w:val="20"/>
        </w:rPr>
        <w:t>values.</w:t>
      </w:r>
    </w:p>
    <w:p w14:paraId="09892B56" w14:textId="05A33DFA" w:rsidR="009117CA" w:rsidRDefault="00865205" w:rsidP="009117CA">
      <w:pPr>
        <w:rPr>
          <w:szCs w:val="20"/>
        </w:rPr>
      </w:pPr>
      <w:r>
        <w:rPr>
          <w:szCs w:val="20"/>
        </w:rPr>
        <w:t xml:space="preserve">While general values for the model are presented in </w:t>
      </w:r>
      <w:r w:rsidR="009117CA" w:rsidRPr="00231853">
        <w:rPr>
          <w:lang w:eastAsia="de-CH"/>
        </w:rPr>
        <w:fldChar w:fldCharType="begin"/>
      </w:r>
      <w:r w:rsidR="009117CA">
        <w:rPr>
          <w:lang w:eastAsia="de-CH"/>
        </w:rPr>
        <w:instrText xml:space="preserve"> ADDIN EN.CITE &lt;EndNote&gt;&lt;Cite&gt;&lt;Author&gt;Schappacher-Tilp&lt;/Author&gt;&lt;Year&gt;2019&lt;/Year&gt;&lt;RecNum&gt;0&lt;/RecNum&gt;&lt;IDText&gt;A mathematical model of parathyroid gland biology&lt;/IDText&gt;&lt;DisplayText&gt;(Schappacher-Tilp et al., 2019)&lt;/DisplayText&gt;&lt;record&gt;&lt;dates&gt;&lt;pub-dates&gt;&lt;date&gt;04&lt;/date&gt;&lt;/pub-dates&gt;&lt;year&gt;2019&lt;/year&gt;&lt;/dates&gt;&lt;keywords&gt;&lt;keyword&gt;Calcium&lt;/keyword&gt;&lt;keyword&gt;Humans&lt;/keyword&gt;&lt;keyword&gt;Hyperparathyroidism, Secondary&lt;/keyword&gt;&lt;keyword&gt;Models, Theoretical&lt;/keyword&gt;&lt;keyword&gt;Parathyroid Glands&lt;/keyword&gt;&lt;keyword&gt;Parathyroid Hormone&lt;/keyword&gt;&lt;keyword&gt;Renal Dialysis&lt;/keyword&gt;&lt;keyword&gt;Renal Insufficiency, Chronic&lt;/keyword&gt;&lt;keyword&gt;Calcium-sensing receptor&lt;/keyword&gt;&lt;keyword&gt;Mathematical model&lt;/keyword&gt;&lt;keyword&gt;Parathyroid gland&lt;/keyword&gt;&lt;keyword&gt;Parathyroid hormone&lt;/keyword&gt;&lt;/keywords&gt;&lt;urls&gt;&lt;related-urls&gt;&lt;url&gt;https://www.ncbi.nlm.nih.gov/pubmed/30927339&lt;/url&gt;&lt;/related-urls&gt;&lt;/urls&gt;&lt;isbn&gt;2051-817X&lt;/isbn&gt;&lt;custom2&gt;PMC6440916&lt;/custom2&gt;&lt;titles&gt;&lt;title&gt;A mathematical model of parathyroid gland biology&lt;/title&gt;&lt;secondary-title&gt;Physiol Rep&lt;/secondary-title&gt;&lt;/titles&gt;&lt;pages&gt;e14045&lt;/pages&gt;&lt;number&gt;7&lt;/number&gt;&lt;contributors&gt;&lt;authors&gt;&lt;author&gt;Schappacher-Tilp, G.&lt;/author&gt;&lt;author&gt;Cherif, A.&lt;/author&gt;&lt;author&gt;Fuertinger, D. H.&lt;/author&gt;&lt;author&gt;Bushinsky, D.&lt;/author&gt;&lt;author&gt;Kotanko, P.&lt;/author&gt;&lt;/authors&gt;&lt;/contributors&gt;&lt;language&gt;eng&lt;/language&gt;&lt;added-date format="utc"&gt;1610611846&lt;/added-date&gt;&lt;ref-type name="Journal Article"&gt;17&lt;/ref-type&gt;&lt;rec-number&gt;430&lt;/rec-number&gt;&lt;last-updated-date format="utc"&gt;1610611846&lt;/last-updated-date&gt;&lt;accession-num&gt;30927339&lt;/accession-num&gt;&lt;electronic-resource-num&gt;10.14814/phy2.14045&lt;/electronic-resource-num&gt;&lt;volume&gt;7&lt;/volume&gt;&lt;/record&gt;&lt;/Cite&gt;&lt;/EndNote&gt;</w:instrText>
      </w:r>
      <w:r w:rsidR="009117CA" w:rsidRPr="00231853">
        <w:rPr>
          <w:lang w:eastAsia="de-CH"/>
        </w:rPr>
        <w:fldChar w:fldCharType="separate"/>
      </w:r>
      <w:r w:rsidR="009117CA">
        <w:rPr>
          <w:noProof/>
          <w:lang w:eastAsia="de-CH"/>
        </w:rPr>
        <w:t>(Schappacher-Tilp et al., 2019)</w:t>
      </w:r>
      <w:r w:rsidR="009117CA" w:rsidRPr="00231853">
        <w:rPr>
          <w:lang w:eastAsia="de-CH"/>
        </w:rPr>
        <w:fldChar w:fldCharType="end"/>
      </w:r>
      <w:r>
        <w:rPr>
          <w:szCs w:val="20"/>
        </w:rPr>
        <w:t xml:space="preserve">, we aim at individualizing key </w:t>
      </w:r>
      <w:r w:rsidR="00321C51">
        <w:rPr>
          <w:szCs w:val="20"/>
        </w:rPr>
        <w:t xml:space="preserve">model </w:t>
      </w:r>
      <w:r>
        <w:rPr>
          <w:szCs w:val="20"/>
        </w:rPr>
        <w:t xml:space="preserve">parameters in order to allow for patient specific short and long-term predictions. </w:t>
      </w:r>
      <w:r w:rsidR="00E076E5">
        <w:rPr>
          <w:szCs w:val="20"/>
        </w:rPr>
        <w:t xml:space="preserve">Specifically, we choose a set of </w:t>
      </w:r>
      <w:r w:rsidR="00321C51">
        <w:rPr>
          <w:szCs w:val="20"/>
        </w:rPr>
        <w:t xml:space="preserve">five </w:t>
      </w:r>
      <w:r w:rsidR="00E076E5">
        <w:rPr>
          <w:szCs w:val="20"/>
        </w:rPr>
        <w:t>parameters</w:t>
      </w:r>
      <w:r w:rsidR="00321C51">
        <w:rPr>
          <w:szCs w:val="20"/>
        </w:rPr>
        <w:t xml:space="preserve">, i.e. </w:t>
      </w:r>
      <w:r w:rsidR="00097EAE">
        <w:rPr>
          <w:szCs w:val="20"/>
        </w:rPr>
        <w:t xml:space="preserve">dialysis vintage as well as </w:t>
      </w:r>
      <w:r w:rsidR="00AE502B">
        <w:rPr>
          <w:szCs w:val="20"/>
        </w:rPr>
        <w:t xml:space="preserve">calcitriol therapy and </w:t>
      </w:r>
      <w:r w:rsidR="00C52937">
        <w:rPr>
          <w:szCs w:val="20"/>
        </w:rPr>
        <w:t xml:space="preserve">all available </w:t>
      </w:r>
      <w:proofErr w:type="spellStart"/>
      <w:r w:rsidR="00C52937">
        <w:rPr>
          <w:szCs w:val="20"/>
        </w:rPr>
        <w:t>iCa</w:t>
      </w:r>
      <w:proofErr w:type="spellEnd"/>
      <w:r w:rsidR="00C52937">
        <w:rPr>
          <w:szCs w:val="20"/>
        </w:rPr>
        <w:t xml:space="preserve">, phosphate and </w:t>
      </w:r>
      <w:proofErr w:type="spellStart"/>
      <w:r w:rsidR="00C52937">
        <w:rPr>
          <w:szCs w:val="20"/>
        </w:rPr>
        <w:t>iPTH</w:t>
      </w:r>
      <w:proofErr w:type="spellEnd"/>
      <w:r w:rsidR="00C52937">
        <w:rPr>
          <w:szCs w:val="20"/>
        </w:rPr>
        <w:t xml:space="preserve"> concentrations within the pr</w:t>
      </w:r>
      <w:r w:rsidR="00C568E5">
        <w:rPr>
          <w:szCs w:val="20"/>
        </w:rPr>
        <w:t>ec</w:t>
      </w:r>
      <w:r w:rsidR="00C52937">
        <w:rPr>
          <w:szCs w:val="20"/>
        </w:rPr>
        <w:t>eding six month</w:t>
      </w:r>
      <w:r w:rsidR="004B5C82">
        <w:rPr>
          <w:szCs w:val="20"/>
        </w:rPr>
        <w:t>s</w:t>
      </w:r>
      <w:r w:rsidR="00C52937">
        <w:rPr>
          <w:szCs w:val="20"/>
        </w:rPr>
        <w:t xml:space="preserve">, </w:t>
      </w:r>
      <w:r w:rsidR="00321C51">
        <w:rPr>
          <w:szCs w:val="20"/>
        </w:rPr>
        <w:t>that</w:t>
      </w:r>
      <w:r w:rsidR="00E076E5">
        <w:rPr>
          <w:szCs w:val="20"/>
        </w:rPr>
        <w:t xml:space="preserve"> predict </w:t>
      </w:r>
      <w:proofErr w:type="spellStart"/>
      <w:r w:rsidR="00321C51">
        <w:rPr>
          <w:szCs w:val="20"/>
        </w:rPr>
        <w:t>i</w:t>
      </w:r>
      <w:r w:rsidR="00E076E5">
        <w:rPr>
          <w:szCs w:val="20"/>
        </w:rPr>
        <w:t>PTH</w:t>
      </w:r>
      <w:proofErr w:type="spellEnd"/>
      <w:r w:rsidR="00E076E5">
        <w:rPr>
          <w:szCs w:val="20"/>
        </w:rPr>
        <w:t xml:space="preserve"> concentration at the </w:t>
      </w:r>
      <w:r w:rsidR="00321C51">
        <w:rPr>
          <w:szCs w:val="20"/>
        </w:rPr>
        <w:t>time</w:t>
      </w:r>
      <w:r w:rsidR="00E076E5">
        <w:rPr>
          <w:szCs w:val="20"/>
        </w:rPr>
        <w:t xml:space="preserve"> of calcium mass balance </w:t>
      </w:r>
      <w:r w:rsidR="00321C51">
        <w:rPr>
          <w:szCs w:val="20"/>
        </w:rPr>
        <w:t>assessment</w:t>
      </w:r>
      <w:r w:rsidR="00E076E5">
        <w:rPr>
          <w:szCs w:val="20"/>
        </w:rPr>
        <w:t xml:space="preserve">. </w:t>
      </w:r>
      <w:r w:rsidR="009117CA" w:rsidRPr="00231853">
        <w:rPr>
          <w:szCs w:val="20"/>
        </w:rPr>
        <w:t xml:space="preserve">The core of the optimization algorithm </w:t>
      </w:r>
      <w:r w:rsidR="009117CA">
        <w:rPr>
          <w:szCs w:val="20"/>
        </w:rPr>
        <w:t xml:space="preserve">is </w:t>
      </w:r>
      <w:r w:rsidR="009117CA" w:rsidRPr="00231853">
        <w:rPr>
          <w:szCs w:val="20"/>
        </w:rPr>
        <w:t>find</w:t>
      </w:r>
      <w:r w:rsidR="009117CA">
        <w:rPr>
          <w:szCs w:val="20"/>
        </w:rPr>
        <w:t>ing</w:t>
      </w:r>
      <w:r w:rsidR="009117CA" w:rsidRPr="00231853">
        <w:rPr>
          <w:szCs w:val="20"/>
        </w:rPr>
        <w:t xml:space="preserve"> reasonable estimates </w:t>
      </w:r>
      <w:r w:rsidR="00321C51">
        <w:rPr>
          <w:szCs w:val="20"/>
        </w:rPr>
        <w:t xml:space="preserve">for </w:t>
      </w:r>
      <w:r>
        <w:rPr>
          <w:szCs w:val="20"/>
        </w:rPr>
        <w:t xml:space="preserve">the individual optimal </w:t>
      </w:r>
      <w:proofErr w:type="spellStart"/>
      <w:proofErr w:type="gramStart"/>
      <w:r>
        <w:rPr>
          <w:szCs w:val="20"/>
        </w:rPr>
        <w:t>iCa</w:t>
      </w:r>
      <w:proofErr w:type="spellEnd"/>
      <w:proofErr w:type="gramEnd"/>
      <w:r>
        <w:rPr>
          <w:szCs w:val="20"/>
        </w:rPr>
        <w:t xml:space="preserve"> and phosphate values</w:t>
      </w:r>
      <w:r w:rsidR="00E04B8F">
        <w:rPr>
          <w:szCs w:val="20"/>
        </w:rPr>
        <w:t xml:space="preserve"> as well as </w:t>
      </w:r>
      <w:r w:rsidR="00FF31F9">
        <w:rPr>
          <w:szCs w:val="20"/>
        </w:rPr>
        <w:t>PTG gland size, intracellular degradation rate, PTH production rate, and PTH clearance rate</w:t>
      </w:r>
      <w:r w:rsidR="009117CA" w:rsidRPr="00231853">
        <w:rPr>
          <w:szCs w:val="20"/>
        </w:rPr>
        <w:t xml:space="preserve">. While the stimulus of the VDR depends on the optimal calcitriol concentration, the stimulus is less sensitive to deviations from the optimal values. Therefore, we assume a constant optimal calcitriol concentration of 37.5 ng/ml. Since there were no calcitriol measurements available in the laboratory database, we roughly estimate calcitriol levels based on the medical record. </w:t>
      </w:r>
    </w:p>
    <w:p w14:paraId="305B64AE" w14:textId="57486DCA" w:rsidR="00DB0DB6" w:rsidRPr="00231853" w:rsidRDefault="00DB0DB6" w:rsidP="009117CA">
      <w:pPr>
        <w:rPr>
          <w:szCs w:val="20"/>
          <w:vertAlign w:val="superscript"/>
        </w:rPr>
      </w:pPr>
      <w:r>
        <w:rPr>
          <w:szCs w:val="20"/>
        </w:rPr>
        <w:t xml:space="preserve">It is worth noting that </w:t>
      </w:r>
      <w:r w:rsidR="007827A4">
        <w:rPr>
          <w:szCs w:val="20"/>
        </w:rPr>
        <w:t xml:space="preserve">without restrictions, </w:t>
      </w:r>
      <w:r>
        <w:rPr>
          <w:szCs w:val="20"/>
        </w:rPr>
        <w:t>the parameters are not identifiable, i.e.</w:t>
      </w:r>
      <w:r w:rsidR="00E076E5">
        <w:rPr>
          <w:szCs w:val="20"/>
        </w:rPr>
        <w:t>,</w:t>
      </w:r>
      <w:r>
        <w:rPr>
          <w:szCs w:val="20"/>
        </w:rPr>
        <w:t xml:space="preserve"> different combinations of parameters might lead to the same PTH value at the time of the calcium mass balance </w:t>
      </w:r>
      <w:r w:rsidR="00B11E16">
        <w:rPr>
          <w:szCs w:val="20"/>
        </w:rPr>
        <w:t>assessment</w:t>
      </w:r>
      <w:r>
        <w:rPr>
          <w:szCs w:val="20"/>
        </w:rPr>
        <w:t xml:space="preserve">. However, there are reasonable assumptions described below that restrict the sets of eligible parameters. </w:t>
      </w:r>
    </w:p>
    <w:p w14:paraId="6E503EEE" w14:textId="10A8C94F" w:rsidR="009117CA" w:rsidRPr="00231853" w:rsidRDefault="00B22FE8" w:rsidP="009117CA">
      <w:pPr>
        <w:rPr>
          <w:szCs w:val="20"/>
        </w:rPr>
      </w:pPr>
      <w:r>
        <w:rPr>
          <w:szCs w:val="20"/>
        </w:rPr>
        <w:t>First, w</w:t>
      </w:r>
      <w:r w:rsidR="009117CA" w:rsidRPr="00231853">
        <w:rPr>
          <w:szCs w:val="20"/>
        </w:rPr>
        <w:t>e estimate the PTH release rate</w:t>
      </w:r>
      <w:r w:rsidR="009117CA" w:rsidRPr="00283722">
        <w:rPr>
          <w:szCs w:val="20"/>
        </w:rPr>
        <w:t xml:space="preserve"> (</w:t>
      </w:r>
      <m:oMath>
        <m:r>
          <w:rPr>
            <w:rFonts w:ascii="Cambria Math" w:hAnsi="Cambria Math"/>
            <w:szCs w:val="20"/>
          </w:rPr>
          <m:t>r</m:t>
        </m:r>
      </m:oMath>
      <w:r w:rsidR="009117CA" w:rsidRPr="00283722">
        <w:rPr>
          <w:szCs w:val="20"/>
        </w:rPr>
        <w:t xml:space="preserve">), </w:t>
      </w:r>
      <w:r w:rsidR="009117CA" w:rsidRPr="00231853">
        <w:rPr>
          <w:szCs w:val="20"/>
        </w:rPr>
        <w:t>number of secretory cells</w:t>
      </w:r>
      <w:r w:rsidR="009117CA" w:rsidRPr="00283722">
        <w:rPr>
          <w:szCs w:val="20"/>
        </w:rPr>
        <w:t xml:space="preserve"> (</w:t>
      </w:r>
      <m:oMath>
        <m:r>
          <w:rPr>
            <w:rFonts w:ascii="Cambria Math" w:hAnsi="Cambria Math"/>
            <w:szCs w:val="20"/>
          </w:rPr>
          <m:t>S</m:t>
        </m:r>
      </m:oMath>
      <w:r w:rsidR="009117CA" w:rsidRPr="00283722">
        <w:rPr>
          <w:szCs w:val="20"/>
        </w:rPr>
        <w:t xml:space="preserve">), </w:t>
      </w:r>
      <w:r w:rsidR="009117CA" w:rsidRPr="00231853">
        <w:rPr>
          <w:szCs w:val="20"/>
        </w:rPr>
        <w:t xml:space="preserve">intracellular degradation </w:t>
      </w:r>
      <w:proofErr w:type="gramStart"/>
      <w:r w:rsidR="009117CA" w:rsidRPr="00231853">
        <w:rPr>
          <w:szCs w:val="20"/>
        </w:rPr>
        <w:t xml:space="preserve">rate </w:t>
      </w:r>
      <w:proofErr w:type="gramEnd"/>
      <m:oMath>
        <m:r>
          <w:rPr>
            <w:rFonts w:ascii="Cambria Math" w:hAnsi="Cambria Math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Cs w:val="20"/>
              </w:rPr>
              <m:t>d</m:t>
            </m:r>
          </m:sub>
        </m:sSub>
      </m:oMath>
      <w:r w:rsidR="009117CA" w:rsidRPr="00283722">
        <w:rPr>
          <w:szCs w:val="20"/>
        </w:rPr>
        <w:t>)</w:t>
      </w:r>
      <w:r w:rsidR="009117CA" w:rsidRPr="00231853">
        <w:rPr>
          <w:szCs w:val="20"/>
        </w:rPr>
        <w:t xml:space="preserve">, and production rate </w:t>
      </w:r>
      <w:r w:rsidR="009117CA" w:rsidRPr="00283722">
        <w:rPr>
          <w:szCs w:val="20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Cs w:val="20"/>
              </w:rPr>
              <m:t>p</m:t>
            </m:r>
          </m:sub>
        </m:sSub>
      </m:oMath>
      <w:r w:rsidR="009117CA" w:rsidRPr="00283722">
        <w:rPr>
          <w:szCs w:val="20"/>
        </w:rPr>
        <w:t xml:space="preserve">) </w:t>
      </w:r>
      <w:r w:rsidR="009117CA" w:rsidRPr="00231853">
        <w:rPr>
          <w:szCs w:val="20"/>
        </w:rPr>
        <w:t>by calculating the steady state of the PTH core model, i.e.</w:t>
      </w:r>
    </w:p>
    <w:p w14:paraId="178B359C" w14:textId="77777777" w:rsidR="009117CA" w:rsidRPr="00283722" w:rsidRDefault="009117CA" w:rsidP="009117CA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0=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k</m:t>
              </m:r>
            </m:e>
            <m:sub>
              <m:r>
                <w:rPr>
                  <w:rFonts w:ascii="Cambria Math" w:hAnsi="Cambria Math"/>
                  <w:szCs w:val="20"/>
                </w:rPr>
                <m:t>p</m:t>
              </m:r>
            </m:sub>
          </m:sSub>
          <m:r>
            <w:rPr>
              <w:rFonts w:ascii="Cambria Math" w:hAnsi="Cambria Math"/>
              <w:szCs w:val="20"/>
            </w:rPr>
            <m:t>∙S-r∙PTG-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k</m:t>
              </m:r>
            </m:e>
            <m:sub>
              <m:r>
                <w:rPr>
                  <w:rFonts w:ascii="Cambria Math" w:hAnsi="Cambria Math"/>
                  <w:szCs w:val="20"/>
                </w:rPr>
                <m:t>d</m:t>
              </m:r>
            </m:sub>
          </m:sSub>
          <m:r>
            <w:rPr>
              <w:rFonts w:ascii="Cambria Math" w:hAnsi="Cambria Math"/>
              <w:szCs w:val="20"/>
            </w:rPr>
            <m:t>⋅PTG,</m:t>
          </m:r>
        </m:oMath>
      </m:oMathPara>
    </w:p>
    <w:p w14:paraId="529472F8" w14:textId="77777777" w:rsidR="009117CA" w:rsidRPr="00283722" w:rsidRDefault="009117CA" w:rsidP="00626A09">
      <w:pPr>
        <w:jc w:val="center"/>
        <w:rPr>
          <w:szCs w:val="20"/>
        </w:rPr>
      </w:pPr>
      <m:oMath>
        <m:r>
          <w:rPr>
            <w:rFonts w:ascii="Cambria Math" w:hAnsi="Cambria Math"/>
            <w:szCs w:val="20"/>
          </w:rPr>
          <m:t>0=r⋅PTG-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Cs w:val="20"/>
              </w:rPr>
              <m:t>cl</m:t>
            </m:r>
          </m:sub>
        </m:sSub>
        <m:r>
          <w:rPr>
            <w:rFonts w:ascii="Cambria Math" w:hAnsi="Cambria Math"/>
            <w:szCs w:val="20"/>
          </w:rPr>
          <m:t>⋅PTH</m:t>
        </m:r>
      </m:oMath>
      <w:r w:rsidRPr="00283722">
        <w:rPr>
          <w:szCs w:val="20"/>
        </w:rPr>
        <w:t>,</w:t>
      </w:r>
    </w:p>
    <w:p w14:paraId="240B7102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t xml:space="preserve">under the following restrictions: </w:t>
      </w:r>
    </w:p>
    <w:p w14:paraId="65FB1631" w14:textId="363F96E5" w:rsidR="009117CA" w:rsidRPr="00283722" w:rsidRDefault="00626A09" w:rsidP="009117CA">
      <w:pPr>
        <w:rPr>
          <w:szCs w:val="20"/>
        </w:rPr>
      </w:pPr>
      <w:r>
        <w:rPr>
          <w:szCs w:val="20"/>
        </w:rPr>
        <w:t>T</w:t>
      </w:r>
      <w:r w:rsidR="009117CA" w:rsidRPr="00231853">
        <w:rPr>
          <w:szCs w:val="20"/>
        </w:rPr>
        <w:t>he basal rate of</w:t>
      </w:r>
      <w:r w:rsidR="009117CA"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r is</m:t>
        </m:r>
      </m:oMath>
      <w:r w:rsidR="009117CA"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 xml:space="preserve">B= </m:t>
        </m:r>
      </m:oMath>
      <w:r w:rsidR="009117CA" w:rsidRPr="00231853">
        <w:rPr>
          <w:szCs w:val="20"/>
        </w:rPr>
        <w:t>0.06 pmol/h, the maximal value</w:t>
      </w:r>
      <w:r w:rsidR="009117CA" w:rsidRPr="00283722">
        <w:rPr>
          <w:szCs w:val="20"/>
        </w:rPr>
        <w:t xml:space="preserve">  </w:t>
      </w:r>
      <m:oMath>
        <m:r>
          <w:rPr>
            <w:rFonts w:ascii="Cambria Math" w:hAnsi="Cambria Math"/>
            <w:szCs w:val="20"/>
          </w:rPr>
          <m:t xml:space="preserve">A= </m:t>
        </m:r>
      </m:oMath>
      <w:r w:rsidR="009117CA" w:rsidRPr="00231853">
        <w:rPr>
          <w:szCs w:val="20"/>
        </w:rPr>
        <w:t>7.2 pmol/h</w:t>
      </w:r>
      <w:r w:rsidR="009117CA">
        <w:rPr>
          <w:szCs w:val="20"/>
        </w:rPr>
        <w:t xml:space="preserve"> </w:t>
      </w:r>
      <w:r w:rsidR="00ED1D7D" w:rsidRPr="00231853">
        <w:rPr>
          <w:lang w:eastAsia="de-CH"/>
        </w:rPr>
        <w:fldChar w:fldCharType="begin"/>
      </w:r>
      <w:r w:rsidR="00ED1D7D">
        <w:rPr>
          <w:lang w:eastAsia="de-CH"/>
        </w:rPr>
        <w:instrText xml:space="preserve"> ADDIN EN.CITE &lt;EndNote&gt;&lt;Cite&gt;&lt;Author&gt;Schappacher-Tilp&lt;/Author&gt;&lt;Year&gt;2019&lt;/Year&gt;&lt;RecNum&gt;0&lt;/RecNum&gt;&lt;IDText&gt;A mathematical model of parathyroid gland biology&lt;/IDText&gt;&lt;DisplayText&gt;(Schappacher-Tilp et al., 2019)&lt;/DisplayText&gt;&lt;record&gt;&lt;dates&gt;&lt;pub-dates&gt;&lt;date&gt;04&lt;/date&gt;&lt;/pub-dates&gt;&lt;year&gt;2019&lt;/year&gt;&lt;/dates&gt;&lt;keywords&gt;&lt;keyword&gt;Calcium&lt;/keyword&gt;&lt;keyword&gt;Humans&lt;/keyword&gt;&lt;keyword&gt;Hyperparathyroidism, Secondary&lt;/keyword&gt;&lt;keyword&gt;Models, Theoretical&lt;/keyword&gt;&lt;keyword&gt;Parathyroid Glands&lt;/keyword&gt;&lt;keyword&gt;Parathyroid Hormone&lt;/keyword&gt;&lt;keyword&gt;Renal Dialysis&lt;/keyword&gt;&lt;keyword&gt;Renal Insufficiency, Chronic&lt;/keyword&gt;&lt;keyword&gt;Calcium-sensing receptor&lt;/keyword&gt;&lt;keyword&gt;Mathematical model&lt;/keyword&gt;&lt;keyword&gt;Parathyroid gland&lt;/keyword&gt;&lt;keyword&gt;Parathyroid hormone&lt;/keyword&gt;&lt;/keywords&gt;&lt;urls&gt;&lt;related-urls&gt;&lt;url&gt;https://www.ncbi.nlm.nih.gov/pubmed/30927339&lt;/url&gt;&lt;/related-urls&gt;&lt;/urls&gt;&lt;isbn&gt;2051-817X&lt;/isbn&gt;&lt;custom2&gt;PMC6440916&lt;/custom2&gt;&lt;titles&gt;&lt;title&gt;A mathematical model of parathyroid gland biology&lt;/title&gt;&lt;secondary-title&gt;Physiol Rep&lt;/secondary-title&gt;&lt;/titles&gt;&lt;pages&gt;e14045&lt;/pages&gt;&lt;number&gt;7&lt;/number&gt;&lt;contributors&gt;&lt;authors&gt;&lt;author&gt;Schappacher-Tilp, G.&lt;/author&gt;&lt;author&gt;Cherif, A.&lt;/author&gt;&lt;author&gt;Fuertinger, D. H.&lt;/author&gt;&lt;author&gt;Bushinsky, D.&lt;/author&gt;&lt;author&gt;Kotanko, P.&lt;/author&gt;&lt;/authors&gt;&lt;/contributors&gt;&lt;language&gt;eng&lt;/language&gt;&lt;added-date format="utc"&gt;1610611846&lt;/added-date&gt;&lt;ref-type name="Journal Article"&gt;17&lt;/ref-type&gt;&lt;rec-number&gt;430&lt;/rec-number&gt;&lt;last-updated-date format="utc"&gt;1610611846&lt;/last-updated-date&gt;&lt;accession-num&gt;30927339&lt;/accession-num&gt;&lt;electronic-resource-num&gt;10.14814/phy2.14045&lt;/electronic-resource-num&gt;&lt;volume&gt;7&lt;/volume&gt;&lt;/record&gt;&lt;/Cite&gt;&lt;/EndNote&gt;</w:instrText>
      </w:r>
      <w:r w:rsidR="00ED1D7D" w:rsidRPr="00231853">
        <w:rPr>
          <w:lang w:eastAsia="de-CH"/>
        </w:rPr>
        <w:fldChar w:fldCharType="separate"/>
      </w:r>
      <w:r w:rsidR="00ED1D7D">
        <w:rPr>
          <w:noProof/>
          <w:lang w:eastAsia="de-CH"/>
        </w:rPr>
        <w:t>(Shrestha et al., 2010)</w:t>
      </w:r>
      <w:r w:rsidR="00ED1D7D" w:rsidRPr="00231853">
        <w:rPr>
          <w:lang w:eastAsia="de-CH"/>
        </w:rPr>
        <w:fldChar w:fldCharType="end"/>
      </w:r>
      <w:r w:rsidR="009117CA">
        <w:rPr>
          <w:szCs w:val="20"/>
        </w:rPr>
        <w:t xml:space="preserve">. </w:t>
      </w:r>
      <w:r w:rsidR="009117CA" w:rsidRPr="000D5071">
        <w:rPr>
          <w:szCs w:val="20"/>
        </w:rPr>
        <w:t xml:space="preserve">The basal production rate is </w:t>
      </w:r>
      <m:oMath>
        <m:r>
          <m:rPr>
            <m:sty m:val="p"/>
          </m:rPr>
          <w:rPr>
            <w:rFonts w:ascii="Cambria Math" w:hAnsi="Cambria Math"/>
            <w:szCs w:val="20"/>
          </w:rPr>
          <m:t>3.96</m:t>
        </m:r>
        <m:r>
          <w:rPr>
            <w:rFonts w:ascii="Cambria Math" w:hAnsi="Cambria Math"/>
            <w:szCs w:val="20"/>
          </w:rPr>
          <m:t>⋅</m:t>
        </m:r>
        <m:sSup>
          <m:sSupPr>
            <m:ctrlPr>
              <w:rPr>
                <w:rFonts w:ascii="Cambria Math" w:hAnsi="Cambria Math"/>
                <w:i/>
                <w:szCs w:val="20"/>
              </w:rPr>
            </m:ctrlPr>
          </m:sSupPr>
          <m:e>
            <m:r>
              <w:rPr>
                <w:rFonts w:ascii="Cambria Math" w:hAnsi="Cambria Math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Cs w:val="20"/>
              </w:rPr>
              <m:t>3</m:t>
            </m:r>
          </m:sup>
        </m:sSup>
      </m:oMath>
      <w:r w:rsidR="009117CA">
        <w:rPr>
          <w:rFonts w:eastAsiaTheme="minorEastAsia"/>
          <w:szCs w:val="20"/>
        </w:rPr>
        <w:t xml:space="preserve"> </w:t>
      </w:r>
      <w:r w:rsidR="009117CA" w:rsidRPr="00231853">
        <w:rPr>
          <w:lang w:eastAsia="de-CH"/>
        </w:rPr>
        <w:fldChar w:fldCharType="begin"/>
      </w:r>
      <w:r w:rsidR="009117CA">
        <w:rPr>
          <w:lang w:eastAsia="de-CH"/>
        </w:rPr>
        <w:instrText xml:space="preserve"> ADDIN EN.CITE &lt;EndNote&gt;&lt;Cite&gt;&lt;Author&gt;Schappacher-Tilp&lt;/Author&gt;&lt;Year&gt;2019&lt;/Year&gt;&lt;RecNum&gt;0&lt;/RecNum&gt;&lt;IDText&gt;A mathematical model of parathyroid gland biology&lt;/IDText&gt;&lt;DisplayText&gt;(Schappacher-Tilp et al., 2019)&lt;/DisplayText&gt;&lt;record&gt;&lt;dates&gt;&lt;pub-dates&gt;&lt;date&gt;04&lt;/date&gt;&lt;/pub-dates&gt;&lt;year&gt;2019&lt;/year&gt;&lt;/dates&gt;&lt;keywords&gt;&lt;keyword&gt;Calcium&lt;/keyword&gt;&lt;keyword&gt;Humans&lt;/keyword&gt;&lt;keyword&gt;Hyperparathyroidism, Secondary&lt;/keyword&gt;&lt;keyword&gt;Models, Theoretical&lt;/keyword&gt;&lt;keyword&gt;Parathyroid Glands&lt;/keyword&gt;&lt;keyword&gt;Parathyroid Hormone&lt;/keyword&gt;&lt;keyword&gt;Renal Dialysis&lt;/keyword&gt;&lt;keyword&gt;Renal Insufficiency, Chronic&lt;/keyword&gt;&lt;keyword&gt;Calcium-sensing receptor&lt;/keyword&gt;&lt;keyword&gt;Mathematical model&lt;/keyword&gt;&lt;keyword&gt;Parathyroid gland&lt;/keyword&gt;&lt;keyword&gt;Parathyroid hormone&lt;/keyword&gt;&lt;/keywords&gt;&lt;urls&gt;&lt;related-urls&gt;&lt;url&gt;https://www.ncbi.nlm.nih.gov/pubmed/30927339&lt;/url&gt;&lt;/related-urls&gt;&lt;/urls&gt;&lt;isbn&gt;2051-817X&lt;/isbn&gt;&lt;custom2&gt;PMC6440916&lt;/custom2&gt;&lt;titles&gt;&lt;title&gt;A mathematical model of parathyroid gland biology&lt;/title&gt;&lt;secondary-title&gt;Physiol Rep&lt;/secondary-title&gt;&lt;/titles&gt;&lt;pages&gt;e14045&lt;/pages&gt;&lt;number&gt;7&lt;/number&gt;&lt;contributors&gt;&lt;authors&gt;&lt;author&gt;Schappacher-Tilp, G.&lt;/author&gt;&lt;author&gt;Cherif, A.&lt;/author&gt;&lt;author&gt;Fuertinger, D. H.&lt;/author&gt;&lt;author&gt;Bushinsky, D.&lt;/author&gt;&lt;author&gt;Kotanko, P.&lt;/author&gt;&lt;/authors&gt;&lt;/contributors&gt;&lt;language&gt;eng&lt;/language&gt;&lt;added-date format="utc"&gt;1610611846&lt;/added-date&gt;&lt;ref-type name="Journal Article"&gt;17&lt;/ref-type&gt;&lt;rec-number&gt;430&lt;/rec-number&gt;&lt;last-updated-date format="utc"&gt;1610611846&lt;/last-updated-date&gt;&lt;accession-num&gt;30927339&lt;/accession-num&gt;&lt;electronic-resource-num&gt;10.14814/phy2.14045&lt;/electronic-resource-num&gt;&lt;volume&gt;7&lt;/volume&gt;&lt;/record&gt;&lt;/Cite&gt;&lt;/EndNote&gt;</w:instrText>
      </w:r>
      <w:r w:rsidR="009117CA" w:rsidRPr="00231853">
        <w:rPr>
          <w:lang w:eastAsia="de-CH"/>
        </w:rPr>
        <w:fldChar w:fldCharType="separate"/>
      </w:r>
      <w:r w:rsidR="009117CA">
        <w:rPr>
          <w:noProof/>
          <w:lang w:eastAsia="de-CH"/>
        </w:rPr>
        <w:t>(Shrestha et al., 2010)</w:t>
      </w:r>
      <w:r w:rsidR="009117CA" w:rsidRPr="00231853">
        <w:rPr>
          <w:lang w:eastAsia="de-CH"/>
        </w:rPr>
        <w:fldChar w:fldCharType="end"/>
      </w:r>
      <w:r w:rsidR="009117CA" w:rsidRPr="000F5557">
        <w:rPr>
          <w:szCs w:val="20"/>
        </w:rPr>
        <w:t xml:space="preserve">. </w:t>
      </w:r>
      <w:r w:rsidR="009117CA" w:rsidRPr="00231853">
        <w:rPr>
          <w:szCs w:val="20"/>
        </w:rPr>
        <w:t xml:space="preserve">The production rate can increase </w:t>
      </w:r>
      <w:r w:rsidR="009117CA">
        <w:rPr>
          <w:szCs w:val="20"/>
        </w:rPr>
        <w:t xml:space="preserve">by </w:t>
      </w:r>
      <w:r w:rsidR="009117CA" w:rsidRPr="00231853">
        <w:rPr>
          <w:szCs w:val="20"/>
        </w:rPr>
        <w:t>maximal two-fold. The basal intracellular degradation rate is</w:t>
      </w:r>
      <w:r w:rsidR="009117CA" w:rsidRPr="00283722">
        <w:rPr>
          <w:szCs w:val="20"/>
        </w:rPr>
        <w:t xml:space="preserve"> </w:t>
      </w:r>
      <w:r w:rsidR="009117CA" w:rsidRPr="00231853">
        <w:rPr>
          <w:szCs w:val="20"/>
        </w:rPr>
        <w:t xml:space="preserve">0.72 </w:t>
      </w:r>
      <w:proofErr w:type="spellStart"/>
      <w:r w:rsidR="009117CA" w:rsidRPr="00231853">
        <w:rPr>
          <w:szCs w:val="20"/>
        </w:rPr>
        <w:t>pmol</w:t>
      </w:r>
      <w:proofErr w:type="spellEnd"/>
      <w:r w:rsidR="009117CA" w:rsidRPr="00231853">
        <w:rPr>
          <w:szCs w:val="20"/>
        </w:rPr>
        <w:t>/h, and it can decrease to a half of this value</w:t>
      </w:r>
      <w:r w:rsidR="009117CA">
        <w:t xml:space="preserve"> </w:t>
      </w:r>
      <w:r w:rsidR="009117CA" w:rsidRPr="00231853">
        <w:rPr>
          <w:lang w:eastAsia="de-CH"/>
        </w:rPr>
        <w:fldChar w:fldCharType="begin"/>
      </w:r>
      <w:r w:rsidR="009117CA">
        <w:rPr>
          <w:lang w:eastAsia="de-CH"/>
        </w:rPr>
        <w:instrText xml:space="preserve"> ADDIN EN.CITE &lt;EndNote&gt;&lt;Cite&gt;&lt;Author&gt;Schappacher-Tilp&lt;/Author&gt;&lt;Year&gt;2019&lt;/Year&gt;&lt;RecNum&gt;0&lt;/RecNum&gt;&lt;IDText&gt;A mathematical model of parathyroid gland biology&lt;/IDText&gt;&lt;DisplayText&gt;(Schappacher-Tilp et al., 2019)&lt;/DisplayText&gt;&lt;record&gt;&lt;dates&gt;&lt;pub-dates&gt;&lt;date&gt;04&lt;/date&gt;&lt;/pub-dates&gt;&lt;year&gt;2019&lt;/year&gt;&lt;/dates&gt;&lt;keywords&gt;&lt;keyword&gt;Calcium&lt;/keyword&gt;&lt;keyword&gt;Humans&lt;/keyword&gt;&lt;keyword&gt;Hyperparathyroidism, Secondary&lt;/keyword&gt;&lt;keyword&gt;Models, Theoretical&lt;/keyword&gt;&lt;keyword&gt;Parathyroid Glands&lt;/keyword&gt;&lt;keyword&gt;Parathyroid Hormone&lt;/keyword&gt;&lt;keyword&gt;Renal Dialysis&lt;/keyword&gt;&lt;keyword&gt;Renal Insufficiency, Chronic&lt;/keyword&gt;&lt;keyword&gt;Calcium-sensing receptor&lt;/keyword&gt;&lt;keyword&gt;Mathematical model&lt;/keyword&gt;&lt;keyword&gt;Parathyroid gland&lt;/keyword&gt;&lt;keyword&gt;Parathyroid hormone&lt;/keyword&gt;&lt;/keywords&gt;&lt;urls&gt;&lt;related-urls&gt;&lt;url&gt;https://www.ncbi.nlm.nih.gov/pubmed/30927339&lt;/url&gt;&lt;/related-urls&gt;&lt;/urls&gt;&lt;isbn&gt;2051-817X&lt;/isbn&gt;&lt;custom2&gt;PMC6440916&lt;/custom2&gt;&lt;titles&gt;&lt;title&gt;A mathematical model of parathyroid gland biology&lt;/title&gt;&lt;secondary-title&gt;Physiol Rep&lt;/secondary-title&gt;&lt;/titles&gt;&lt;pages&gt;e14045&lt;/pages&gt;&lt;number&gt;7&lt;/number&gt;&lt;contributors&gt;&lt;authors&gt;&lt;author&gt;Schappacher-Tilp, G.&lt;/author&gt;&lt;author&gt;Cherif, A.&lt;/author&gt;&lt;author&gt;Fuertinger, D. H.&lt;/author&gt;&lt;author&gt;Bushinsky, D.&lt;/author&gt;&lt;author&gt;Kotanko, P.&lt;/author&gt;&lt;/authors&gt;&lt;/contributors&gt;&lt;language&gt;eng&lt;/language&gt;&lt;added-date format="utc"&gt;1610611846&lt;/added-date&gt;&lt;ref-type name="Journal Article"&gt;17&lt;/ref-type&gt;&lt;rec-number&gt;430&lt;/rec-number&gt;&lt;last-updated-date format="utc"&gt;1610611846&lt;/last-updated-date&gt;&lt;accession-num&gt;30927339&lt;/accession-num&gt;&lt;electronic-resource-num&gt;10.14814/phy2.14045&lt;/electronic-resource-num&gt;&lt;volume&gt;7&lt;/volume&gt;&lt;/record&gt;&lt;/Cite&gt;&lt;/EndNote&gt;</w:instrText>
      </w:r>
      <w:r w:rsidR="009117CA" w:rsidRPr="00231853">
        <w:rPr>
          <w:lang w:eastAsia="de-CH"/>
        </w:rPr>
        <w:fldChar w:fldCharType="separate"/>
      </w:r>
      <w:r w:rsidR="009117CA">
        <w:rPr>
          <w:noProof/>
          <w:lang w:eastAsia="de-CH"/>
        </w:rPr>
        <w:t>(Brown et al., 2015)</w:t>
      </w:r>
      <w:r w:rsidR="009117CA" w:rsidRPr="00231853">
        <w:rPr>
          <w:lang w:eastAsia="de-CH"/>
        </w:rPr>
        <w:fldChar w:fldCharType="end"/>
      </w:r>
      <w:r w:rsidR="009117CA" w:rsidRPr="00283722">
        <w:rPr>
          <w:szCs w:val="20"/>
        </w:rPr>
        <w:t xml:space="preserve">. </w:t>
      </w:r>
    </w:p>
    <w:p w14:paraId="6C8F460A" w14:textId="7A7C416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lastRenderedPageBreak/>
        <w:t>The basal clearance rate is 37.92/h</w:t>
      </w:r>
      <w:r>
        <w:t xml:space="preserve"> (</w:t>
      </w:r>
      <w:r>
        <w:rPr>
          <w:noProof/>
          <w:lang w:eastAsia="de-CH"/>
        </w:rPr>
        <w:t>Shrestha et al., 2010)</w:t>
      </w:r>
      <w:r w:rsidRPr="00231853">
        <w:rPr>
          <w:szCs w:val="20"/>
        </w:rPr>
        <w:t xml:space="preserve">. We assume that the clearance rate is reduced by at least 25% and cannot be reduced by more than 85%. The minimum clearance rate due to clearance by the liver could be adjusted in case of hepatic diseases. </w:t>
      </w:r>
    </w:p>
    <w:p w14:paraId="4F7EF195" w14:textId="408C95B3" w:rsidR="009117CA" w:rsidRPr="00283722" w:rsidRDefault="009117CA" w:rsidP="009117CA">
      <w:pPr>
        <w:rPr>
          <w:szCs w:val="20"/>
        </w:rPr>
      </w:pPr>
      <w:r w:rsidRPr="00231853">
        <w:rPr>
          <w:szCs w:val="20"/>
        </w:rPr>
        <w:t xml:space="preserve">The (normalized) number of cells in the secretory active state at a healthy steady state </w:t>
      </w:r>
      <m:oMath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20"/>
          </w:rPr>
          <m:t xml:space="preserve"> </m:t>
        </m:r>
      </m:oMath>
      <w:r w:rsidRPr="00231853">
        <w:rPr>
          <w:szCs w:val="20"/>
        </w:rPr>
        <w:t xml:space="preserve">is 0.19344. If the average of the last </w:t>
      </w:r>
      <w:proofErr w:type="spellStart"/>
      <w:r w:rsidRPr="00231853">
        <w:rPr>
          <w:szCs w:val="20"/>
        </w:rPr>
        <w:t>iPTH</w:t>
      </w:r>
      <w:proofErr w:type="spellEnd"/>
      <w:r w:rsidRPr="00231853">
        <w:rPr>
          <w:szCs w:val="20"/>
        </w:rPr>
        <w:t xml:space="preserve"> measurements before the </w:t>
      </w:r>
      <w:r w:rsidR="00C568E5">
        <w:rPr>
          <w:szCs w:val="20"/>
        </w:rPr>
        <w:t xml:space="preserve">ionized </w:t>
      </w:r>
      <w:r w:rsidR="00C568E5">
        <w:rPr>
          <w:szCs w:val="20"/>
          <w:lang w:eastAsia="de-CH"/>
        </w:rPr>
        <w:t>calcium mass balance</w:t>
      </w:r>
      <w:r w:rsidR="00C568E5" w:rsidRPr="00231853">
        <w:rPr>
          <w:szCs w:val="20"/>
          <w:lang w:eastAsia="de-CH"/>
        </w:rPr>
        <w:t xml:space="preserve"> </w:t>
      </w:r>
      <w:r w:rsidR="00C568E5">
        <w:rPr>
          <w:szCs w:val="20"/>
          <w:lang w:eastAsia="de-CH"/>
        </w:rPr>
        <w:t>(</w:t>
      </w:r>
      <w:proofErr w:type="spellStart"/>
      <w:r w:rsidR="00C568E5" w:rsidRPr="00231853">
        <w:rPr>
          <w:szCs w:val="20"/>
          <w:lang w:eastAsia="de-CH"/>
        </w:rPr>
        <w:t>iCaMB</w:t>
      </w:r>
      <w:proofErr w:type="spellEnd"/>
      <w:r w:rsidR="00C568E5">
        <w:rPr>
          <w:szCs w:val="20"/>
          <w:lang w:eastAsia="de-CH"/>
        </w:rPr>
        <w:t>)</w:t>
      </w:r>
      <w:r w:rsidR="00C568E5" w:rsidRPr="00231853">
        <w:rPr>
          <w:szCs w:val="20"/>
          <w:lang w:eastAsia="de-CH"/>
        </w:rPr>
        <w:t xml:space="preserve"> </w:t>
      </w:r>
      <w:r w:rsidRPr="00231853">
        <w:rPr>
          <w:szCs w:val="20"/>
          <w:lang w:eastAsia="de-CH"/>
        </w:rPr>
        <w:t xml:space="preserve">assessment </w:t>
      </w:r>
      <w:r w:rsidRPr="00231853">
        <w:rPr>
          <w:szCs w:val="20"/>
        </w:rPr>
        <w:t xml:space="preserve">was smaller than 150 </w:t>
      </w:r>
      <w:proofErr w:type="spellStart"/>
      <w:r w:rsidRPr="00231853">
        <w:rPr>
          <w:szCs w:val="20"/>
        </w:rPr>
        <w:t>pg</w:t>
      </w:r>
      <w:proofErr w:type="spellEnd"/>
      <w:r w:rsidRPr="00231853">
        <w:rPr>
          <w:szCs w:val="20"/>
        </w:rPr>
        <w:t>/ml, we assume that the growth of</w:t>
      </w:r>
      <w:r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S</m:t>
        </m:r>
      </m:oMath>
      <w:r w:rsidRPr="00283722">
        <w:rPr>
          <w:szCs w:val="20"/>
        </w:rPr>
        <w:t xml:space="preserve"> </w:t>
      </w:r>
      <w:r w:rsidRPr="00231853">
        <w:rPr>
          <w:szCs w:val="20"/>
        </w:rPr>
        <w:t xml:space="preserve">is not larger than 20%. If the average of the last three </w:t>
      </w:r>
      <w:proofErr w:type="spellStart"/>
      <w:r w:rsidRPr="00231853">
        <w:rPr>
          <w:szCs w:val="20"/>
        </w:rPr>
        <w:t>iPTH</w:t>
      </w:r>
      <w:proofErr w:type="spellEnd"/>
      <w:r w:rsidRPr="00231853">
        <w:rPr>
          <w:szCs w:val="20"/>
        </w:rPr>
        <w:t xml:space="preserve"> before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 </w:t>
      </w:r>
      <w:r w:rsidRPr="00231853">
        <w:rPr>
          <w:szCs w:val="20"/>
        </w:rPr>
        <w:t xml:space="preserve">is larger than 300 </w:t>
      </w:r>
      <w:proofErr w:type="spellStart"/>
      <w:r w:rsidRPr="00231853">
        <w:rPr>
          <w:szCs w:val="20"/>
        </w:rPr>
        <w:t>pg</w:t>
      </w:r>
      <w:proofErr w:type="spellEnd"/>
      <w:r w:rsidRPr="00231853">
        <w:rPr>
          <w:szCs w:val="20"/>
        </w:rPr>
        <w:t>/ml, the upper bound of</w:t>
      </w:r>
      <w:r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S</m:t>
        </m:r>
      </m:oMath>
      <w:r w:rsidRPr="00283722">
        <w:rPr>
          <w:szCs w:val="20"/>
        </w:rPr>
        <w:t xml:space="preserve"> </w:t>
      </w:r>
      <w:r w:rsidRPr="00231853">
        <w:rPr>
          <w:szCs w:val="20"/>
        </w:rPr>
        <w:t>is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  <m:r>
          <w:rPr>
            <w:rFonts w:ascii="Cambria Math" w:hAnsi="Cambria Math"/>
            <w:szCs w:val="20"/>
          </w:rPr>
          <m:t>⋅</m:t>
        </m:r>
        <m:func>
          <m:funcPr>
            <m:ctrlPr>
              <w:rPr>
                <w:rFonts w:ascii="Cambria Math" w:hAnsi="Cambria Math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0"/>
              </w:rPr>
              <m:t>max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</w:rPr>
                  <m:t xml:space="preserve">2,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Cs w:val="20"/>
                      </w:rPr>
                      <m:t>V_int 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e</m:t>
                        </m:r>
                      </m:sub>
                    </m:sSub>
                  </m:sup>
                </m:sSup>
              </m:e>
            </m:d>
          </m:e>
        </m:func>
        <m:r>
          <w:rPr>
            <w:rFonts w:ascii="Cambria Math" w:hAnsi="Cambria Math"/>
            <w:szCs w:val="20"/>
          </w:rPr>
          <m:t xml:space="preserve">, </m:t>
        </m:r>
      </m:oMath>
      <w:r w:rsidRPr="00231853">
        <w:rPr>
          <w:szCs w:val="20"/>
        </w:rPr>
        <w:t>where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Cs w:val="20"/>
              </w:rPr>
              <m:t>e</m:t>
            </m:r>
          </m:sub>
        </m:sSub>
        <m:r>
          <w:rPr>
            <w:rFonts w:ascii="Cambria Math" w:hAnsi="Cambria Math"/>
            <w:szCs w:val="20"/>
          </w:rPr>
          <m:t>=ln(2)/(365⋅3)</m:t>
        </m:r>
      </m:oMath>
      <w:r w:rsidRPr="00283722">
        <w:rPr>
          <w:color w:val="000000"/>
          <w:szCs w:val="20"/>
        </w:rPr>
        <w:t xml:space="preserve"> </w:t>
      </w:r>
      <w:r w:rsidRPr="00231853">
        <w:rPr>
          <w:szCs w:val="20"/>
        </w:rPr>
        <w:t>is based on the assumption that the doubling time of the (untreated) PTG is three years.</w:t>
      </w:r>
      <w:r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Vint</m:t>
        </m:r>
      </m:oMath>
      <w:r w:rsidRPr="00283722">
        <w:rPr>
          <w:szCs w:val="20"/>
        </w:rPr>
        <w:t xml:space="preserve">  </w:t>
      </w:r>
      <w:r w:rsidRPr="00231853">
        <w:rPr>
          <w:szCs w:val="20"/>
        </w:rPr>
        <w:t xml:space="preserve">is the number of days the patient has been on dialysis before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</w:t>
      </w:r>
      <w:r>
        <w:rPr>
          <w:szCs w:val="20"/>
          <w:lang w:eastAsia="de-CH"/>
        </w:rPr>
        <w:t>.</w:t>
      </w:r>
      <w:r w:rsidRPr="00231853">
        <w:rPr>
          <w:szCs w:val="20"/>
        </w:rPr>
        <w:t xml:space="preserve"> Else, the upper limit equals </w:t>
      </w:r>
      <m:oMath>
        <m:func>
          <m:funcPr>
            <m:ctrlPr>
              <w:rPr>
                <w:rFonts w:ascii="Cambria Math" w:hAnsi="Cambria Math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0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0"/>
              </w:rPr>
              <m:t>⋅max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</w:rPr>
                  <m:t xml:space="preserve">2,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</w:rPr>
                      <m:t>min⁡</m:t>
                    </m:r>
                    <m:r>
                      <w:rPr>
                        <w:rFonts w:ascii="Cambria Math" w:hAnsi="Cambria Math"/>
                        <w:szCs w:val="20"/>
                      </w:rPr>
                      <m:t>(3, e</m:t>
                    </m:r>
                  </m:e>
                  <m:sup>
                    <m:r>
                      <w:rPr>
                        <w:rFonts w:ascii="Cambria Math" w:hAnsi="Cambria Math"/>
                        <w:szCs w:val="20"/>
                      </w:rPr>
                      <m:t>Vint⋅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e</m:t>
                        </m:r>
                      </m:sub>
                    </m:sSub>
                  </m:sup>
                </m:sSup>
                <m:r>
                  <w:rPr>
                    <w:rFonts w:ascii="Cambria Math" w:hAnsi="Cambria Math"/>
                    <w:szCs w:val="20"/>
                  </w:rPr>
                  <m:t>)</m:t>
                </m:r>
              </m:e>
            </m:d>
          </m:e>
        </m:func>
      </m:oMath>
      <w:r w:rsidRPr="00283722">
        <w:rPr>
          <w:szCs w:val="20"/>
        </w:rPr>
        <w:t xml:space="preserve">. </w:t>
      </w:r>
      <w:r w:rsidRPr="00231853">
        <w:rPr>
          <w:szCs w:val="20"/>
        </w:rPr>
        <w:t>The lower limit corresponds to the steady state. Only exception is an extended dialysis vintage of at least 5 years. In this case, it is reasonable to assume that the PTG gland has grown, and we set the lower limit equal to</w:t>
      </w:r>
      <w:r w:rsidRPr="00283722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2⋅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</m:oMath>
      <w:r w:rsidRPr="00283722">
        <w:rPr>
          <w:szCs w:val="20"/>
        </w:rPr>
        <w:t xml:space="preserve">. </w:t>
      </w:r>
    </w:p>
    <w:p w14:paraId="5406B606" w14:textId="77777777" w:rsidR="009117CA" w:rsidRPr="00283722" w:rsidRDefault="009117CA" w:rsidP="009117CA">
      <w:pPr>
        <w:rPr>
          <w:szCs w:val="20"/>
        </w:rPr>
      </w:pPr>
      <w:r w:rsidRPr="00231853">
        <w:rPr>
          <w:szCs w:val="20"/>
        </w:rPr>
        <w:t xml:space="preserve">Based on the </w:t>
      </w:r>
      <w:proofErr w:type="spellStart"/>
      <w:r>
        <w:rPr>
          <w:szCs w:val="20"/>
        </w:rPr>
        <w:t>iCa</w:t>
      </w:r>
      <w:proofErr w:type="spellEnd"/>
      <w:r w:rsidRPr="00231853">
        <w:rPr>
          <w:szCs w:val="20"/>
        </w:rPr>
        <w:t xml:space="preserve"> concentration at the start of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 </w:t>
      </w:r>
      <w:r w:rsidRPr="00283722">
        <w:rPr>
          <w:szCs w:val="20"/>
        </w:rPr>
        <w:t>(</w:t>
      </w:r>
      <m:oMath>
        <m:r>
          <w:rPr>
            <w:rFonts w:ascii="Cambria Math" w:hAnsi="Cambria Math"/>
            <w:szCs w:val="20"/>
          </w:rPr>
          <m:t xml:space="preserve">C) </m:t>
        </m:r>
      </m:oMath>
      <w:r w:rsidRPr="00231853">
        <w:rPr>
          <w:szCs w:val="20"/>
        </w:rPr>
        <w:t xml:space="preserve">and the PTH release rate, we can calculate the individual </w:t>
      </w:r>
      <w:proofErr w:type="spellStart"/>
      <w:r w:rsidRPr="00231853">
        <w:rPr>
          <w:szCs w:val="20"/>
        </w:rPr>
        <w:t>setpoint</w:t>
      </w:r>
      <w:proofErr w:type="spellEnd"/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1</m:t>
            </m:r>
          </m:sub>
        </m:sSub>
      </m:oMath>
      <w:r w:rsidRPr="00283722">
        <w:rPr>
          <w:szCs w:val="20"/>
        </w:rPr>
        <w:t xml:space="preserve"> </w:t>
      </w:r>
      <w:r w:rsidRPr="00231853">
        <w:rPr>
          <w:szCs w:val="20"/>
        </w:rPr>
        <w:t>due to the relationship</w:t>
      </w:r>
    </w:p>
    <w:p w14:paraId="2081D64E" w14:textId="77777777" w:rsidR="009117CA" w:rsidRPr="00283722" w:rsidRDefault="009117CA" w:rsidP="009117CA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r=B+(A-B)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Cs w:val="2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0"/>
                            </w:rPr>
                            <m:t>C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Cs w:val="20"/>
                    </w:rPr>
                    <m:t>m</m:t>
                  </m:r>
                </m:sup>
              </m:sSup>
            </m:den>
          </m:f>
        </m:oMath>
      </m:oMathPara>
    </w:p>
    <w:p w14:paraId="300724CF" w14:textId="77777777" w:rsidR="009117CA" w:rsidRPr="00283722" w:rsidRDefault="009117CA" w:rsidP="009117CA">
      <w:pPr>
        <w:rPr>
          <w:szCs w:val="20"/>
        </w:rPr>
      </w:pPr>
      <w:r w:rsidRPr="00231853">
        <w:rPr>
          <w:szCs w:val="20"/>
        </w:rPr>
        <w:t xml:space="preserve">However, it is not the actual </w:t>
      </w:r>
      <w:proofErr w:type="spellStart"/>
      <w:r>
        <w:rPr>
          <w:szCs w:val="20"/>
        </w:rPr>
        <w:t>iCa</w:t>
      </w:r>
      <w:proofErr w:type="spellEnd"/>
      <w:r w:rsidRPr="00231853">
        <w:rPr>
          <w:szCs w:val="20"/>
        </w:rPr>
        <w:t xml:space="preserve"> that governs PTH release, but the sensed </w:t>
      </w:r>
      <w:proofErr w:type="spellStart"/>
      <w:r>
        <w:rPr>
          <w:szCs w:val="20"/>
        </w:rPr>
        <w:t>iCa</w:t>
      </w:r>
      <w:proofErr w:type="spellEnd"/>
      <w:r>
        <w:rPr>
          <w:szCs w:val="20"/>
        </w:rPr>
        <w:t xml:space="preserve"> concentration</w:t>
      </w:r>
      <w:r w:rsidRPr="00231853">
        <w:rPr>
          <w:szCs w:val="20"/>
        </w:rPr>
        <w:t xml:space="preserve">. Due to the model structure, the sensed </w:t>
      </w:r>
      <w:proofErr w:type="spellStart"/>
      <w:r>
        <w:rPr>
          <w:szCs w:val="20"/>
        </w:rPr>
        <w:t>iC</w:t>
      </w:r>
      <w:r w:rsidRPr="00231853">
        <w:rPr>
          <w:szCs w:val="20"/>
        </w:rPr>
        <w:t>a</w:t>
      </w:r>
      <w:proofErr w:type="spellEnd"/>
      <w:r w:rsidRPr="00231853">
        <w:rPr>
          <w:szCs w:val="20"/>
        </w:rPr>
        <w:t xml:space="preserve"> concentration cannot be less than 83% of the actual </w:t>
      </w:r>
      <w:proofErr w:type="spellStart"/>
      <w:r>
        <w:rPr>
          <w:szCs w:val="20"/>
        </w:rPr>
        <w:t>iCa</w:t>
      </w:r>
      <w:proofErr w:type="spellEnd"/>
      <w:r w:rsidRPr="00231853">
        <w:rPr>
          <w:szCs w:val="20"/>
        </w:rPr>
        <w:t xml:space="preserve"> concentration. Therefore, the real setpoint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83722">
        <w:rPr>
          <w:szCs w:val="20"/>
        </w:rPr>
        <w:t xml:space="preserve"> w</w:t>
      </w:r>
      <w:r w:rsidRPr="00231853">
        <w:rPr>
          <w:szCs w:val="20"/>
        </w:rPr>
        <w:t>ill be between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1</m:t>
            </m:r>
          </m:sub>
        </m:sSub>
      </m:oMath>
      <w:r w:rsidRPr="00231853">
        <w:rPr>
          <w:szCs w:val="20"/>
        </w:rPr>
        <w:t>and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2</m:t>
            </m:r>
          </m:sub>
        </m:sSub>
      </m:oMath>
      <w:r w:rsidRPr="00283722">
        <w:rPr>
          <w:szCs w:val="20"/>
        </w:rPr>
        <w:t xml:space="preserve">, </w:t>
      </w:r>
      <w:r w:rsidRPr="00231853">
        <w:rPr>
          <w:szCs w:val="20"/>
        </w:rPr>
        <w:t>where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2</m:t>
            </m:r>
          </m:sub>
        </m:sSub>
      </m:oMath>
      <w:r w:rsidRPr="00283722">
        <w:rPr>
          <w:szCs w:val="20"/>
        </w:rPr>
        <w:t xml:space="preserve"> </w:t>
      </w:r>
      <w:r w:rsidRPr="00231853">
        <w:rPr>
          <w:szCs w:val="20"/>
        </w:rPr>
        <w:t>is defined as</w:t>
      </w:r>
    </w:p>
    <w:p w14:paraId="1D1BF510" w14:textId="77777777" w:rsidR="009117CA" w:rsidRPr="00283722" w:rsidRDefault="009117CA" w:rsidP="009117CA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r=B+(A-B)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Cs w:val="2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0"/>
                            </w:rPr>
                            <m:t>0.83⋅C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Cs w:val="20"/>
                    </w:rPr>
                    <m:t>m</m:t>
                  </m:r>
                </m:sup>
              </m:sSup>
            </m:den>
          </m:f>
        </m:oMath>
      </m:oMathPara>
    </w:p>
    <w:p w14:paraId="549534D0" w14:textId="77777777" w:rsidR="009117CA" w:rsidRPr="00283722" w:rsidRDefault="009117CA" w:rsidP="009117CA">
      <w:pPr>
        <w:rPr>
          <w:szCs w:val="20"/>
        </w:rPr>
      </w:pPr>
      <w:r w:rsidRPr="00231853">
        <w:rPr>
          <w:szCs w:val="20"/>
        </w:rPr>
        <w:t xml:space="preserve">We assess whether </w:t>
      </w:r>
      <w:proofErr w:type="spellStart"/>
      <w:r w:rsidRPr="00231853">
        <w:rPr>
          <w:szCs w:val="20"/>
        </w:rPr>
        <w:t>iPTH</w:t>
      </w:r>
      <w:proofErr w:type="spellEnd"/>
      <w:r w:rsidRPr="00231853">
        <w:rPr>
          <w:szCs w:val="20"/>
        </w:rPr>
        <w:t xml:space="preserve"> tended to rise or falls over time before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</w:t>
      </w:r>
      <w:r>
        <w:rPr>
          <w:szCs w:val="20"/>
          <w:lang w:eastAsia="de-CH"/>
        </w:rPr>
        <w:t xml:space="preserve"> </w:t>
      </w:r>
      <w:r w:rsidRPr="00231853">
        <w:rPr>
          <w:szCs w:val="20"/>
        </w:rPr>
        <w:t xml:space="preserve">by calculating Kendall’s tau. In case </w:t>
      </w:r>
      <w:proofErr w:type="spellStart"/>
      <w:r w:rsidRPr="00231853">
        <w:rPr>
          <w:szCs w:val="20"/>
        </w:rPr>
        <w:t>iPTH</w:t>
      </w:r>
      <w:proofErr w:type="spellEnd"/>
      <w:r w:rsidRPr="00231853">
        <w:rPr>
          <w:szCs w:val="20"/>
        </w:rPr>
        <w:t xml:space="preserve"> rises significantly, we use the following constraints for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83722">
        <w:rPr>
          <w:szCs w:val="20"/>
        </w:rPr>
        <w:t xml:space="preserve"> </w:t>
      </w:r>
      <w:r w:rsidRPr="00231853">
        <w:rPr>
          <w:szCs w:val="20"/>
        </w:rPr>
        <w:t>and</w:t>
      </w:r>
      <w:r w:rsidRPr="00283722">
        <w:rPr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83722">
        <w:rPr>
          <w:szCs w:val="20"/>
        </w:rPr>
        <w:t>:</w:t>
      </w:r>
    </w:p>
    <w:p w14:paraId="7B17ECC5" w14:textId="77777777" w:rsidR="009117CA" w:rsidRPr="00231853" w:rsidRDefault="00542BD6" w:rsidP="009117CA">
      <w:pPr>
        <w:rPr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: the lower bound of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 equals </w:t>
      </w:r>
      <m:oMath>
        <m:r>
          <w:rPr>
            <w:rFonts w:ascii="Cambria Math" w:hAnsi="Cambria Math"/>
            <w:szCs w:val="20"/>
          </w:rPr>
          <m:t>0.98⋅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2</m:t>
            </m:r>
          </m:sub>
        </m:sSub>
      </m:oMath>
      <w:r w:rsidR="009117CA" w:rsidRPr="00231853">
        <w:rPr>
          <w:szCs w:val="20"/>
        </w:rPr>
        <w:t xml:space="preserve"> while the upper-bound equals </w:t>
      </w:r>
      <m:oMath>
        <m:r>
          <w:rPr>
            <w:rFonts w:ascii="Cambria Math" w:hAnsi="Cambria Math"/>
            <w:szCs w:val="20"/>
          </w:rPr>
          <m:t>1.02⋅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1</m:t>
            </m:r>
          </m:sub>
        </m:sSub>
      </m:oMath>
      <w:r w:rsidR="009117CA" w:rsidRPr="00231853">
        <w:rPr>
          <w:szCs w:val="20"/>
        </w:rPr>
        <w:t xml:space="preserve">. </w:t>
      </w:r>
    </w:p>
    <w:p w14:paraId="5FE34045" w14:textId="77777777" w:rsidR="009117CA" w:rsidRPr="00231853" w:rsidRDefault="00542BD6" w:rsidP="009117CA">
      <w:pPr>
        <w:rPr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  <m:r>
          <w:rPr>
            <w:rFonts w:ascii="Cambria Math" w:hAnsi="Cambria Math"/>
            <w:szCs w:val="20"/>
          </w:rPr>
          <m:t xml:space="preserve">: </m:t>
        </m:r>
      </m:oMath>
      <w:r w:rsidR="009117CA" w:rsidRPr="00231853">
        <w:rPr>
          <w:szCs w:val="20"/>
        </w:rPr>
        <w:t xml:space="preserve">(1) Phosphate at the time of the </w:t>
      </w:r>
      <w:proofErr w:type="spellStart"/>
      <w:r w:rsidR="009117CA" w:rsidRPr="00231853">
        <w:rPr>
          <w:szCs w:val="20"/>
          <w:lang w:eastAsia="de-CH"/>
        </w:rPr>
        <w:t>iCaMB</w:t>
      </w:r>
      <w:proofErr w:type="spellEnd"/>
      <w:r w:rsidR="009117CA" w:rsidRPr="00231853">
        <w:rPr>
          <w:szCs w:val="20"/>
          <w:lang w:eastAsia="de-CH"/>
        </w:rPr>
        <w:t xml:space="preserve"> assessment </w:t>
      </w:r>
      <w:r w:rsidR="009117CA" w:rsidRPr="00231853">
        <w:rPr>
          <w:szCs w:val="20"/>
        </w:rPr>
        <w:t>is smaller than at the beginning of the measurements, i.e., due to dietary restrictions or phosphate binders. We assess this case by calculating the minimum of phosphate of 1/6</w:t>
      </w:r>
      <w:r w:rsidR="009117CA" w:rsidRPr="00231853">
        <w:rPr>
          <w:szCs w:val="20"/>
          <w:vertAlign w:val="superscript"/>
        </w:rPr>
        <w:t>th</w:t>
      </w:r>
      <w:r w:rsidR="009117CA" w:rsidRPr="00231853">
        <w:rPr>
          <w:szCs w:val="20"/>
        </w:rPr>
        <w:t xml:space="preserve"> of the measurements before the </w:t>
      </w:r>
      <w:proofErr w:type="spellStart"/>
      <w:r w:rsidR="009117CA" w:rsidRPr="00231853">
        <w:rPr>
          <w:szCs w:val="20"/>
          <w:lang w:eastAsia="de-CH"/>
        </w:rPr>
        <w:t>iCaMB</w:t>
      </w:r>
      <w:proofErr w:type="spellEnd"/>
      <w:r w:rsidR="009117CA" w:rsidRPr="00231853">
        <w:rPr>
          <w:szCs w:val="20"/>
          <w:lang w:eastAsia="de-CH"/>
        </w:rPr>
        <w:t xml:space="preserve"> assessment</w:t>
      </w:r>
      <w:r w:rsidR="009117CA" w:rsidRPr="00231853">
        <w:rPr>
          <w:szCs w:val="20"/>
        </w:rPr>
        <w:t xml:space="preserve">. If the mean value of 3 measurements around the minimum is smaller than the mean value of the first three phosphate measurements, the lower bound for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 is </w:t>
      </w:r>
      <m:oMath>
        <m:r>
          <w:rPr>
            <w:rFonts w:ascii="Cambria Math" w:hAnsi="Cambria Math"/>
            <w:szCs w:val="20"/>
          </w:rPr>
          <m:t>0.95⋅</m:t>
        </m:r>
        <m:r>
          <m:rPr>
            <m:sty m:val="p"/>
          </m:rPr>
          <w:rPr>
            <w:rFonts w:ascii="Cambria Math" w:hAnsi="Cambria Math"/>
            <w:szCs w:val="20"/>
          </w:rPr>
          <m:t>min⁡</m:t>
        </m:r>
        <m:r>
          <w:rPr>
            <w:rFonts w:ascii="Cambria Math" w:hAnsi="Cambria Math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9117CA" w:rsidRPr="00231853">
        <w:rPr>
          <w:szCs w:val="20"/>
        </w:rPr>
        <w:t xml:space="preserve">, the upper bound is </w:t>
      </w:r>
      <m:oMath>
        <m:r>
          <m:rPr>
            <m:sty m:val="p"/>
          </m:rPr>
          <w:rPr>
            <w:rFonts w:ascii="Cambria Math" w:hAnsi="Cambria Math"/>
            <w:szCs w:val="20"/>
          </w:rPr>
          <m:t>max⁡</m:t>
        </m:r>
        <m:r>
          <w:rPr>
            <w:rFonts w:ascii="Cambria Math" w:hAnsi="Cambria Math"/>
            <w:szCs w:val="20"/>
          </w:rPr>
          <m:t>(1.1⋅</m:t>
        </m:r>
        <m:func>
          <m:funcPr>
            <m:ctrlPr>
              <w:rPr>
                <w:rFonts w:ascii="Cambria Math" w:hAnsi="Cambria Math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0"/>
              </w:rPr>
              <m:t>min</m:t>
            </m:r>
            <m:ctrlPr>
              <w:rPr>
                <w:rFonts w:ascii="Cambria Math" w:hAnsi="Cambria Math"/>
                <w:i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opt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9117CA" w:rsidRPr="00231853">
        <w:rPr>
          <w:szCs w:val="20"/>
        </w:rPr>
        <w:t xml:space="preserve">, where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  <m:r>
          <w:rPr>
            <w:rFonts w:ascii="Cambria Math" w:hAnsi="Cambria Math"/>
            <w:szCs w:val="20"/>
          </w:rPr>
          <m:t>=25</m:t>
        </m:r>
        <m:r>
          <m:rPr>
            <m:sty m:val="p"/>
          </m:rPr>
          <w:rPr>
            <w:rFonts w:ascii="Cambria Math" w:hAnsi="Cambria Math"/>
            <w:szCs w:val="20"/>
          </w:rPr>
          <m:t xml:space="preserve">%  </m:t>
        </m:r>
      </m:oMath>
      <w:r w:rsidR="009117CA" w:rsidRPr="00231853">
        <w:rPr>
          <w:szCs w:val="20"/>
        </w:rPr>
        <w:t xml:space="preserve">percentile of the all </w:t>
      </w:r>
      <w:r w:rsidR="009117CA">
        <w:rPr>
          <w:szCs w:val="20"/>
        </w:rPr>
        <w:t>pre-</w:t>
      </w:r>
      <w:proofErr w:type="spellStart"/>
      <w:r w:rsidR="009117CA" w:rsidRPr="00231853">
        <w:rPr>
          <w:szCs w:val="20"/>
          <w:lang w:eastAsia="de-CH"/>
        </w:rPr>
        <w:t>iCaMB</w:t>
      </w:r>
      <w:proofErr w:type="spellEnd"/>
      <w:r w:rsidR="009117CA" w:rsidRPr="00231853">
        <w:rPr>
          <w:szCs w:val="20"/>
          <w:lang w:eastAsia="de-CH"/>
        </w:rPr>
        <w:t xml:space="preserve"> assessment </w:t>
      </w:r>
      <w:r w:rsidR="009117CA" w:rsidRPr="00231853">
        <w:rPr>
          <w:szCs w:val="20"/>
        </w:rPr>
        <w:t xml:space="preserve">study measurements.  </w:t>
      </w:r>
    </w:p>
    <w:p w14:paraId="2C2576E7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t xml:space="preserve">(2) If (1) is not the case, the lower bound of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31853">
        <w:rPr>
          <w:szCs w:val="20"/>
        </w:rPr>
        <w:t xml:space="preserve"> is the 95% of the minimum of all phosphate measurements and the upper bound is the maximum of the average of the first 4 measurements and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</m:oMath>
      <w:r w:rsidRPr="00231853">
        <w:rPr>
          <w:szCs w:val="20"/>
        </w:rPr>
        <w:t xml:space="preserve">. </w:t>
      </w:r>
    </w:p>
    <w:p w14:paraId="344F3B9C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lastRenderedPageBreak/>
        <w:t xml:space="preserve">In case </w:t>
      </w:r>
      <w:proofErr w:type="spellStart"/>
      <w:r w:rsidRPr="00231853">
        <w:rPr>
          <w:szCs w:val="20"/>
        </w:rPr>
        <w:t>iPTH</w:t>
      </w:r>
      <w:proofErr w:type="spellEnd"/>
      <w:r w:rsidRPr="00231853">
        <w:rPr>
          <w:szCs w:val="20"/>
        </w:rPr>
        <w:t xml:space="preserve"> does not rise significantly (i.e., either p&gt;0.05 or the correlation coefficient is negative), we use the following constraints for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31853">
        <w:rPr>
          <w:szCs w:val="20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Pr="00231853">
        <w:rPr>
          <w:szCs w:val="20"/>
        </w:rPr>
        <w:t>:</w:t>
      </w:r>
    </w:p>
    <w:p w14:paraId="5EAE9248" w14:textId="77777777" w:rsidR="009117CA" w:rsidRPr="00231853" w:rsidRDefault="00542BD6" w:rsidP="009117CA">
      <w:pPr>
        <w:rPr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: the lower bound for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 equals </w:t>
      </w:r>
      <m:oMath>
        <m:r>
          <w:rPr>
            <w:rFonts w:ascii="Cambria Math" w:hAnsi="Cambria Math"/>
            <w:szCs w:val="20"/>
          </w:rPr>
          <m:t>0.98⋅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2</m:t>
            </m:r>
          </m:sub>
        </m:sSub>
      </m:oMath>
      <w:r w:rsidR="009117CA" w:rsidRPr="00231853">
        <w:rPr>
          <w:szCs w:val="20"/>
        </w:rPr>
        <w:t xml:space="preserve"> while the upper-bound equals </w:t>
      </w:r>
      <m:oMath>
        <m:r>
          <w:rPr>
            <w:rFonts w:ascii="Cambria Math" w:hAnsi="Cambria Math"/>
            <w:szCs w:val="20"/>
          </w:rPr>
          <m:t>1.1⋅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Cs w:val="20"/>
              </w:rPr>
              <m:t>1</m:t>
            </m:r>
          </m:sub>
        </m:sSub>
      </m:oMath>
      <w:r w:rsidR="009117CA" w:rsidRPr="00231853">
        <w:rPr>
          <w:szCs w:val="20"/>
        </w:rPr>
        <w:t xml:space="preserve">. </w:t>
      </w:r>
    </w:p>
    <w:p w14:paraId="6A2EC05A" w14:textId="77777777" w:rsidR="009117CA" w:rsidRPr="00231853" w:rsidRDefault="00542BD6" w:rsidP="009117CA">
      <w:pPr>
        <w:rPr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: the lower bound for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opt</m:t>
            </m:r>
          </m:sub>
        </m:sSub>
      </m:oMath>
      <w:r w:rsidR="009117CA" w:rsidRPr="00231853">
        <w:rPr>
          <w:szCs w:val="20"/>
        </w:rPr>
        <w:t xml:space="preserve"> is 98% of the minimum of all phosphate measurements, the upper bound equals the maximum of 150% of the minimum of all phosphate measurements and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</m:oMath>
      <w:r w:rsidR="009117CA" w:rsidRPr="00231853">
        <w:rPr>
          <w:szCs w:val="20"/>
        </w:rPr>
        <w:t xml:space="preserve">. </w:t>
      </w:r>
    </w:p>
    <w:p w14:paraId="1E9621A0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t xml:space="preserve">The system of </w:t>
      </w:r>
      <w:r>
        <w:rPr>
          <w:szCs w:val="20"/>
        </w:rPr>
        <w:t>ordinary differential equations (</w:t>
      </w:r>
      <w:r w:rsidRPr="00231853">
        <w:rPr>
          <w:szCs w:val="20"/>
        </w:rPr>
        <w:t>ODEs</w:t>
      </w:r>
      <w:r>
        <w:rPr>
          <w:szCs w:val="20"/>
        </w:rPr>
        <w:t>)</w:t>
      </w:r>
      <w:r w:rsidRPr="00231853">
        <w:rPr>
          <w:szCs w:val="20"/>
        </w:rPr>
        <w:t xml:space="preserve"> describing the PTG biology can be written in the following form:</w:t>
      </w:r>
    </w:p>
    <w:p w14:paraId="0094C44E" w14:textId="77777777" w:rsidR="009117CA" w:rsidRPr="00283722" w:rsidRDefault="00542BD6" w:rsidP="009117CA">
      <w:pPr>
        <w:rPr>
          <w:szCs w:val="20"/>
          <w:lang w:val="de-AT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fPr>
            <m:num>
              <m:r>
                <w:rPr>
                  <w:rFonts w:ascii="Cambria Math" w:hAnsi="Cambria Math"/>
                  <w:szCs w:val="20"/>
                  <w:lang w:val="de-AT"/>
                </w:rPr>
                <m:t>dy</m:t>
              </m:r>
            </m:num>
            <m:den>
              <m:r>
                <w:rPr>
                  <w:rFonts w:ascii="Cambria Math" w:hAnsi="Cambria Math"/>
                  <w:szCs w:val="20"/>
                  <w:lang w:val="de-AT"/>
                </w:rPr>
                <m:t>dt</m:t>
              </m:r>
            </m:den>
          </m:f>
          <m:r>
            <w:rPr>
              <w:rFonts w:ascii="Cambria Math" w:hAnsi="Cambria Math"/>
              <w:szCs w:val="20"/>
              <w:lang w:val="de-AT"/>
            </w:rPr>
            <m:t>=A(t,y,</m:t>
          </m:r>
          <m:sSub>
            <m:sSub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de-AT"/>
                </w:rPr>
                <m:t>C</m:t>
              </m:r>
            </m:e>
            <m:sub>
              <m:r>
                <w:rPr>
                  <w:rFonts w:ascii="Cambria Math" w:hAnsi="Cambria Math"/>
                  <w:szCs w:val="20"/>
                  <w:lang w:val="de-AT"/>
                </w:rPr>
                <m:t>opt</m:t>
              </m:r>
            </m:sub>
          </m:sSub>
          <m:r>
            <w:rPr>
              <w:rFonts w:ascii="Cambria Math" w:hAnsi="Cambria Math"/>
              <w:szCs w:val="20"/>
              <w:lang w:val="de-AT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de-AT"/>
                </w:rPr>
                <m:t>P</m:t>
              </m:r>
            </m:e>
            <m:sub>
              <m:r>
                <w:rPr>
                  <w:rFonts w:ascii="Cambria Math" w:hAnsi="Cambria Math"/>
                  <w:szCs w:val="20"/>
                  <w:lang w:val="de-AT"/>
                </w:rPr>
                <m:t>opt</m:t>
              </m:r>
            </m:sub>
          </m:sSub>
          <m:r>
            <w:rPr>
              <w:rFonts w:ascii="Cambria Math" w:hAnsi="Cambria Math"/>
              <w:szCs w:val="20"/>
              <w:lang w:val="de-AT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de-AT"/>
                </w:rPr>
                <m:t>k</m:t>
              </m:r>
            </m:e>
            <m:sub>
              <m:r>
                <w:rPr>
                  <w:rFonts w:ascii="Cambria Math" w:hAnsi="Cambria Math"/>
                  <w:szCs w:val="20"/>
                  <w:lang w:val="de-AT"/>
                </w:rPr>
                <m:t>d</m:t>
              </m:r>
            </m:sub>
          </m:sSub>
          <m:r>
            <w:rPr>
              <w:rFonts w:ascii="Cambria Math" w:hAnsi="Cambria Math"/>
              <w:szCs w:val="20"/>
              <w:lang w:val="de-AT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de-AT"/>
                </w:rPr>
                <m:t>k</m:t>
              </m:r>
            </m:e>
            <m:sub>
              <m:r>
                <w:rPr>
                  <w:rFonts w:ascii="Cambria Math" w:hAnsi="Cambria Math"/>
                  <w:szCs w:val="20"/>
                  <w:lang w:val="de-AT"/>
                </w:rPr>
                <m:t>p</m:t>
              </m:r>
            </m:sub>
          </m:sSub>
          <m:r>
            <w:rPr>
              <w:rFonts w:ascii="Cambria Math" w:hAnsi="Cambria Math"/>
              <w:szCs w:val="20"/>
              <w:lang w:val="de-AT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0"/>
                  <w:lang w:val="de-AT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de-AT"/>
                </w:rPr>
                <m:t>k</m:t>
              </m:r>
            </m:e>
            <m:sub>
              <m:r>
                <w:rPr>
                  <w:rFonts w:ascii="Cambria Math" w:hAnsi="Cambria Math"/>
                  <w:szCs w:val="20"/>
                  <w:lang w:val="de-AT"/>
                </w:rPr>
                <m:t>cl</m:t>
              </m:r>
            </m:sub>
          </m:sSub>
          <m:r>
            <w:rPr>
              <w:rFonts w:ascii="Cambria Math" w:hAnsi="Cambria Math"/>
              <w:szCs w:val="20"/>
              <w:lang w:val="de-AT"/>
            </w:rPr>
            <m:t>)</m:t>
          </m:r>
        </m:oMath>
      </m:oMathPara>
    </w:p>
    <w:p w14:paraId="663B9B42" w14:textId="77777777" w:rsidR="009117CA" w:rsidRPr="00231853" w:rsidRDefault="009117CA" w:rsidP="009117CA">
      <w:pPr>
        <w:rPr>
          <w:szCs w:val="20"/>
        </w:rPr>
      </w:pPr>
      <m:oMath>
        <m:r>
          <m:rPr>
            <m:sty m:val="p"/>
          </m:rPr>
          <w:rPr>
            <w:rFonts w:ascii="Cambria Math" w:hAnsi="Cambria Math"/>
            <w:szCs w:val="20"/>
          </w:rPr>
          <m:t>Λ</m:t>
        </m:r>
      </m:oMath>
      <w:r w:rsidRPr="00283722">
        <w:rPr>
          <w:szCs w:val="20"/>
        </w:rPr>
        <w:t xml:space="preserve"> d</w:t>
      </w:r>
      <w:proofErr w:type="spellStart"/>
      <w:r w:rsidRPr="00231853">
        <w:rPr>
          <w:szCs w:val="20"/>
        </w:rPr>
        <w:t>enotes</w:t>
      </w:r>
      <w:proofErr w:type="spellEnd"/>
      <w:r w:rsidRPr="00231853">
        <w:rPr>
          <w:szCs w:val="20"/>
        </w:rPr>
        <w:t xml:space="preserve"> the subset of parameters fulfilling all constraints described above. We assume (pseudo) steady state at the time of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</w:t>
      </w:r>
      <w:r w:rsidRPr="00231853">
        <w:rPr>
          <w:szCs w:val="20"/>
        </w:rPr>
        <w:t xml:space="preserve">. </w:t>
      </w:r>
    </w:p>
    <w:p w14:paraId="17C0124A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t xml:space="preserve">We set </w:t>
      </w:r>
      <m:oMath>
        <m:r>
          <w:rPr>
            <w:rFonts w:ascii="Cambria Math" w:hAnsi="Cambria Math"/>
            <w:szCs w:val="20"/>
          </w:rPr>
          <m:t>t=0</m:t>
        </m:r>
      </m:oMath>
      <w:r w:rsidRPr="00231853">
        <w:rPr>
          <w:szCs w:val="20"/>
        </w:rPr>
        <w:t xml:space="preserve"> at the time of the </w:t>
      </w:r>
      <w:proofErr w:type="spellStart"/>
      <w:r w:rsidRPr="00231853">
        <w:rPr>
          <w:szCs w:val="20"/>
          <w:lang w:eastAsia="de-CH"/>
        </w:rPr>
        <w:t>iCaMB</w:t>
      </w:r>
      <w:proofErr w:type="spellEnd"/>
      <w:r w:rsidRPr="00231853">
        <w:rPr>
          <w:szCs w:val="20"/>
          <w:lang w:eastAsia="de-CH"/>
        </w:rPr>
        <w:t xml:space="preserve"> assessment </w:t>
      </w:r>
      <w:r w:rsidRPr="00231853">
        <w:rPr>
          <w:szCs w:val="20"/>
        </w:rPr>
        <w:t xml:space="preserve">and solve the following optimization problem: </w:t>
      </w:r>
    </w:p>
    <w:p w14:paraId="3E8A619F" w14:textId="648205F3" w:rsidR="009117CA" w:rsidRPr="00231853" w:rsidRDefault="00542BD6" w:rsidP="009117CA">
      <w:pPr>
        <w:rPr>
          <w:szCs w:val="20"/>
        </w:rPr>
      </w:pPr>
      <m:oMath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min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opt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opt</m:t>
                </m:r>
              </m:sub>
            </m:sSub>
            <m:r>
              <w:rPr>
                <w:rFonts w:ascii="Cambria Math" w:hAnsi="Cambria Math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d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p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cl</m:t>
                </m:r>
              </m:sub>
            </m:sSub>
            <m:r>
              <w:rPr>
                <w:rFonts w:ascii="Cambria Math" w:hAnsi="Cambria Math"/>
                <w:szCs w:val="20"/>
              </w:rPr>
              <m:t>, S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⁡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Cs w:val="20"/>
                <w:lang w:val="de-AT"/>
              </w:rPr>
            </m:ctrlPr>
          </m:dPr>
          <m:e>
            <m:r>
              <w:rPr>
                <w:rFonts w:ascii="Cambria Math" w:hAnsi="Cambria Math"/>
                <w:szCs w:val="20"/>
                <w:lang w:val="de-AT"/>
              </w:rPr>
              <m:t>A</m:t>
            </m:r>
            <m:r>
              <w:rPr>
                <w:rFonts w:ascii="Cambria Math" w:hAnsi="Cambria Math"/>
                <w:szCs w:val="20"/>
              </w:rPr>
              <m:t>(0,</m:t>
            </m:r>
            <m:r>
              <w:rPr>
                <w:rFonts w:ascii="Cambria Math" w:hAnsi="Cambria Math"/>
                <w:szCs w:val="20"/>
                <w:lang w:val="de-AT"/>
              </w:rPr>
              <m:t>y</m:t>
            </m:r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  <w:lang w:val="de-AT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de-AT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0"/>
                    <w:lang w:val="de-AT"/>
                  </w:rPr>
                  <m:t>opt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  <w:lang w:val="de-AT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de-AT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0"/>
                    <w:lang w:val="de-AT"/>
                  </w:rPr>
                  <m:t>opt</m:t>
                </m:r>
              </m:sub>
            </m:sSub>
            <m:r>
              <w:rPr>
                <w:rFonts w:ascii="Cambria Math" w:hAnsi="Cambria Math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  <w:lang w:val="de-AT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de-AT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  <w:lang w:val="de-AT"/>
                  </w:rPr>
                  <m:t>d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  <w:lang w:val="de-AT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de-AT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  <w:lang w:val="de-AT"/>
                  </w:rPr>
                  <m:t>p</m:t>
                </m:r>
              </m:sub>
            </m:sSub>
            <m:r>
              <w:rPr>
                <w:rFonts w:ascii="Cambria Math" w:hAnsi="Cambria Math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0"/>
                    <w:lang w:val="de-AT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  <w:lang w:val="de-AT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0"/>
                    <w:lang w:val="de-AT"/>
                  </w:rPr>
                  <m:t>cl</m:t>
                </m:r>
              </m:sub>
            </m:sSub>
            <m:r>
              <w:rPr>
                <w:rFonts w:ascii="Cambria Math" w:hAnsi="Cambria Math"/>
                <w:szCs w:val="20"/>
              </w:rPr>
              <m:t>)</m:t>
            </m:r>
          </m:e>
        </m:d>
      </m:oMath>
      <w:r w:rsidR="009117CA" w:rsidRPr="00231853">
        <w:rPr>
          <w:szCs w:val="20"/>
        </w:rPr>
        <w:t xml:space="preserve"> </w:t>
      </w:r>
      <w:proofErr w:type="gramStart"/>
      <w:r w:rsidR="009117CA" w:rsidRPr="00231853">
        <w:rPr>
          <w:szCs w:val="20"/>
        </w:rPr>
        <w:t>subject</w:t>
      </w:r>
      <w:proofErr w:type="gramEnd"/>
      <w:r w:rsidR="009117CA" w:rsidRPr="00231853">
        <w:rPr>
          <w:szCs w:val="20"/>
        </w:rPr>
        <w:t xml:space="preserve"> </w:t>
      </w:r>
    </w:p>
    <w:p w14:paraId="5DCFE834" w14:textId="77777777" w:rsidR="009117CA" w:rsidRPr="00283722" w:rsidRDefault="009117CA" w:rsidP="009117CA">
      <w:pPr>
        <w:rPr>
          <w:szCs w:val="20"/>
        </w:rPr>
      </w:pPr>
      <w:r w:rsidRPr="00231853">
        <w:rPr>
          <w:szCs w:val="20"/>
        </w:rPr>
        <w:t>to</w:t>
      </w:r>
      <w:r w:rsidRPr="00283722">
        <w:rPr>
          <w:szCs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opt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opt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cl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</w:rPr>
                    <m:t>, S∈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Λ</m:t>
                  </m:r>
                </m:e>
              </m:mr>
              <m:m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PT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0"/>
                            </w:rPr>
                            <m:t>calc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0"/>
                        </w:rPr>
                        <m:t>-PT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0"/>
                            </w:rPr>
                            <m:t>ref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Cs w:val="20"/>
                    </w:rPr>
                    <m:t>≤2%</m:t>
                  </m:r>
                </m:e>
              </m:mr>
            </m:m>
            <m:r>
              <w:rPr>
                <w:rFonts w:ascii="Cambria Math" w:hAnsi="Cambria Math"/>
                <w:szCs w:val="20"/>
              </w:rPr>
              <m:t xml:space="preserve"> </m:t>
            </m:r>
          </m:e>
        </m:d>
      </m:oMath>
    </w:p>
    <w:p w14:paraId="0C0BEBC2" w14:textId="77777777" w:rsidR="009117CA" w:rsidRPr="00231853" w:rsidRDefault="009117CA" w:rsidP="009117CA">
      <w:pPr>
        <w:rPr>
          <w:szCs w:val="20"/>
        </w:rPr>
      </w:pPr>
      <w:r w:rsidRPr="00231853">
        <w:rPr>
          <w:szCs w:val="20"/>
        </w:rPr>
        <w:t>We can include a quality check of the optimization by calculating the norm of A with the optimized parameters. If this norm exceeds a pre-defined threshold, we cannot find a pseudo steady state under the given constraints.</w:t>
      </w:r>
    </w:p>
    <w:p w14:paraId="7B65BC41" w14:textId="6B2B2DEA" w:rsidR="00DE23E8" w:rsidRDefault="008A2D72" w:rsidP="009117CA">
      <w:pPr>
        <w:rPr>
          <w:szCs w:val="20"/>
        </w:rPr>
      </w:pPr>
      <w:r>
        <w:rPr>
          <w:szCs w:val="20"/>
        </w:rPr>
        <w:t xml:space="preserve">We use all available </w:t>
      </w:r>
      <w:proofErr w:type="spellStart"/>
      <w:proofErr w:type="gramStart"/>
      <w:r>
        <w:rPr>
          <w:szCs w:val="20"/>
        </w:rPr>
        <w:t>iCa</w:t>
      </w:r>
      <w:proofErr w:type="spellEnd"/>
      <w:proofErr w:type="gramEnd"/>
      <w:r>
        <w:rPr>
          <w:szCs w:val="20"/>
        </w:rPr>
        <w:t xml:space="preserve"> and phosphate concentration</w:t>
      </w:r>
      <w:r w:rsidR="00F35D1D">
        <w:rPr>
          <w:szCs w:val="20"/>
        </w:rPr>
        <w:t>s</w:t>
      </w:r>
      <w:r>
        <w:rPr>
          <w:szCs w:val="20"/>
        </w:rPr>
        <w:t xml:space="preserve"> 6 months prior to </w:t>
      </w:r>
      <w:proofErr w:type="spellStart"/>
      <w:r w:rsidR="00F35D1D" w:rsidRPr="00231853">
        <w:rPr>
          <w:szCs w:val="20"/>
          <w:lang w:eastAsia="de-CH"/>
        </w:rPr>
        <w:t>iCaMB</w:t>
      </w:r>
      <w:proofErr w:type="spellEnd"/>
      <w:r w:rsidR="00F35D1D">
        <w:rPr>
          <w:szCs w:val="20"/>
          <w:lang w:eastAsia="de-CH"/>
        </w:rPr>
        <w:t xml:space="preserve"> </w:t>
      </w:r>
      <w:proofErr w:type="spellStart"/>
      <w:r w:rsidR="00F35D1D">
        <w:rPr>
          <w:szCs w:val="20"/>
          <w:lang w:eastAsia="de-CH"/>
        </w:rPr>
        <w:t>assesssment</w:t>
      </w:r>
      <w:proofErr w:type="spellEnd"/>
      <w:r>
        <w:rPr>
          <w:szCs w:val="20"/>
        </w:rPr>
        <w:t xml:space="preserve">. </w:t>
      </w:r>
      <w:r w:rsidR="009117CA" w:rsidRPr="00231853">
        <w:rPr>
          <w:szCs w:val="20"/>
        </w:rPr>
        <w:t xml:space="preserve">Concentrations of </w:t>
      </w:r>
      <w:proofErr w:type="spellStart"/>
      <w:r w:rsidR="009117CA" w:rsidRPr="00231853">
        <w:rPr>
          <w:szCs w:val="20"/>
        </w:rPr>
        <w:t>iCa</w:t>
      </w:r>
      <w:proofErr w:type="spellEnd"/>
      <w:r w:rsidR="009117CA" w:rsidRPr="00231853">
        <w:rPr>
          <w:szCs w:val="20"/>
        </w:rPr>
        <w:t xml:space="preserve"> smaller than 1 mmol/l and phosphate concentration smaller than </w:t>
      </w:r>
      <w:r w:rsidR="009117CA">
        <w:rPr>
          <w:szCs w:val="20"/>
        </w:rPr>
        <w:t xml:space="preserve">0.9 mmol/l </w:t>
      </w:r>
      <w:r w:rsidR="009117CA" w:rsidRPr="00231853">
        <w:rPr>
          <w:szCs w:val="20"/>
        </w:rPr>
        <w:t>were eliminated</w:t>
      </w:r>
      <w:r w:rsidR="009117CA">
        <w:rPr>
          <w:szCs w:val="20"/>
        </w:rPr>
        <w:t xml:space="preserve"> as input variables for</w:t>
      </w:r>
      <w:r w:rsidR="009117CA" w:rsidRPr="00231853">
        <w:rPr>
          <w:szCs w:val="20"/>
        </w:rPr>
        <w:t xml:space="preserve"> the optimization algorithm.</w:t>
      </w:r>
      <w:r w:rsidR="009117CA">
        <w:rPr>
          <w:szCs w:val="20"/>
        </w:rPr>
        <w:t xml:space="preserve"> Moreover, </w:t>
      </w:r>
      <w:proofErr w:type="spellStart"/>
      <w:r w:rsidR="009117CA">
        <w:rPr>
          <w:szCs w:val="20"/>
        </w:rPr>
        <w:t>iCa</w:t>
      </w:r>
      <w:proofErr w:type="spellEnd"/>
      <w:r w:rsidR="009117CA">
        <w:rPr>
          <w:szCs w:val="20"/>
        </w:rPr>
        <w:t xml:space="preserve"> and phosphate concentrations smaller than 1 mmol/l were eliminated for the validation process, i.e., </w:t>
      </w:r>
      <w:proofErr w:type="spellStart"/>
      <w:r w:rsidR="009117CA">
        <w:rPr>
          <w:szCs w:val="20"/>
        </w:rPr>
        <w:t>iPTH</w:t>
      </w:r>
      <w:proofErr w:type="spellEnd"/>
      <w:r w:rsidR="009117CA">
        <w:rPr>
          <w:szCs w:val="20"/>
        </w:rPr>
        <w:t xml:space="preserve"> predictions for the 6-months period after </w:t>
      </w:r>
      <w:proofErr w:type="spellStart"/>
      <w:r w:rsidR="009117CA" w:rsidRPr="00231853">
        <w:rPr>
          <w:szCs w:val="20"/>
          <w:lang w:eastAsia="de-CH"/>
        </w:rPr>
        <w:t>iCaMB</w:t>
      </w:r>
      <w:proofErr w:type="spellEnd"/>
      <w:r w:rsidR="009117CA" w:rsidRPr="00231853">
        <w:rPr>
          <w:szCs w:val="20"/>
          <w:lang w:eastAsia="de-CH"/>
        </w:rPr>
        <w:t xml:space="preserve"> assessment</w:t>
      </w:r>
      <w:r w:rsidR="009117CA">
        <w:rPr>
          <w:szCs w:val="20"/>
          <w:lang w:eastAsia="de-CH"/>
        </w:rPr>
        <w:t>.</w:t>
      </w:r>
      <w:r w:rsidR="009117CA">
        <w:rPr>
          <w:szCs w:val="20"/>
        </w:rPr>
        <w:t xml:space="preserve"> </w:t>
      </w:r>
    </w:p>
    <w:p w14:paraId="79258F4B" w14:textId="30F71780" w:rsidR="00401D45" w:rsidRDefault="00401D45" w:rsidP="009117CA">
      <w:pPr>
        <w:rPr>
          <w:szCs w:val="20"/>
        </w:rPr>
      </w:pPr>
    </w:p>
    <w:p w14:paraId="124D48AB" w14:textId="39E98051" w:rsidR="00401D45" w:rsidRDefault="00401D45" w:rsidP="009117CA">
      <w:pPr>
        <w:rPr>
          <w:szCs w:val="20"/>
        </w:rPr>
      </w:pPr>
    </w:p>
    <w:p w14:paraId="4DEC861B" w14:textId="05E19C1E" w:rsidR="00401D45" w:rsidRDefault="00401D45" w:rsidP="009117CA">
      <w:pPr>
        <w:rPr>
          <w:szCs w:val="20"/>
        </w:rPr>
      </w:pPr>
    </w:p>
    <w:p w14:paraId="3B2EEA5D" w14:textId="11E1C5DC" w:rsidR="00401D45" w:rsidRDefault="00401D45" w:rsidP="009117CA">
      <w:pPr>
        <w:rPr>
          <w:szCs w:val="20"/>
        </w:rPr>
      </w:pPr>
    </w:p>
    <w:p w14:paraId="1D7034C2" w14:textId="0A8A5963" w:rsidR="00401D45" w:rsidRDefault="00401D45" w:rsidP="009117CA">
      <w:pPr>
        <w:rPr>
          <w:szCs w:val="20"/>
        </w:rPr>
      </w:pPr>
    </w:p>
    <w:p w14:paraId="7893E3AF" w14:textId="0591C87E" w:rsidR="00475185" w:rsidRDefault="00475185" w:rsidP="009117CA">
      <w:pPr>
        <w:rPr>
          <w:szCs w:val="20"/>
        </w:rPr>
      </w:pPr>
    </w:p>
    <w:p w14:paraId="44C52BB7" w14:textId="77777777" w:rsidR="00475185" w:rsidRDefault="00475185" w:rsidP="009117CA">
      <w:pPr>
        <w:rPr>
          <w:szCs w:val="20"/>
        </w:rPr>
      </w:pPr>
    </w:p>
    <w:p w14:paraId="6D97161C" w14:textId="583824FC" w:rsidR="00401D45" w:rsidRDefault="00401D45" w:rsidP="009117CA">
      <w:pPr>
        <w:rPr>
          <w:szCs w:val="20"/>
        </w:rPr>
      </w:pPr>
    </w:p>
    <w:p w14:paraId="7CEFB847" w14:textId="0C652DF6" w:rsidR="00401D45" w:rsidRPr="00475185" w:rsidRDefault="00ED1D7D" w:rsidP="009117CA">
      <w:pPr>
        <w:rPr>
          <w:b/>
          <w:szCs w:val="20"/>
        </w:rPr>
      </w:pPr>
      <w:r w:rsidRPr="00475185">
        <w:rPr>
          <w:b/>
          <w:szCs w:val="20"/>
        </w:rPr>
        <w:lastRenderedPageBreak/>
        <w:t>2</w:t>
      </w:r>
      <w:r w:rsidRPr="00475185">
        <w:rPr>
          <w:b/>
          <w:szCs w:val="20"/>
        </w:rPr>
        <w:tab/>
        <w:t>Supplementary Figures</w:t>
      </w:r>
    </w:p>
    <w:p w14:paraId="1A38AD81" w14:textId="496EE355" w:rsidR="00401D45" w:rsidRDefault="00ED1D7D" w:rsidP="009117CA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3E141702" wp14:editId="09CC5A4A">
            <wp:extent cx="6153912" cy="1459992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7E5B" w14:textId="188A338D" w:rsidR="00401D45" w:rsidRDefault="00401D45" w:rsidP="009117CA">
      <w:pPr>
        <w:rPr>
          <w:szCs w:val="20"/>
        </w:rPr>
      </w:pPr>
      <w:r>
        <w:rPr>
          <w:szCs w:val="20"/>
        </w:rPr>
        <w:t xml:space="preserve">Fig. S1: Block diagram of the </w:t>
      </w:r>
      <w:r w:rsidR="00A63275">
        <w:rPr>
          <w:szCs w:val="20"/>
        </w:rPr>
        <w:t xml:space="preserve">generic </w:t>
      </w:r>
      <w:r>
        <w:rPr>
          <w:szCs w:val="20"/>
        </w:rPr>
        <w:t xml:space="preserve">mathematical </w:t>
      </w:r>
      <w:r w:rsidR="00ED1D7D">
        <w:rPr>
          <w:szCs w:val="20"/>
        </w:rPr>
        <w:t xml:space="preserve">PTG </w:t>
      </w:r>
      <w:r>
        <w:rPr>
          <w:szCs w:val="20"/>
        </w:rPr>
        <w:t>model</w:t>
      </w:r>
      <w:r w:rsidR="00ED1D7D">
        <w:rPr>
          <w:szCs w:val="20"/>
        </w:rPr>
        <w:t xml:space="preserve"> (</w:t>
      </w:r>
      <w:proofErr w:type="spellStart"/>
      <w:r w:rsidR="00ED1D7D">
        <w:rPr>
          <w:szCs w:val="20"/>
        </w:rPr>
        <w:t>Schappacher-Tilp</w:t>
      </w:r>
      <w:proofErr w:type="spellEnd"/>
      <w:r w:rsidR="00ED1D7D">
        <w:rPr>
          <w:szCs w:val="20"/>
        </w:rPr>
        <w:t xml:space="preserve"> et al, 2019)</w:t>
      </w:r>
      <w:r>
        <w:rPr>
          <w:szCs w:val="20"/>
        </w:rPr>
        <w:t xml:space="preserve">. The input parameters are </w:t>
      </w:r>
      <w:proofErr w:type="spellStart"/>
      <w:r>
        <w:rPr>
          <w:szCs w:val="20"/>
        </w:rPr>
        <w:t>iCa</w:t>
      </w:r>
      <w:proofErr w:type="spellEnd"/>
      <w:r>
        <w:rPr>
          <w:szCs w:val="20"/>
        </w:rPr>
        <w:t xml:space="preserve"> and phosphate concentrations as well as estimated calcitriol concentrations based on calcitriol therapy information. The output of the dynamical model comprises the number of PTG cells, stored PTH, and serum </w:t>
      </w:r>
      <w:r w:rsidR="00A63275">
        <w:rPr>
          <w:szCs w:val="20"/>
        </w:rPr>
        <w:t xml:space="preserve">PTH </w:t>
      </w:r>
      <w:r>
        <w:rPr>
          <w:szCs w:val="20"/>
        </w:rPr>
        <w:t xml:space="preserve">concentration. </w:t>
      </w:r>
    </w:p>
    <w:p w14:paraId="7838A050" w14:textId="77777777" w:rsidR="00ED1D7D" w:rsidRDefault="00ED1D7D" w:rsidP="009117CA">
      <w:pPr>
        <w:rPr>
          <w:szCs w:val="20"/>
        </w:rPr>
      </w:pPr>
    </w:p>
    <w:p w14:paraId="2CD0BE9A" w14:textId="267BA7E4" w:rsidR="00401D45" w:rsidRDefault="00ED1D7D" w:rsidP="009117CA">
      <w:pPr>
        <w:rPr>
          <w:szCs w:val="20"/>
        </w:rPr>
      </w:pPr>
      <w:r w:rsidRPr="00ED1D7D">
        <w:rPr>
          <w:noProof/>
          <w:szCs w:val="20"/>
        </w:rPr>
        <w:drawing>
          <wp:inline distT="0" distB="0" distL="0" distR="0" wp14:anchorId="1BB5F67F" wp14:editId="42DF8782">
            <wp:extent cx="6208395" cy="4693481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2A21" w14:textId="4B9BED43" w:rsidR="00401D45" w:rsidRDefault="00401D45" w:rsidP="009117CA">
      <w:pPr>
        <w:rPr>
          <w:szCs w:val="20"/>
        </w:rPr>
      </w:pPr>
      <w:r>
        <w:rPr>
          <w:szCs w:val="20"/>
        </w:rPr>
        <w:t>Fig. S2</w:t>
      </w:r>
      <w:r w:rsidR="00EE0230">
        <w:rPr>
          <w:szCs w:val="20"/>
        </w:rPr>
        <w:t xml:space="preserve">: Downstream signaling </w:t>
      </w:r>
      <w:r w:rsidR="00321C51">
        <w:rPr>
          <w:szCs w:val="20"/>
        </w:rPr>
        <w:t>of</w:t>
      </w:r>
      <w:r w:rsidR="00EE0230">
        <w:rPr>
          <w:szCs w:val="20"/>
        </w:rPr>
        <w:t xml:space="preserve"> </w:t>
      </w:r>
      <w:r w:rsidR="00C568E5">
        <w:rPr>
          <w:szCs w:val="20"/>
        </w:rPr>
        <w:t>calcium sensing receptor (</w:t>
      </w:r>
      <w:proofErr w:type="spellStart"/>
      <w:r w:rsidR="00EE0230">
        <w:rPr>
          <w:szCs w:val="20"/>
        </w:rPr>
        <w:t>CaSR</w:t>
      </w:r>
      <w:proofErr w:type="spellEnd"/>
      <w:r w:rsidR="00C568E5">
        <w:rPr>
          <w:szCs w:val="20"/>
        </w:rPr>
        <w:t>)</w:t>
      </w:r>
      <w:r w:rsidR="00EE0230">
        <w:rPr>
          <w:szCs w:val="20"/>
        </w:rPr>
        <w:t xml:space="preserve"> and </w:t>
      </w:r>
      <w:r w:rsidR="00C568E5">
        <w:rPr>
          <w:szCs w:val="20"/>
        </w:rPr>
        <w:t>vitamin D receptor (</w:t>
      </w:r>
      <w:r w:rsidR="00EE0230">
        <w:rPr>
          <w:szCs w:val="20"/>
        </w:rPr>
        <w:t>VDR</w:t>
      </w:r>
      <w:r w:rsidR="00C568E5">
        <w:rPr>
          <w:szCs w:val="20"/>
        </w:rPr>
        <w:t>)</w:t>
      </w:r>
      <w:r w:rsidR="00EE0230">
        <w:rPr>
          <w:szCs w:val="20"/>
        </w:rPr>
        <w:t xml:space="preserve">. The effect of phosphate on the </w:t>
      </w:r>
      <w:proofErr w:type="spellStart"/>
      <w:r w:rsidR="00EE0230">
        <w:rPr>
          <w:szCs w:val="20"/>
        </w:rPr>
        <w:t>CaSR</w:t>
      </w:r>
      <w:proofErr w:type="spellEnd"/>
      <w:r w:rsidR="00EE0230">
        <w:rPr>
          <w:szCs w:val="20"/>
        </w:rPr>
        <w:t xml:space="preserve"> is omitted for clarity. </w:t>
      </w:r>
    </w:p>
    <w:p w14:paraId="63DD573E" w14:textId="1B7AE983" w:rsidR="00EE0230" w:rsidRDefault="00BF5BAA" w:rsidP="009117CA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555CFDF6" wp14:editId="1DA6506F">
            <wp:extent cx="6208395" cy="3857625"/>
            <wp:effectExtent l="0" t="0" r="190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ig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2CD8" w14:textId="2BAFA07B" w:rsidR="00EE0230" w:rsidRDefault="00EE0230" w:rsidP="009117CA">
      <w:pPr>
        <w:rPr>
          <w:szCs w:val="20"/>
        </w:rPr>
      </w:pPr>
      <w:r>
        <w:rPr>
          <w:szCs w:val="20"/>
        </w:rPr>
        <w:t xml:space="preserve">Fig. S3: Relative decrease in </w:t>
      </w:r>
      <w:proofErr w:type="spellStart"/>
      <w:r w:rsidR="00BF5BAA">
        <w:rPr>
          <w:szCs w:val="20"/>
        </w:rPr>
        <w:t>i</w:t>
      </w:r>
      <w:r>
        <w:rPr>
          <w:szCs w:val="20"/>
        </w:rPr>
        <w:t>PTH</w:t>
      </w:r>
      <w:proofErr w:type="spellEnd"/>
      <w:r>
        <w:rPr>
          <w:szCs w:val="20"/>
        </w:rPr>
        <w:t xml:space="preserve"> concentration during calcium mass balance </w:t>
      </w:r>
      <w:r w:rsidR="00BF5BAA">
        <w:rPr>
          <w:szCs w:val="20"/>
        </w:rPr>
        <w:t>assessment</w:t>
      </w:r>
      <w:r>
        <w:rPr>
          <w:szCs w:val="20"/>
        </w:rPr>
        <w:t xml:space="preserve"> of the </w:t>
      </w:r>
      <w:r w:rsidR="00BF5BAA">
        <w:rPr>
          <w:szCs w:val="20"/>
        </w:rPr>
        <w:t xml:space="preserve">two </w:t>
      </w:r>
      <w:r>
        <w:rPr>
          <w:szCs w:val="20"/>
        </w:rPr>
        <w:t>exemplar patients</w:t>
      </w:r>
      <w:r w:rsidR="00BF5BAA">
        <w:rPr>
          <w:szCs w:val="20"/>
        </w:rPr>
        <w:t xml:space="preserve"> (A and B)</w:t>
      </w:r>
      <w:r>
        <w:rPr>
          <w:szCs w:val="20"/>
        </w:rPr>
        <w:t xml:space="preserve"> presented in Fig. 1. In addition, we present the relative decrease in </w:t>
      </w:r>
      <w:proofErr w:type="spellStart"/>
      <w:r w:rsidR="00475185">
        <w:rPr>
          <w:szCs w:val="20"/>
        </w:rPr>
        <w:t>i</w:t>
      </w:r>
      <w:r>
        <w:rPr>
          <w:szCs w:val="20"/>
        </w:rPr>
        <w:t>PTH</w:t>
      </w:r>
      <w:proofErr w:type="spellEnd"/>
      <w:r>
        <w:rPr>
          <w:szCs w:val="20"/>
        </w:rPr>
        <w:t xml:space="preserve"> concentration of two additional exemplar patients </w:t>
      </w:r>
      <w:r w:rsidR="00BF5BAA">
        <w:rPr>
          <w:szCs w:val="20"/>
        </w:rPr>
        <w:t xml:space="preserve">(C and D) </w:t>
      </w:r>
      <w:r>
        <w:rPr>
          <w:szCs w:val="20"/>
        </w:rPr>
        <w:t xml:space="preserve">to show that the same relative increase in </w:t>
      </w:r>
      <w:proofErr w:type="spellStart"/>
      <w:proofErr w:type="gramStart"/>
      <w:r>
        <w:rPr>
          <w:szCs w:val="20"/>
        </w:rPr>
        <w:t>iCa</w:t>
      </w:r>
      <w:proofErr w:type="spellEnd"/>
      <w:proofErr w:type="gramEnd"/>
      <w:r>
        <w:rPr>
          <w:szCs w:val="20"/>
        </w:rPr>
        <w:t xml:space="preserve"> might not result in the same relative </w:t>
      </w:r>
      <w:proofErr w:type="spellStart"/>
      <w:r w:rsidR="00A63275">
        <w:rPr>
          <w:szCs w:val="20"/>
        </w:rPr>
        <w:t>i</w:t>
      </w:r>
      <w:r w:rsidR="00BF5BAA">
        <w:rPr>
          <w:szCs w:val="20"/>
        </w:rPr>
        <w:t>PTH</w:t>
      </w:r>
      <w:proofErr w:type="spellEnd"/>
      <w:r w:rsidR="00BF5BAA">
        <w:rPr>
          <w:szCs w:val="20"/>
        </w:rPr>
        <w:t xml:space="preserve"> </w:t>
      </w:r>
      <w:r>
        <w:rPr>
          <w:szCs w:val="20"/>
        </w:rPr>
        <w:t>decrease.</w:t>
      </w:r>
    </w:p>
    <w:p w14:paraId="34CCB384" w14:textId="47477247" w:rsidR="001F7449" w:rsidRDefault="007B3D87" w:rsidP="009117CA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1AF7DD85" wp14:editId="63ACC931">
            <wp:extent cx="6208395" cy="6208395"/>
            <wp:effectExtent l="0" t="0" r="190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ig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5C3C" w14:textId="11FD7F3F" w:rsidR="001F7449" w:rsidRDefault="001F7449" w:rsidP="009117CA">
      <w:pPr>
        <w:rPr>
          <w:szCs w:val="20"/>
        </w:rPr>
      </w:pPr>
      <w:r>
        <w:rPr>
          <w:szCs w:val="20"/>
        </w:rPr>
        <w:t xml:space="preserve">Fig. S4: Measured </w:t>
      </w:r>
      <w:r w:rsidR="00332F45">
        <w:rPr>
          <w:szCs w:val="20"/>
        </w:rPr>
        <w:t xml:space="preserve">vs. predicted </w:t>
      </w:r>
      <w:r>
        <w:rPr>
          <w:szCs w:val="20"/>
        </w:rPr>
        <w:t xml:space="preserve">relative </w:t>
      </w:r>
      <w:proofErr w:type="spellStart"/>
      <w:r w:rsidR="00332F45">
        <w:rPr>
          <w:szCs w:val="20"/>
        </w:rPr>
        <w:t>iPTH</w:t>
      </w:r>
      <w:proofErr w:type="spellEnd"/>
      <w:r w:rsidR="00332F45">
        <w:rPr>
          <w:szCs w:val="20"/>
        </w:rPr>
        <w:t xml:space="preserve"> decrease (</w:t>
      </w:r>
      <w:r>
        <w:rPr>
          <w:szCs w:val="20"/>
        </w:rPr>
        <w:t>post</w:t>
      </w:r>
      <w:r w:rsidR="00332F45">
        <w:rPr>
          <w:szCs w:val="20"/>
        </w:rPr>
        <w:t>-pre HD</w:t>
      </w:r>
      <w:r w:rsidR="002219AD">
        <w:rPr>
          <w:szCs w:val="20"/>
        </w:rPr>
        <w:t>, n=26</w:t>
      </w:r>
      <w:r w:rsidR="00332F45">
        <w:rPr>
          <w:szCs w:val="20"/>
        </w:rPr>
        <w:t>)</w:t>
      </w:r>
      <w:r>
        <w:rPr>
          <w:szCs w:val="20"/>
        </w:rPr>
        <w:t xml:space="preserve">. </w:t>
      </w:r>
    </w:p>
    <w:p w14:paraId="72EB5672" w14:textId="275809EC" w:rsidR="00542BD6" w:rsidRPr="00542BD6" w:rsidRDefault="00542BD6" w:rsidP="00542BD6">
      <w:pPr>
        <w:rPr>
          <w:b/>
          <w:szCs w:val="20"/>
        </w:rPr>
      </w:pPr>
      <w:r>
        <w:rPr>
          <w:b/>
          <w:szCs w:val="20"/>
        </w:rPr>
        <w:t>3</w:t>
      </w:r>
      <w:r>
        <w:rPr>
          <w:b/>
          <w:szCs w:val="20"/>
        </w:rPr>
        <w:tab/>
        <w:t>References</w:t>
      </w:r>
    </w:p>
    <w:p w14:paraId="56AF07CA" w14:textId="1B898877" w:rsidR="00542BD6" w:rsidRPr="00542BD6" w:rsidRDefault="00542BD6" w:rsidP="00542BD6">
      <w:pPr>
        <w:rPr>
          <w:szCs w:val="20"/>
        </w:rPr>
      </w:pPr>
      <w:r w:rsidRPr="00542BD6">
        <w:rPr>
          <w:szCs w:val="20"/>
        </w:rPr>
        <w:t xml:space="preserve">Brown EM. </w:t>
      </w:r>
      <w:proofErr w:type="gramStart"/>
      <w:r w:rsidRPr="00542BD6">
        <w:rPr>
          <w:szCs w:val="20"/>
        </w:rPr>
        <w:t>Control of parathyroid hormone secretion by its key physiological regulators.</w:t>
      </w:r>
      <w:proofErr w:type="gramEnd"/>
      <w:r w:rsidRPr="00542BD6">
        <w:rPr>
          <w:szCs w:val="20"/>
        </w:rPr>
        <w:t xml:space="preserve"> In: </w:t>
      </w:r>
      <w:proofErr w:type="spellStart"/>
      <w:r w:rsidRPr="00542BD6">
        <w:rPr>
          <w:szCs w:val="20"/>
        </w:rPr>
        <w:t>Bilezikian</w:t>
      </w:r>
      <w:proofErr w:type="spellEnd"/>
      <w:r w:rsidRPr="00542BD6">
        <w:rPr>
          <w:szCs w:val="20"/>
        </w:rPr>
        <w:t xml:space="preserve"> JP, editor. </w:t>
      </w:r>
      <w:proofErr w:type="gramStart"/>
      <w:r w:rsidRPr="00542BD6">
        <w:rPr>
          <w:szCs w:val="20"/>
        </w:rPr>
        <w:t xml:space="preserve">The </w:t>
      </w:r>
      <w:proofErr w:type="spellStart"/>
      <w:r w:rsidRPr="00542BD6">
        <w:rPr>
          <w:szCs w:val="20"/>
        </w:rPr>
        <w:t>Parathyroids</w:t>
      </w:r>
      <w:proofErr w:type="spellEnd"/>
      <w:r w:rsidRPr="00542BD6">
        <w:rPr>
          <w:szCs w:val="20"/>
        </w:rPr>
        <w:t>.</w:t>
      </w:r>
      <w:proofErr w:type="gramEnd"/>
      <w:r w:rsidRPr="00542BD6">
        <w:rPr>
          <w:szCs w:val="20"/>
        </w:rPr>
        <w:t xml:space="preserve"> </w:t>
      </w:r>
      <w:r>
        <w:rPr>
          <w:szCs w:val="20"/>
        </w:rPr>
        <w:t xml:space="preserve">3rd ed. Waltham, MA: </w:t>
      </w:r>
      <w:r w:rsidRPr="00542BD6">
        <w:rPr>
          <w:szCs w:val="20"/>
        </w:rPr>
        <w:t>Academic Press/Elsevier (2015). p. 101-18.</w:t>
      </w:r>
    </w:p>
    <w:p w14:paraId="6254D2AD" w14:textId="70261943" w:rsidR="00542BD6" w:rsidRPr="009117CA" w:rsidRDefault="00542BD6" w:rsidP="00542BD6">
      <w:pPr>
        <w:rPr>
          <w:szCs w:val="20"/>
        </w:rPr>
      </w:pPr>
      <w:r w:rsidRPr="00542BD6">
        <w:rPr>
          <w:szCs w:val="20"/>
        </w:rPr>
        <w:t xml:space="preserve">Shrestha RP, </w:t>
      </w:r>
      <w:proofErr w:type="spellStart"/>
      <w:r w:rsidRPr="00542BD6">
        <w:rPr>
          <w:szCs w:val="20"/>
        </w:rPr>
        <w:t>Hollot</w:t>
      </w:r>
      <w:proofErr w:type="spellEnd"/>
      <w:r w:rsidRPr="00542BD6">
        <w:rPr>
          <w:szCs w:val="20"/>
        </w:rPr>
        <w:t xml:space="preserve"> CV, </w:t>
      </w:r>
      <w:proofErr w:type="spellStart"/>
      <w:r w:rsidRPr="00542BD6">
        <w:rPr>
          <w:szCs w:val="20"/>
        </w:rPr>
        <w:t>Chipkin</w:t>
      </w:r>
      <w:proofErr w:type="spellEnd"/>
      <w:r w:rsidRPr="00542BD6">
        <w:rPr>
          <w:szCs w:val="20"/>
        </w:rPr>
        <w:t xml:space="preserve"> SR, Schm</w:t>
      </w:r>
      <w:r>
        <w:rPr>
          <w:szCs w:val="20"/>
        </w:rPr>
        <w:t xml:space="preserve">itt CP, Chait Y. </w:t>
      </w:r>
      <w:proofErr w:type="gramStart"/>
      <w:r>
        <w:rPr>
          <w:szCs w:val="20"/>
        </w:rPr>
        <w:t xml:space="preserve">A mathematical model of parathyroid </w:t>
      </w:r>
      <w:r w:rsidRPr="00542BD6">
        <w:rPr>
          <w:szCs w:val="20"/>
        </w:rPr>
        <w:t xml:space="preserve">hormone response to acute changes in </w:t>
      </w:r>
      <w:proofErr w:type="spellStart"/>
      <w:r w:rsidRPr="00542BD6">
        <w:rPr>
          <w:szCs w:val="20"/>
        </w:rPr>
        <w:t>plasmaionized</w:t>
      </w:r>
      <w:proofErr w:type="spellEnd"/>
      <w:r w:rsidRPr="00542BD6">
        <w:rPr>
          <w:szCs w:val="20"/>
        </w:rPr>
        <w:t xml:space="preserve"> calcium concentration in humans.</w:t>
      </w:r>
      <w:proofErr w:type="gramEnd"/>
      <w:r w:rsidRPr="00542BD6">
        <w:rPr>
          <w:szCs w:val="20"/>
        </w:rPr>
        <w:t xml:space="preserve"> </w:t>
      </w:r>
      <w:proofErr w:type="gramStart"/>
      <w:r w:rsidRPr="00542BD6">
        <w:rPr>
          <w:i/>
          <w:szCs w:val="20"/>
        </w:rPr>
        <w:t xml:space="preserve">Math </w:t>
      </w:r>
      <w:proofErr w:type="spellStart"/>
      <w:r w:rsidRPr="00542BD6">
        <w:rPr>
          <w:i/>
          <w:szCs w:val="20"/>
        </w:rPr>
        <w:t>Biosci</w:t>
      </w:r>
      <w:proofErr w:type="spellEnd"/>
      <w:r w:rsidRPr="00542BD6">
        <w:rPr>
          <w:i/>
          <w:szCs w:val="20"/>
        </w:rPr>
        <w:t>.</w:t>
      </w:r>
      <w:proofErr w:type="gramEnd"/>
      <w:r w:rsidRPr="00542BD6">
        <w:rPr>
          <w:szCs w:val="20"/>
        </w:rPr>
        <w:t xml:space="preserve"> </w:t>
      </w:r>
      <w:bookmarkStart w:id="0" w:name="_GoBack"/>
      <w:bookmarkEnd w:id="0"/>
      <w:proofErr w:type="gramStart"/>
      <w:r w:rsidRPr="00542BD6">
        <w:rPr>
          <w:szCs w:val="20"/>
        </w:rPr>
        <w:t>(2010) 226:46–57.</w:t>
      </w:r>
      <w:proofErr w:type="gramEnd"/>
      <w:r w:rsidRPr="00542BD6">
        <w:rPr>
          <w:szCs w:val="20"/>
        </w:rPr>
        <w:t xml:space="preserve"> </w:t>
      </w:r>
      <w:proofErr w:type="spellStart"/>
      <w:proofErr w:type="gramStart"/>
      <w:r w:rsidRPr="00542BD6">
        <w:rPr>
          <w:szCs w:val="20"/>
        </w:rPr>
        <w:t>doi</w:t>
      </w:r>
      <w:proofErr w:type="spellEnd"/>
      <w:proofErr w:type="gramEnd"/>
      <w:r w:rsidRPr="00542BD6">
        <w:rPr>
          <w:szCs w:val="20"/>
        </w:rPr>
        <w:t>: 10.1016/j.mbs.2010.04.001</w:t>
      </w:r>
    </w:p>
    <w:sectPr w:rsidR="00542BD6" w:rsidRPr="009117CA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CBA8E" w14:textId="77777777" w:rsidR="00F206BB" w:rsidRDefault="00F206BB" w:rsidP="00117666">
      <w:pPr>
        <w:spacing w:after="0"/>
      </w:pPr>
      <w:r>
        <w:separator/>
      </w:r>
    </w:p>
  </w:endnote>
  <w:endnote w:type="continuationSeparator" w:id="0">
    <w:p w14:paraId="2788F85C" w14:textId="77777777" w:rsidR="00F206BB" w:rsidRDefault="00F206B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3BA71A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2B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3BA71A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2BD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14273F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2B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14273F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2BD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0FBDDB" w14:textId="77777777" w:rsidR="00F206BB" w:rsidRDefault="00F206BB" w:rsidP="00117666">
      <w:pPr>
        <w:spacing w:after="0"/>
      </w:pPr>
      <w:r>
        <w:separator/>
      </w:r>
    </w:p>
  </w:footnote>
  <w:footnote w:type="continuationSeparator" w:id="0">
    <w:p w14:paraId="2E93FE58" w14:textId="77777777" w:rsidR="00F206BB" w:rsidRDefault="00F206B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57FB0"/>
    <w:rsid w:val="00077D53"/>
    <w:rsid w:val="00097EAE"/>
    <w:rsid w:val="000D7CC4"/>
    <w:rsid w:val="00105FD9"/>
    <w:rsid w:val="00115CCE"/>
    <w:rsid w:val="00117666"/>
    <w:rsid w:val="001549D3"/>
    <w:rsid w:val="00160065"/>
    <w:rsid w:val="00177D84"/>
    <w:rsid w:val="001E19A1"/>
    <w:rsid w:val="001F7449"/>
    <w:rsid w:val="002219AD"/>
    <w:rsid w:val="00267D18"/>
    <w:rsid w:val="00274347"/>
    <w:rsid w:val="002868E2"/>
    <w:rsid w:val="002869C3"/>
    <w:rsid w:val="002936E4"/>
    <w:rsid w:val="002A0EEE"/>
    <w:rsid w:val="002B4A57"/>
    <w:rsid w:val="002C74CA"/>
    <w:rsid w:val="002E4489"/>
    <w:rsid w:val="003123F4"/>
    <w:rsid w:val="00321C51"/>
    <w:rsid w:val="00332F45"/>
    <w:rsid w:val="003544FB"/>
    <w:rsid w:val="00372A33"/>
    <w:rsid w:val="003D2F2D"/>
    <w:rsid w:val="00401590"/>
    <w:rsid w:val="00401D45"/>
    <w:rsid w:val="00447801"/>
    <w:rsid w:val="00452E9C"/>
    <w:rsid w:val="004735C8"/>
    <w:rsid w:val="00475185"/>
    <w:rsid w:val="004947A6"/>
    <w:rsid w:val="004961FF"/>
    <w:rsid w:val="004B5C82"/>
    <w:rsid w:val="00517A89"/>
    <w:rsid w:val="005250F2"/>
    <w:rsid w:val="00542BD6"/>
    <w:rsid w:val="00593EEA"/>
    <w:rsid w:val="005A5EEE"/>
    <w:rsid w:val="00626A09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27A4"/>
    <w:rsid w:val="00790BB3"/>
    <w:rsid w:val="007B3D87"/>
    <w:rsid w:val="007C206C"/>
    <w:rsid w:val="00817DD6"/>
    <w:rsid w:val="00830931"/>
    <w:rsid w:val="0083759F"/>
    <w:rsid w:val="00840593"/>
    <w:rsid w:val="00865205"/>
    <w:rsid w:val="00885156"/>
    <w:rsid w:val="008A2D72"/>
    <w:rsid w:val="009042BD"/>
    <w:rsid w:val="009117CA"/>
    <w:rsid w:val="009151AA"/>
    <w:rsid w:val="00926232"/>
    <w:rsid w:val="0093429D"/>
    <w:rsid w:val="00943573"/>
    <w:rsid w:val="00964134"/>
    <w:rsid w:val="00970F7D"/>
    <w:rsid w:val="00994A3D"/>
    <w:rsid w:val="009A6069"/>
    <w:rsid w:val="009C2B12"/>
    <w:rsid w:val="009C3C47"/>
    <w:rsid w:val="00A174D9"/>
    <w:rsid w:val="00A63275"/>
    <w:rsid w:val="00AA4D24"/>
    <w:rsid w:val="00AB6715"/>
    <w:rsid w:val="00AE502B"/>
    <w:rsid w:val="00B11E16"/>
    <w:rsid w:val="00B1671E"/>
    <w:rsid w:val="00B22FE8"/>
    <w:rsid w:val="00B25EB8"/>
    <w:rsid w:val="00B37F4D"/>
    <w:rsid w:val="00BF5BAA"/>
    <w:rsid w:val="00C1060E"/>
    <w:rsid w:val="00C52937"/>
    <w:rsid w:val="00C52A7B"/>
    <w:rsid w:val="00C568E5"/>
    <w:rsid w:val="00C56BAF"/>
    <w:rsid w:val="00C679AA"/>
    <w:rsid w:val="00C75972"/>
    <w:rsid w:val="00C7597A"/>
    <w:rsid w:val="00CD066B"/>
    <w:rsid w:val="00CE4FEE"/>
    <w:rsid w:val="00D060CF"/>
    <w:rsid w:val="00DA6C1A"/>
    <w:rsid w:val="00DB0DB6"/>
    <w:rsid w:val="00DB59C3"/>
    <w:rsid w:val="00DC259A"/>
    <w:rsid w:val="00DE23E8"/>
    <w:rsid w:val="00E04B8F"/>
    <w:rsid w:val="00E076E5"/>
    <w:rsid w:val="00E14938"/>
    <w:rsid w:val="00E52377"/>
    <w:rsid w:val="00E537AD"/>
    <w:rsid w:val="00E64E17"/>
    <w:rsid w:val="00E866C9"/>
    <w:rsid w:val="00EA3D3C"/>
    <w:rsid w:val="00EC090A"/>
    <w:rsid w:val="00ED1D7D"/>
    <w:rsid w:val="00ED20B5"/>
    <w:rsid w:val="00EE0230"/>
    <w:rsid w:val="00F206BB"/>
    <w:rsid w:val="00F35D1D"/>
    <w:rsid w:val="00F46900"/>
    <w:rsid w:val="00F55C6A"/>
    <w:rsid w:val="00F61D89"/>
    <w:rsid w:val="00FF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igurelink">
    <w:name w:val="figurelink"/>
    <w:basedOn w:val="DefaultParagraphFont"/>
    <w:rsid w:val="00F55C6A"/>
  </w:style>
  <w:style w:type="paragraph" w:styleId="Revision">
    <w:name w:val="Revision"/>
    <w:hidden/>
    <w:uiPriority w:val="99"/>
    <w:semiHidden/>
    <w:rsid w:val="00C568E5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igurelink">
    <w:name w:val="figurelink"/>
    <w:basedOn w:val="DefaultParagraphFont"/>
    <w:rsid w:val="00F55C6A"/>
  </w:style>
  <w:style w:type="paragraph" w:styleId="Revision">
    <w:name w:val="Revision"/>
    <w:hidden/>
    <w:uiPriority w:val="99"/>
    <w:semiHidden/>
    <w:rsid w:val="00C568E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40C7F59-6394-43FF-B5C7-57646C12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2360</Words>
  <Characters>13456</Characters>
  <Application>Microsoft Office Word</Application>
  <DocSecurity>4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Amazon.com</Company>
  <LinksUpToDate>false</LinksUpToDate>
  <CharactersWithSpaces>15785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PrakashA</cp:lastModifiedBy>
  <cp:revision>2</cp:revision>
  <cp:lastPrinted>2013-10-03T12:51:00Z</cp:lastPrinted>
  <dcterms:created xsi:type="dcterms:W3CDTF">2021-09-07T03:48:00Z</dcterms:created>
  <dcterms:modified xsi:type="dcterms:W3CDTF">2021-09-07T03:48:00Z</dcterms:modified>
</cp:coreProperties>
</file>