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ADC4" w14:textId="77777777" w:rsidR="00E24C6F" w:rsidRDefault="00E24C6F" w:rsidP="00E24C6F">
      <w:pPr>
        <w:jc w:val="center"/>
        <w:rPr>
          <w:b/>
        </w:rPr>
      </w:pPr>
      <w:r w:rsidRPr="00736ACB">
        <w:rPr>
          <w:b/>
        </w:rPr>
        <w:t>Anti-carba</w:t>
      </w:r>
      <w:r>
        <w:rPr>
          <w:b/>
        </w:rPr>
        <w:t>mylated LL37 antibodies promote pathogenic bone resorption</w:t>
      </w:r>
      <w:r w:rsidRPr="00736ACB">
        <w:rPr>
          <w:b/>
        </w:rPr>
        <w:t xml:space="preserve"> in Rheumatoid </w:t>
      </w:r>
      <w:r>
        <w:rPr>
          <w:b/>
        </w:rPr>
        <w:t>A</w:t>
      </w:r>
      <w:r w:rsidRPr="00736ACB">
        <w:rPr>
          <w:b/>
        </w:rPr>
        <w:t>rthritis.</w:t>
      </w:r>
    </w:p>
    <w:p w14:paraId="5AAD3B2D" w14:textId="77777777" w:rsidR="00E24C6F" w:rsidRDefault="00E24C6F" w:rsidP="00E24C6F">
      <w:pPr>
        <w:rPr>
          <w:b/>
        </w:rPr>
      </w:pPr>
    </w:p>
    <w:p w14:paraId="0AFA92AE" w14:textId="77777777" w:rsidR="004B6691" w:rsidRDefault="004B6691" w:rsidP="004B6691">
      <w:pPr>
        <w:jc w:val="center"/>
        <w:rPr>
          <w:vertAlign w:val="superscript"/>
        </w:rPr>
      </w:pPr>
      <w:r>
        <w:t>Liam J. O’Neil</w:t>
      </w:r>
      <w:r>
        <w:rPr>
          <w:vertAlign w:val="superscript"/>
        </w:rPr>
        <w:t>1</w:t>
      </w:r>
      <w:r>
        <w:t xml:space="preserve">, </w:t>
      </w:r>
      <w:r w:rsidRPr="00450282">
        <w:t>Christopher B. Oliveira</w:t>
      </w:r>
      <w:r w:rsidRPr="00450282">
        <w:rPr>
          <w:vertAlign w:val="superscript"/>
        </w:rPr>
        <w:t>1</w:t>
      </w:r>
      <w:r>
        <w:t>, Donavon Sandoval-Heglund</w:t>
      </w:r>
      <w:r>
        <w:rPr>
          <w:vertAlign w:val="superscript"/>
        </w:rPr>
        <w:t>1</w:t>
      </w:r>
      <w:r>
        <w:t>, Ana Barrera-Vargas</w:t>
      </w:r>
      <w:r>
        <w:rPr>
          <w:vertAlign w:val="superscript"/>
        </w:rPr>
        <w:t>2</w:t>
      </w:r>
      <w:r>
        <w:t>, Javier Merayo-Chalico</w:t>
      </w:r>
      <w:r>
        <w:rPr>
          <w:vertAlign w:val="superscript"/>
        </w:rPr>
        <w:t>2</w:t>
      </w:r>
      <w:r>
        <w:t>, Eduardo Aguirre-Aguilar</w:t>
      </w:r>
      <w:r>
        <w:rPr>
          <w:vertAlign w:val="superscript"/>
        </w:rPr>
        <w:t>2</w:t>
      </w:r>
      <w:r>
        <w:t>, Mariana J. Kaplan</w:t>
      </w:r>
      <w:r>
        <w:rPr>
          <w:vertAlign w:val="superscript"/>
        </w:rPr>
        <w:t>1*</w:t>
      </w:r>
      <w:r>
        <w:t>, Carmelo Carmona-Rivera</w:t>
      </w:r>
      <w:r>
        <w:rPr>
          <w:vertAlign w:val="superscript"/>
        </w:rPr>
        <w:t>1*</w:t>
      </w:r>
    </w:p>
    <w:p w14:paraId="783FEC7B" w14:textId="77777777" w:rsidR="00E24C6F" w:rsidRPr="00BE048E" w:rsidRDefault="00E24C6F" w:rsidP="00E24C6F">
      <w:pPr>
        <w:spacing w:line="480" w:lineRule="auto"/>
        <w:jc w:val="both"/>
        <w:rPr>
          <w:rFonts w:cstheme="minorHAnsi"/>
          <w:b/>
        </w:rPr>
      </w:pPr>
    </w:p>
    <w:p w14:paraId="696A769C" w14:textId="77777777" w:rsidR="0038234D" w:rsidRDefault="0038234D">
      <w:pPr>
        <w:spacing w:after="160" w:line="259" w:lineRule="auto"/>
        <w:rPr>
          <w:b/>
        </w:rPr>
      </w:pPr>
      <w:r>
        <w:rPr>
          <w:b/>
        </w:rPr>
        <w:t>Supplementary Tables and Figures</w:t>
      </w:r>
    </w:p>
    <w:tbl>
      <w:tblPr>
        <w:tblW w:w="5397" w:type="dxa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25"/>
      </w:tblGrid>
      <w:tr w:rsidR="0038234D" w:rsidRPr="00B66E3D" w14:paraId="1590A29A" w14:textId="77777777" w:rsidTr="004115E0">
        <w:trPr>
          <w:trHeight w:val="320"/>
        </w:trPr>
        <w:tc>
          <w:tcPr>
            <w:tcW w:w="5397" w:type="dxa"/>
            <w:gridSpan w:val="2"/>
            <w:shd w:val="clear" w:color="auto" w:fill="auto"/>
            <w:noWrap/>
            <w:vAlign w:val="bottom"/>
            <w:hideMark/>
          </w:tcPr>
          <w:p w14:paraId="501A21D4" w14:textId="0B56D0F3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RA cohort (n = 34)</w:t>
            </w:r>
          </w:p>
        </w:tc>
      </w:tr>
      <w:tr w:rsidR="0038234D" w:rsidRPr="00B66E3D" w14:paraId="2F8460B4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8BAA697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Age 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E189121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7.5</w:t>
            </w:r>
            <w:r w:rsidRPr="00B66E3D">
              <w:rPr>
                <w:rFonts w:cstheme="minorHAnsi"/>
                <w:color w:val="000000"/>
              </w:rPr>
              <w:t xml:space="preserve"> (1</w:t>
            </w:r>
            <w:r>
              <w:rPr>
                <w:rFonts w:cstheme="minorHAnsi"/>
                <w:color w:val="000000"/>
              </w:rPr>
              <w:t>5.3</w:t>
            </w:r>
            <w:r w:rsidRPr="00B66E3D">
              <w:rPr>
                <w:rFonts w:cstheme="minorHAnsi"/>
                <w:color w:val="000000"/>
              </w:rPr>
              <w:t>)</w:t>
            </w:r>
          </w:p>
        </w:tc>
      </w:tr>
      <w:tr w:rsidR="0038234D" w:rsidRPr="00B66E3D" w14:paraId="46495AF6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47E9856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Female 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2E85674" w14:textId="77777777" w:rsidR="0038234D" w:rsidRPr="00B66E3D" w:rsidRDefault="0038234D" w:rsidP="00731392">
            <w:pPr>
              <w:jc w:val="center"/>
              <w:rPr>
                <w:rFonts w:cstheme="minorHAnsi"/>
              </w:rPr>
            </w:pPr>
            <w:r w:rsidRPr="00B66E3D">
              <w:rPr>
                <w:rFonts w:cstheme="minorHAnsi"/>
              </w:rPr>
              <w:t>8</w:t>
            </w:r>
            <w:r>
              <w:rPr>
                <w:rFonts w:cstheme="minorHAnsi"/>
              </w:rPr>
              <w:t>5.3</w:t>
            </w:r>
            <w:r w:rsidRPr="00B66E3D">
              <w:rPr>
                <w:rFonts w:cstheme="minorHAnsi"/>
              </w:rPr>
              <w:t>%</w:t>
            </w:r>
          </w:p>
        </w:tc>
      </w:tr>
      <w:tr w:rsidR="0038234D" w:rsidRPr="00B66E3D" w14:paraId="1F2896DB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</w:tcPr>
          <w:p w14:paraId="07335966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BMI 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1560018F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26.</w:t>
            </w:r>
            <w:r>
              <w:rPr>
                <w:rFonts w:cstheme="minorHAnsi"/>
                <w:color w:val="000000"/>
              </w:rPr>
              <w:t>3</w:t>
            </w:r>
            <w:r w:rsidRPr="00B66E3D">
              <w:rPr>
                <w:rFonts w:cstheme="minorHAnsi"/>
                <w:color w:val="000000"/>
              </w:rPr>
              <w:t xml:space="preserve"> (5.</w:t>
            </w:r>
            <w:r>
              <w:rPr>
                <w:rFonts w:cstheme="minorHAnsi"/>
                <w:color w:val="000000"/>
              </w:rPr>
              <w:t>9</w:t>
            </w:r>
            <w:r w:rsidRPr="00B66E3D">
              <w:rPr>
                <w:rFonts w:cstheme="minorHAnsi"/>
                <w:color w:val="000000"/>
              </w:rPr>
              <w:t>)</w:t>
            </w:r>
          </w:p>
        </w:tc>
      </w:tr>
      <w:tr w:rsidR="0038234D" w:rsidRPr="00B66E3D" w14:paraId="083682DA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</w:tcPr>
          <w:p w14:paraId="7330031B" w14:textId="36D885E1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Disease Duration </w:t>
            </w:r>
            <w:r w:rsidR="00522A19">
              <w:rPr>
                <w:rFonts w:cstheme="minorHAnsi"/>
                <w:color w:val="000000"/>
              </w:rPr>
              <w:t>(years)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17C1FDE9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5 (</w:t>
            </w:r>
            <w:r>
              <w:rPr>
                <w:rFonts w:cstheme="minorHAnsi"/>
                <w:color w:val="000000"/>
              </w:rPr>
              <w:t>9.3</w:t>
            </w:r>
            <w:r w:rsidRPr="00B66E3D">
              <w:rPr>
                <w:rFonts w:cstheme="minorHAnsi"/>
                <w:color w:val="000000"/>
              </w:rPr>
              <w:t>)</w:t>
            </w:r>
          </w:p>
        </w:tc>
      </w:tr>
      <w:tr w:rsidR="0038234D" w:rsidRPr="00B66E3D" w14:paraId="26C623FA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E46A94E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RF + 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F5D3BA6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1.1</w:t>
            </w:r>
            <w:r w:rsidRPr="00B66E3D">
              <w:rPr>
                <w:rFonts w:cstheme="minorHAnsi"/>
                <w:color w:val="000000"/>
              </w:rPr>
              <w:t>%</w:t>
            </w:r>
          </w:p>
        </w:tc>
      </w:tr>
      <w:tr w:rsidR="0038234D" w:rsidRPr="00B66E3D" w14:paraId="686FBC71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A5EEB0A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ACPA + 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A1E5355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91.1</w:t>
            </w:r>
            <w:r w:rsidRPr="00B66E3D">
              <w:rPr>
                <w:rFonts w:cstheme="minorHAnsi"/>
                <w:color w:val="000000"/>
              </w:rPr>
              <w:t>%</w:t>
            </w:r>
          </w:p>
        </w:tc>
      </w:tr>
      <w:tr w:rsidR="0038234D" w:rsidRPr="00B66E3D" w14:paraId="3B34ECA5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19D2FB7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DAS28-CRP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32A5CBE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2.0 (2.3)</w:t>
            </w:r>
          </w:p>
        </w:tc>
      </w:tr>
      <w:tr w:rsidR="0038234D" w:rsidRPr="00B66E3D" w14:paraId="09CF72BB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8674716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Smoker 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B28DDBE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5.3</w:t>
            </w:r>
            <w:r w:rsidRPr="00B66E3D">
              <w:rPr>
                <w:rFonts w:cstheme="minorHAnsi"/>
                <w:color w:val="000000"/>
              </w:rPr>
              <w:t>%</w:t>
            </w:r>
          </w:p>
        </w:tc>
      </w:tr>
      <w:tr w:rsidR="0038234D" w:rsidRPr="00B66E3D" w14:paraId="15BA9B9F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67125F4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Methotrexate 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97EEF98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67.7%</w:t>
            </w:r>
          </w:p>
        </w:tc>
      </w:tr>
      <w:tr w:rsidR="0038234D" w:rsidRPr="00B66E3D" w14:paraId="02A79AFB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2F0F0EA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Prednisone &gt; 10 mg daily 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5860CD9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0.0%</w:t>
            </w:r>
          </w:p>
        </w:tc>
      </w:tr>
      <w:tr w:rsidR="0038234D" w:rsidRPr="00B66E3D" w14:paraId="22906434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2F140DC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 xml:space="preserve">Biologic 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5F5D244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3.2%</w:t>
            </w:r>
          </w:p>
        </w:tc>
      </w:tr>
      <w:tr w:rsidR="0038234D" w:rsidRPr="00B66E3D" w14:paraId="325D154D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</w:tcPr>
          <w:p w14:paraId="1860EF24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Radiographic Erosions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28E9F4B2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50.0%</w:t>
            </w:r>
          </w:p>
        </w:tc>
      </w:tr>
      <w:tr w:rsidR="0038234D" w:rsidRPr="00B66E3D" w14:paraId="0F4FD3AB" w14:textId="77777777" w:rsidTr="004115E0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806ED23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SENS range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A2A2EBE" w14:textId="77777777" w:rsidR="0038234D" w:rsidRPr="00B66E3D" w:rsidRDefault="0038234D" w:rsidP="00731392">
            <w:pPr>
              <w:jc w:val="center"/>
              <w:rPr>
                <w:rFonts w:cstheme="minorHAnsi"/>
                <w:color w:val="000000"/>
              </w:rPr>
            </w:pPr>
            <w:r w:rsidRPr="00B66E3D">
              <w:rPr>
                <w:rFonts w:cstheme="minorHAnsi"/>
                <w:color w:val="000000"/>
              </w:rPr>
              <w:t>0 to 3</w:t>
            </w:r>
            <w:r>
              <w:rPr>
                <w:rFonts w:cstheme="minorHAnsi"/>
                <w:color w:val="000000"/>
              </w:rPr>
              <w:t>7</w:t>
            </w:r>
          </w:p>
        </w:tc>
      </w:tr>
    </w:tbl>
    <w:p w14:paraId="0FD512E5" w14:textId="77777777" w:rsidR="0038234D" w:rsidRDefault="0038234D" w:rsidP="0038234D">
      <w:pPr>
        <w:pStyle w:val="NormalWeb"/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8392044"/>
    </w:p>
    <w:p w14:paraId="0477F3C8" w14:textId="31E2DB1F" w:rsidR="0038234D" w:rsidRDefault="0038234D" w:rsidP="0038234D">
      <w:pPr>
        <w:pStyle w:val="NormalWeb"/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34D">
        <w:rPr>
          <w:rFonts w:asciiTheme="minorHAnsi" w:hAnsiTheme="minorHAnsi" w:cstheme="minorHAnsi"/>
          <w:sz w:val="24"/>
          <w:szCs w:val="24"/>
        </w:rPr>
        <w:t xml:space="preserve">Table S1: </w:t>
      </w:r>
      <w:r w:rsidRPr="0038234D">
        <w:rPr>
          <w:rFonts w:asciiTheme="minorHAnsi" w:hAnsiTheme="minorHAnsi" w:cstheme="minorHAnsi"/>
          <w:b/>
          <w:bCs/>
          <w:sz w:val="24"/>
          <w:szCs w:val="24"/>
        </w:rPr>
        <w:t>Demographics and clinical characteristics of Rheumatoid Arthritis cohort.</w:t>
      </w:r>
      <w:r w:rsidRPr="0038234D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38234D">
        <w:rPr>
          <w:rFonts w:asciiTheme="minorHAnsi" w:hAnsiTheme="minorHAnsi" w:cstheme="minorHAnsi"/>
          <w:sz w:val="24"/>
          <w:szCs w:val="24"/>
        </w:rPr>
        <w:t xml:space="preserve">Continuous variables are listed as median with interquartile range (IQR). Dichotomized variables are listed by % affirmative. DAS28: Disease Activity Score. Biologic is considered active use at the time of visit. RF: Rheumatoid Factor. ACPA: Anti-citrullinated protein antibody. Radiographic erosion score defined using Simple erosion narrowing score (SENS). </w:t>
      </w:r>
    </w:p>
    <w:p w14:paraId="4B00D9A4" w14:textId="03266A23" w:rsidR="00104A17" w:rsidRDefault="00104A17" w:rsidP="0038234D">
      <w:pPr>
        <w:pStyle w:val="NormalWeb"/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C26D98" w14:textId="04F358DC" w:rsidR="00104A17" w:rsidRDefault="00104A17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1024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996"/>
        <w:gridCol w:w="629"/>
        <w:gridCol w:w="629"/>
        <w:gridCol w:w="629"/>
        <w:gridCol w:w="794"/>
        <w:gridCol w:w="878"/>
        <w:gridCol w:w="649"/>
        <w:gridCol w:w="629"/>
        <w:gridCol w:w="723"/>
        <w:gridCol w:w="1114"/>
        <w:gridCol w:w="955"/>
        <w:gridCol w:w="766"/>
        <w:gridCol w:w="662"/>
        <w:gridCol w:w="971"/>
      </w:tblGrid>
      <w:tr w:rsidR="00104A17" w:rsidRPr="00104A17" w14:paraId="1E4B4DF1" w14:textId="77777777" w:rsidTr="000B6094">
        <w:trPr>
          <w:trHeight w:val="7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2D16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7804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Age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05D3" w14:textId="7D825FE0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Sex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375C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BMI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97BE" w14:textId="5699CCCC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Smoker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2D44" w14:textId="2398E523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Disease Duration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49FD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ACPA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6944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RF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475F" w14:textId="2D3C115B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DAS28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D00C" w14:textId="7F3CD3E5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Hand erosion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093E" w14:textId="608F9878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Feet erosion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61CC" w14:textId="63E5EE45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Total erosion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9384" w14:textId="488B7C7F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Anti-carH4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28EF" w14:textId="06419485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Anti-carLL37</w:t>
            </w:r>
          </w:p>
        </w:tc>
      </w:tr>
      <w:tr w:rsidR="00104A17" w:rsidRPr="00104A17" w14:paraId="71925C7E" w14:textId="77777777" w:rsidTr="000B609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C65B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Age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68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12BB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BC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65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31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B5C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FBF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EBC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FEC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368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4AD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233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4E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</w:tr>
      <w:tr w:rsidR="00104A17" w:rsidRPr="00104A17" w14:paraId="79C062C2" w14:textId="77777777" w:rsidTr="000B609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3A7F" w14:textId="7805ADF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Sex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33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AC7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06A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210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12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06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910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82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11F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FB4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900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D6B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23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-0.04</w:t>
            </w:r>
          </w:p>
        </w:tc>
      </w:tr>
      <w:tr w:rsidR="00104A17" w:rsidRPr="00104A17" w14:paraId="789BF079" w14:textId="77777777" w:rsidTr="000B609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99F2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BMI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14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0EB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23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48B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AD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18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B0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15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C9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938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20F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5AF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B6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0.18</w:t>
            </w:r>
          </w:p>
        </w:tc>
      </w:tr>
      <w:tr w:rsidR="00104A17" w:rsidRPr="00104A17" w14:paraId="5676A160" w14:textId="77777777" w:rsidTr="000B609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529D" w14:textId="2EB208C8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Smoker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FD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F4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298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DA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9B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6BEC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F96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96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E5D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59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F2C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47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08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-0.15</w:t>
            </w:r>
          </w:p>
        </w:tc>
      </w:tr>
      <w:tr w:rsidR="00104A17" w:rsidRPr="00104A17" w14:paraId="522DCF3E" w14:textId="77777777" w:rsidTr="000B6094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CF85" w14:textId="513D6FD2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Disease Duration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ED8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6BF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F2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E7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558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7E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6C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9E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621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FF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E9E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0.86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CA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A9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0.69</w:t>
            </w:r>
          </w:p>
        </w:tc>
      </w:tr>
      <w:tr w:rsidR="00104A17" w:rsidRPr="00104A17" w14:paraId="227A8742" w14:textId="77777777" w:rsidTr="000B609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5EEE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ACPA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AF6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4D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3CE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04E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7A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EFE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44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D77F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11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49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FD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0.40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10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788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</w:tr>
      <w:tr w:rsidR="00104A17" w:rsidRPr="00104A17" w14:paraId="4B77A831" w14:textId="77777777" w:rsidTr="000B609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A35A" w14:textId="77777777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RF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C4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4A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A4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3D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AD4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76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7FF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4F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D0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47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0EB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590C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46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0.32</w:t>
            </w:r>
          </w:p>
        </w:tc>
      </w:tr>
      <w:tr w:rsidR="00104A17" w:rsidRPr="00104A17" w14:paraId="10CFEFF9" w14:textId="77777777" w:rsidTr="000B6094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2B8E" w14:textId="4F9852E0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DAS28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290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F3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5B0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03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F6C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C3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865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29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06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3DF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C6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66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1D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0.25</w:t>
            </w:r>
          </w:p>
        </w:tc>
      </w:tr>
      <w:tr w:rsidR="00104A17" w:rsidRPr="00104A17" w14:paraId="0FD46B98" w14:textId="77777777" w:rsidTr="000B6094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DAE8" w14:textId="36BC4265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Hand erosion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9A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DBB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12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71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21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E2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0BAC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1D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50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6C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61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0.99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31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55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0.59</w:t>
            </w:r>
          </w:p>
        </w:tc>
      </w:tr>
      <w:tr w:rsidR="00104A17" w:rsidRPr="00104A17" w14:paraId="37DF05D8" w14:textId="77777777" w:rsidTr="000B6094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6BE6" w14:textId="01356E39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Feet erosion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3E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70F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D5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5C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90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9EC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56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A5D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26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A6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5455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0.89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C3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B2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0.67</w:t>
            </w:r>
          </w:p>
        </w:tc>
      </w:tr>
      <w:tr w:rsidR="00104A17" w:rsidRPr="00104A17" w14:paraId="1AA8631C" w14:textId="77777777" w:rsidTr="000B6094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FED2" w14:textId="7C132AD5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Total erosion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7F7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63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CC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61D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CD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95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AD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7D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7A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F1F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A52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3AB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3B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0.63</w:t>
            </w:r>
          </w:p>
        </w:tc>
      </w:tr>
      <w:tr w:rsidR="00104A17" w:rsidRPr="00104A17" w14:paraId="57039492" w14:textId="77777777" w:rsidTr="000B6094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E93C" w14:textId="468EDE34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Anti-carH4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884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D6D8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DCE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23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AF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E69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C2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6BB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B7F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628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E0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0.46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5F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99B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0.96</w:t>
            </w:r>
          </w:p>
        </w:tc>
      </w:tr>
      <w:tr w:rsidR="00104A17" w:rsidRPr="00104A17" w14:paraId="3E07BDD8" w14:textId="77777777" w:rsidTr="000B6094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938" w14:textId="55AC8D48" w:rsidR="00104A17" w:rsidRPr="00104A17" w:rsidRDefault="00104A17" w:rsidP="00104A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Anti-carLL37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D91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5D7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9F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B4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-0.15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4AD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ECDB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8B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F13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F764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8DA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EA6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0.63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CC7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0.96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2EE" w14:textId="77777777" w:rsidR="00104A17" w:rsidRPr="00104A17" w:rsidRDefault="00104A17" w:rsidP="00104A1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04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1.00</w:t>
            </w:r>
          </w:p>
        </w:tc>
      </w:tr>
    </w:tbl>
    <w:p w14:paraId="06A4A50D" w14:textId="77777777" w:rsidR="00104A17" w:rsidRPr="0038234D" w:rsidRDefault="00104A17" w:rsidP="0038234D">
      <w:pPr>
        <w:pStyle w:val="NormalWeb"/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1E63C3" w14:textId="4C75A0E3" w:rsidR="000B6094" w:rsidRPr="000B6094" w:rsidRDefault="000B6094" w:rsidP="000B6094">
      <w:pPr>
        <w:pStyle w:val="NormalWeb"/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094">
        <w:rPr>
          <w:rFonts w:asciiTheme="minorHAnsi" w:hAnsiTheme="minorHAnsi" w:cstheme="minorHAnsi"/>
          <w:sz w:val="24"/>
          <w:szCs w:val="24"/>
        </w:rPr>
        <w:t>Table S2: Correlation matrix displaying clinical variables and autoantibodies against citrulline (ACPA), carbamylated Histone 4 (</w:t>
      </w:r>
      <w:r w:rsidR="00DF6A28">
        <w:rPr>
          <w:rFonts w:asciiTheme="minorHAnsi" w:hAnsiTheme="minorHAnsi" w:cstheme="minorHAnsi"/>
          <w:sz w:val="24"/>
          <w:szCs w:val="24"/>
        </w:rPr>
        <w:t>A</w:t>
      </w:r>
      <w:r w:rsidRPr="000B6094">
        <w:rPr>
          <w:rFonts w:asciiTheme="minorHAnsi" w:hAnsiTheme="minorHAnsi" w:cstheme="minorHAnsi"/>
          <w:sz w:val="24"/>
          <w:szCs w:val="24"/>
        </w:rPr>
        <w:t xml:space="preserve">nti-carH4) and carbamylated LL37 (Anti-carLL37). R values are displayed. Bolded parameters show possible biomarkers for erosive RA based on radiographic scoring. BMI: body mass index, DAS28: Disease activity score. </w:t>
      </w:r>
    </w:p>
    <w:p w14:paraId="771E344B" w14:textId="338D0F22" w:rsidR="00E24C6F" w:rsidRPr="00DC5DBC" w:rsidRDefault="0038234D" w:rsidP="00DC5DB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CC90BB8" w14:textId="576AA703" w:rsidR="00E24C6F" w:rsidRPr="00D23968" w:rsidRDefault="00406190" w:rsidP="00E24C6F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6FEF20F" wp14:editId="692517EF">
            <wp:simplePos x="0" y="0"/>
            <wp:positionH relativeFrom="margin">
              <wp:posOffset>1743075</wp:posOffset>
            </wp:positionH>
            <wp:positionV relativeFrom="paragraph">
              <wp:posOffset>9525</wp:posOffset>
            </wp:positionV>
            <wp:extent cx="2714625" cy="1647076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4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37008" w14:textId="13C3BE5D" w:rsidR="00E24C6F" w:rsidRPr="00D23968" w:rsidRDefault="00E24C6F" w:rsidP="00E24C6F"/>
    <w:p w14:paraId="757DA2BE" w14:textId="03D2007A" w:rsidR="00E24C6F" w:rsidRPr="00D23968" w:rsidRDefault="00E24C6F" w:rsidP="00E24C6F"/>
    <w:p w14:paraId="6FD949EF" w14:textId="77777777" w:rsidR="00E24C6F" w:rsidRPr="00D23968" w:rsidRDefault="00E24C6F" w:rsidP="00E24C6F"/>
    <w:p w14:paraId="7DF639DA" w14:textId="77777777" w:rsidR="00E24C6F" w:rsidRPr="00D23968" w:rsidRDefault="00E24C6F" w:rsidP="00E24C6F"/>
    <w:p w14:paraId="6A164CEA" w14:textId="77777777" w:rsidR="00E24C6F" w:rsidRDefault="00E24C6F" w:rsidP="00E24C6F"/>
    <w:p w14:paraId="0E988AA9" w14:textId="77777777" w:rsidR="00406190" w:rsidRDefault="00406190" w:rsidP="00E24C6F">
      <w:pPr>
        <w:spacing w:line="360" w:lineRule="auto"/>
        <w:jc w:val="both"/>
      </w:pPr>
    </w:p>
    <w:p w14:paraId="29AAC09A" w14:textId="77777777" w:rsidR="00406190" w:rsidRDefault="00406190" w:rsidP="00E24C6F">
      <w:pPr>
        <w:spacing w:line="360" w:lineRule="auto"/>
        <w:jc w:val="both"/>
      </w:pPr>
    </w:p>
    <w:p w14:paraId="5350A887" w14:textId="77777777" w:rsidR="00406190" w:rsidRDefault="00406190" w:rsidP="00E24C6F">
      <w:pPr>
        <w:spacing w:line="360" w:lineRule="auto"/>
        <w:jc w:val="both"/>
      </w:pPr>
    </w:p>
    <w:p w14:paraId="2DA67A5A" w14:textId="77777777" w:rsidR="00406190" w:rsidRDefault="00406190" w:rsidP="00E24C6F">
      <w:pPr>
        <w:spacing w:line="360" w:lineRule="auto"/>
        <w:jc w:val="both"/>
      </w:pPr>
    </w:p>
    <w:p w14:paraId="74919C6C" w14:textId="22D77592" w:rsidR="00E24C6F" w:rsidRDefault="00E24C6F" w:rsidP="00E24C6F">
      <w:pPr>
        <w:spacing w:line="360" w:lineRule="auto"/>
        <w:jc w:val="both"/>
      </w:pPr>
      <w:r>
        <w:t xml:space="preserve">Figure S1. </w:t>
      </w:r>
      <w:r w:rsidRPr="00161D57">
        <w:rPr>
          <w:b/>
        </w:rPr>
        <w:t>Antibody specificity.</w:t>
      </w:r>
      <w:r>
        <w:t xml:space="preserve"> To assess whether antibodies distinguish between citrullination and </w:t>
      </w:r>
      <w:proofErr w:type="spellStart"/>
      <w:r>
        <w:t>carbamylation</w:t>
      </w:r>
      <w:proofErr w:type="spellEnd"/>
      <w:r>
        <w:t xml:space="preserve"> (</w:t>
      </w:r>
      <w:proofErr w:type="spellStart"/>
      <w:r>
        <w:t>homocitrulline</w:t>
      </w:r>
      <w:proofErr w:type="spellEnd"/>
      <w:r>
        <w:t xml:space="preserve">), recombinant </w:t>
      </w:r>
      <w:r w:rsidR="00DC5DBC" w:rsidRPr="00450282">
        <w:t xml:space="preserve">LL37 </w:t>
      </w:r>
      <w:r w:rsidRPr="00450282">
        <w:t xml:space="preserve">was incubated in the presence of PAD2 or presence of cyanate to generate citrullinate and carbamylated form of </w:t>
      </w:r>
      <w:r w:rsidR="00DC5DBC" w:rsidRPr="00450282">
        <w:t>LL37</w:t>
      </w:r>
      <w:r w:rsidRPr="00450282">
        <w:t xml:space="preserve"> respectively. Western blot analysis shows that anti-</w:t>
      </w:r>
      <w:proofErr w:type="spellStart"/>
      <w:r w:rsidRPr="00450282">
        <w:t>carLys</w:t>
      </w:r>
      <w:proofErr w:type="spellEnd"/>
      <w:r w:rsidRPr="00450282">
        <w:t xml:space="preserve"> antibody recognize</w:t>
      </w:r>
      <w:r w:rsidR="00DC5DBC" w:rsidRPr="00450282">
        <w:t>s</w:t>
      </w:r>
      <w:r w:rsidRPr="00450282">
        <w:t xml:space="preserve"> the carbamylated form of </w:t>
      </w:r>
      <w:r w:rsidR="00DC5DBC" w:rsidRPr="00450282">
        <w:t xml:space="preserve">LL37, but not the citrullinated form. </w:t>
      </w:r>
      <w:proofErr w:type="spellStart"/>
      <w:r w:rsidR="00D97862" w:rsidRPr="00450282">
        <w:t>Coomasie</w:t>
      </w:r>
      <w:proofErr w:type="spellEnd"/>
      <w:r w:rsidR="00D97862" w:rsidRPr="00450282">
        <w:t xml:space="preserve"> blue was used as loading control to detect total recombinant LL37 loaded per lane.</w:t>
      </w:r>
    </w:p>
    <w:p w14:paraId="1CC13256" w14:textId="3AB4C4C4" w:rsidR="00DC5DBC" w:rsidRDefault="00DC5DBC" w:rsidP="00E24C6F">
      <w:pPr>
        <w:spacing w:line="360" w:lineRule="auto"/>
        <w:jc w:val="both"/>
      </w:pPr>
    </w:p>
    <w:p w14:paraId="1989EF47" w14:textId="3FC0FB76" w:rsidR="00DC5DBC" w:rsidRDefault="00DC5DBC" w:rsidP="00DC5DBC">
      <w:pPr>
        <w:spacing w:after="160" w:line="259" w:lineRule="auto"/>
      </w:pPr>
      <w:r>
        <w:br w:type="page"/>
      </w:r>
    </w:p>
    <w:p w14:paraId="21CA763C" w14:textId="4C38B0CF" w:rsidR="00DC5DBC" w:rsidRDefault="00DC5DBC">
      <w:pPr>
        <w:spacing w:after="160" w:line="259" w:lineRule="auto"/>
      </w:pPr>
    </w:p>
    <w:p w14:paraId="377B2946" w14:textId="2991886C" w:rsidR="00DC5DBC" w:rsidRDefault="00406190" w:rsidP="00E24C6F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D8764A" wp14:editId="6F3EBE6D">
            <wp:simplePos x="0" y="0"/>
            <wp:positionH relativeFrom="column">
              <wp:posOffset>1343025</wp:posOffset>
            </wp:positionH>
            <wp:positionV relativeFrom="paragraph">
              <wp:posOffset>145415</wp:posOffset>
            </wp:positionV>
            <wp:extent cx="3724275" cy="2249499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24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66767" w14:textId="7E6A00FE" w:rsidR="0038234D" w:rsidRDefault="0038234D" w:rsidP="00E24C6F">
      <w:pPr>
        <w:spacing w:line="360" w:lineRule="auto"/>
        <w:jc w:val="both"/>
      </w:pPr>
    </w:p>
    <w:p w14:paraId="112ADF43" w14:textId="6130D613" w:rsidR="00886F1D" w:rsidRDefault="00886F1D"/>
    <w:p w14:paraId="2AD730EE" w14:textId="1C7CDA88" w:rsidR="00DC5DBC" w:rsidRDefault="00DC5DBC"/>
    <w:p w14:paraId="7CD84322" w14:textId="0F94643E" w:rsidR="00DC5DBC" w:rsidRDefault="00DC5DBC"/>
    <w:p w14:paraId="4AD65FC9" w14:textId="1D2583E1" w:rsidR="00DC5DBC" w:rsidRDefault="00DC5DBC"/>
    <w:p w14:paraId="43410AC2" w14:textId="31467AE9" w:rsidR="00DC5DBC" w:rsidRDefault="00DC5DBC"/>
    <w:p w14:paraId="77E60C97" w14:textId="4F7DF5CA" w:rsidR="00DC5DBC" w:rsidRDefault="00DC5DBC"/>
    <w:p w14:paraId="2E4B26D1" w14:textId="141CF100" w:rsidR="00DC5DBC" w:rsidRDefault="00DC5DBC"/>
    <w:p w14:paraId="35565502" w14:textId="4C07F68E" w:rsidR="00DC5DBC" w:rsidRDefault="00DC5DBC"/>
    <w:p w14:paraId="688A94B4" w14:textId="2777A58B" w:rsidR="00DC5DBC" w:rsidRDefault="00DC5DBC"/>
    <w:p w14:paraId="34168B68" w14:textId="5FEEDA50" w:rsidR="00DC5DBC" w:rsidRDefault="00DC5DBC"/>
    <w:p w14:paraId="693A1E7B" w14:textId="75B03257" w:rsidR="00DC5DBC" w:rsidRDefault="00DC5DBC"/>
    <w:p w14:paraId="038835C3" w14:textId="1B831A96" w:rsidR="00DC5DBC" w:rsidRDefault="00DC5DBC"/>
    <w:p w14:paraId="7BF385CD" w14:textId="7B999C98" w:rsidR="00DC5DBC" w:rsidRDefault="00DC5DBC" w:rsidP="00DC5DBC">
      <w:pPr>
        <w:spacing w:line="360" w:lineRule="auto"/>
        <w:jc w:val="both"/>
      </w:pPr>
      <w:r w:rsidRPr="00450282">
        <w:t>Figure S2: Western blot of supernatant derived from neutrophils stimulated with Ionophore for 4 hours. Red: LL37, Green: carbamylated-lysine, yellow: carbamylated LL37. CAP-18: full length precursor cathelicidin.</w:t>
      </w:r>
      <w:r>
        <w:t xml:space="preserve"> </w:t>
      </w:r>
    </w:p>
    <w:p w14:paraId="0F9FAE6F" w14:textId="77777777" w:rsidR="00DC5DBC" w:rsidRDefault="00DC5DBC"/>
    <w:sectPr w:rsidR="00DC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F"/>
    <w:rsid w:val="00052F65"/>
    <w:rsid w:val="000B6094"/>
    <w:rsid w:val="00104A17"/>
    <w:rsid w:val="00190862"/>
    <w:rsid w:val="002003CB"/>
    <w:rsid w:val="00231D2F"/>
    <w:rsid w:val="0038234D"/>
    <w:rsid w:val="00406190"/>
    <w:rsid w:val="004115E0"/>
    <w:rsid w:val="00450282"/>
    <w:rsid w:val="004B6691"/>
    <w:rsid w:val="00522A19"/>
    <w:rsid w:val="00585161"/>
    <w:rsid w:val="00886F1D"/>
    <w:rsid w:val="0097744C"/>
    <w:rsid w:val="009E60E8"/>
    <w:rsid w:val="00D97862"/>
    <w:rsid w:val="00DC5DBC"/>
    <w:rsid w:val="00DF6A28"/>
    <w:rsid w:val="00E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0D5C"/>
  <w15:chartTrackingRefBased/>
  <w15:docId w15:val="{BBC7CDA0-9C8E-445A-ACC5-88C5AD0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4C6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3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Carmona-Rivera, Carmelo (NIH/NIAMS) [E]</dc:creator>
  <cp:keywords/>
  <dc:description/>
  <cp:lastModifiedBy>Megan Bond</cp:lastModifiedBy>
  <cp:revision>2</cp:revision>
  <dcterms:created xsi:type="dcterms:W3CDTF">2021-08-25T08:52:00Z</dcterms:created>
  <dcterms:modified xsi:type="dcterms:W3CDTF">2021-08-25T08:52:00Z</dcterms:modified>
</cp:coreProperties>
</file>