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DF511" w14:textId="207BEECB" w:rsidR="00D81AF8" w:rsidRDefault="00654E8F" w:rsidP="002C27CE">
      <w:pPr>
        <w:pStyle w:val="SupplementaryMaterial"/>
      </w:pPr>
      <w:r w:rsidRPr="001549D3">
        <w:t>Supplementary Material</w:t>
      </w:r>
    </w:p>
    <w:p w14:paraId="4D849AB1" w14:textId="77777777" w:rsidR="002C27CE" w:rsidRPr="002C27CE" w:rsidRDefault="002C27CE" w:rsidP="002C27CE">
      <w:pPr>
        <w:pStyle w:val="aff6"/>
      </w:pPr>
    </w:p>
    <w:p w14:paraId="19EF5DD7" w14:textId="77777777" w:rsidR="00BB5771" w:rsidRDefault="00BB5771" w:rsidP="00BB5771">
      <w:pPr>
        <w:spacing w:line="480" w:lineRule="auto"/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7AB355D2" wp14:editId="4CF057C4">
            <wp:extent cx="5273040" cy="6941820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F69" w14:textId="5A66198F" w:rsidR="00BB5771" w:rsidRPr="00CC1896" w:rsidRDefault="00BB5771" w:rsidP="00BB5771">
      <w:pPr>
        <w:spacing w:line="480" w:lineRule="auto"/>
        <w:rPr>
          <w:b/>
          <w:bCs/>
        </w:rPr>
      </w:pPr>
      <w:r w:rsidRPr="00CC1896">
        <w:rPr>
          <w:rFonts w:hint="eastAsia"/>
          <w:b/>
          <w:bCs/>
        </w:rPr>
        <w:lastRenderedPageBreak/>
        <w:t>Figure S1.</w:t>
      </w:r>
      <w:r w:rsidRPr="00CC1896">
        <w:rPr>
          <w:b/>
          <w:bCs/>
        </w:rPr>
        <w:t xml:space="preserve"> The primary risk factors for HNSCC.</w:t>
      </w:r>
    </w:p>
    <w:p w14:paraId="42E235CD" w14:textId="77777777" w:rsidR="00BB5771" w:rsidRPr="00CC1896" w:rsidRDefault="00BB5771" w:rsidP="00BB5771">
      <w:pPr>
        <w:spacing w:line="480" w:lineRule="auto"/>
        <w:rPr>
          <w:b/>
          <w:bCs/>
        </w:rPr>
      </w:pPr>
      <w:r w:rsidRPr="00CC1896">
        <w:rPr>
          <w:rFonts w:hint="eastAsia"/>
        </w:rPr>
        <w:t xml:space="preserve">A. </w:t>
      </w:r>
      <w:r w:rsidRPr="00CC1896">
        <w:t xml:space="preserve">Differences in pathway activities scored per sample by GSVA between paired tumor and normal HNSCC in GSE107591 (left, n = 23) and GSE127165 (right, n= 57) cohorts. Shown are t values from a linear model, corrected for patient of origin. </w:t>
      </w:r>
      <w:proofErr w:type="spellStart"/>
      <w:r w:rsidRPr="00CC1896">
        <w:t>dn</w:t>
      </w:r>
      <w:proofErr w:type="spellEnd"/>
      <w:r w:rsidRPr="00CC1896">
        <w:t>, down; UV, ultraviolet; v1, version 1; v2, version 2.</w:t>
      </w:r>
      <w:r>
        <w:t xml:space="preserve"> </w:t>
      </w:r>
      <w:r w:rsidRPr="00CC1896">
        <w:rPr>
          <w:rFonts w:hint="eastAsia"/>
        </w:rPr>
        <w:t xml:space="preserve">B. Veen diagram of upregulated (left) and </w:t>
      </w:r>
      <w:r w:rsidRPr="00CC1896">
        <w:t>downregulated (right) pathways based on the three datasets.</w:t>
      </w:r>
      <w:r>
        <w:t xml:space="preserve"> </w:t>
      </w:r>
      <w:r w:rsidRPr="00CC1896">
        <w:t>C. GSEA shows that mTORC1 signaling, UPR and UV response UP are significantly enriched in TCGA and GSE107591 cohorts.</w:t>
      </w:r>
    </w:p>
    <w:p w14:paraId="7B36DE53" w14:textId="77777777" w:rsidR="00BB5771" w:rsidRDefault="00BB5771" w:rsidP="00BB5771">
      <w:pPr>
        <w:spacing w:line="480" w:lineRule="auto"/>
        <w:rPr>
          <w:b/>
          <w:bCs/>
        </w:rPr>
      </w:pPr>
      <w:r>
        <w:rPr>
          <w:b/>
          <w:bCs/>
        </w:rPr>
        <w:br w:type="page"/>
      </w:r>
    </w:p>
    <w:p w14:paraId="600071C1" w14:textId="3596DF78" w:rsidR="00EA2D55" w:rsidRDefault="00AD5084" w:rsidP="00BB5771">
      <w:pPr>
        <w:spacing w:line="480" w:lineRule="auto"/>
        <w:rPr>
          <w:b/>
          <w:bCs/>
        </w:rPr>
      </w:pPr>
      <w:r>
        <w:rPr>
          <w:rFonts w:hint="eastAsia"/>
          <w:b/>
          <w:bCs/>
          <w:noProof/>
        </w:rPr>
        <w:lastRenderedPageBreak/>
        <w:drawing>
          <wp:inline distT="0" distB="0" distL="0" distR="0" wp14:anchorId="2F6B4EBB" wp14:editId="0C65B9D5">
            <wp:extent cx="6210300" cy="7391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C02BA" w14:textId="4A34A08F" w:rsidR="00BB5771" w:rsidRPr="00231C5F" w:rsidRDefault="00BB5771" w:rsidP="00BB5771">
      <w:pPr>
        <w:spacing w:line="480" w:lineRule="auto"/>
        <w:rPr>
          <w:b/>
          <w:bCs/>
        </w:rPr>
      </w:pPr>
      <w:r>
        <w:rPr>
          <w:rFonts w:hint="eastAsia"/>
          <w:b/>
          <w:bCs/>
        </w:rPr>
        <w:t>Fig</w:t>
      </w:r>
      <w:r>
        <w:rPr>
          <w:b/>
          <w:bCs/>
        </w:rPr>
        <w:t>ure</w:t>
      </w:r>
      <w:r w:rsidRPr="00231C5F">
        <w:rPr>
          <w:rFonts w:hint="eastAsia"/>
          <w:b/>
          <w:bCs/>
        </w:rPr>
        <w:t xml:space="preserve"> S2. The core genes </w:t>
      </w:r>
      <w:r w:rsidRPr="00231C5F">
        <w:rPr>
          <w:b/>
          <w:bCs/>
        </w:rPr>
        <w:t>classif</w:t>
      </w:r>
      <w:r>
        <w:rPr>
          <w:b/>
          <w:bCs/>
        </w:rPr>
        <w:t>y</w:t>
      </w:r>
      <w:r w:rsidRPr="00231C5F">
        <w:rPr>
          <w:rFonts w:hint="eastAsia"/>
          <w:b/>
          <w:bCs/>
        </w:rPr>
        <w:t xml:space="preserve"> three molecular subtypes of HNSCC in the GEO </w:t>
      </w:r>
      <w:r w:rsidRPr="00231C5F">
        <w:rPr>
          <w:b/>
          <w:bCs/>
        </w:rPr>
        <w:t xml:space="preserve">validation </w:t>
      </w:r>
      <w:r w:rsidRPr="00231C5F">
        <w:rPr>
          <w:rFonts w:hint="eastAsia"/>
          <w:b/>
          <w:bCs/>
        </w:rPr>
        <w:t xml:space="preserve">datasets. </w:t>
      </w:r>
    </w:p>
    <w:p w14:paraId="190154B1" w14:textId="77777777" w:rsidR="00BB5771" w:rsidRPr="00231C5F" w:rsidRDefault="00BB5771" w:rsidP="00BB5771">
      <w:pPr>
        <w:spacing w:line="480" w:lineRule="auto"/>
      </w:pPr>
      <w:r w:rsidRPr="00231C5F">
        <w:lastRenderedPageBreak/>
        <w:t>A. The relative changes in area under the cumulative distribution function (CDF) curve with increasing k.</w:t>
      </w:r>
      <w:r>
        <w:t xml:space="preserve"> </w:t>
      </w:r>
      <w:r w:rsidRPr="00231C5F">
        <w:rPr>
          <w:rFonts w:hint="eastAsia"/>
        </w:rPr>
        <w:t xml:space="preserve">B-D. </w:t>
      </w:r>
      <w:r w:rsidRPr="00231C5F">
        <w:t>Consensus matrix heatmaps (k = 3) and prognostic analysis in the GSE41613 (B, n = 97), GSE65858 (C, n = 270), and GSE427433 (D, n = 75) cohorts.</w:t>
      </w:r>
      <w:r>
        <w:t xml:space="preserve"> </w:t>
      </w:r>
      <w:r w:rsidRPr="00231C5F">
        <w:t>E. Distribution of GSVA score of UPR, UV response UP and mTORC1 signaling pathway</w:t>
      </w:r>
      <w:r>
        <w:t xml:space="preserve"> across different subtypes.</w:t>
      </w:r>
    </w:p>
    <w:p w14:paraId="489967C2" w14:textId="675441DC" w:rsidR="009204E3" w:rsidRDefault="00BB5771" w:rsidP="00BB5771">
      <w:pPr>
        <w:spacing w:line="480" w:lineRule="auto"/>
        <w:rPr>
          <w:b/>
          <w:bCs/>
        </w:rPr>
      </w:pPr>
      <w:r>
        <w:rPr>
          <w:b/>
          <w:bCs/>
        </w:rPr>
        <w:br w:type="page"/>
      </w:r>
    </w:p>
    <w:p w14:paraId="3DA39B5D" w14:textId="1920C247" w:rsidR="00EA2D55" w:rsidRDefault="00BE4848" w:rsidP="00BB5771">
      <w:pPr>
        <w:spacing w:line="480" w:lineRule="auto"/>
        <w:rPr>
          <w:b/>
          <w:bCs/>
        </w:rPr>
      </w:pPr>
      <w:r>
        <w:rPr>
          <w:rFonts w:hint="eastAsia"/>
          <w:b/>
          <w:bCs/>
          <w:noProof/>
        </w:rPr>
        <w:lastRenderedPageBreak/>
        <w:drawing>
          <wp:inline distT="0" distB="0" distL="0" distR="0" wp14:anchorId="5C33C5D7" wp14:editId="43B1DAB9">
            <wp:extent cx="6210300" cy="35356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E2F26" w14:textId="574CF018" w:rsidR="00BB5771" w:rsidRPr="00FB4722" w:rsidRDefault="00BB5771" w:rsidP="00BB5771">
      <w:pPr>
        <w:spacing w:line="480" w:lineRule="auto"/>
        <w:rPr>
          <w:b/>
          <w:bCs/>
        </w:rPr>
      </w:pPr>
      <w:r>
        <w:rPr>
          <w:rFonts w:hint="eastAsia"/>
          <w:b/>
          <w:bCs/>
        </w:rPr>
        <w:t>Fig</w:t>
      </w:r>
      <w:r>
        <w:rPr>
          <w:b/>
          <w:bCs/>
        </w:rPr>
        <w:t>ure</w:t>
      </w:r>
      <w:r w:rsidRPr="00FB4722">
        <w:rPr>
          <w:rFonts w:hint="eastAsia"/>
          <w:b/>
          <w:bCs/>
        </w:rPr>
        <w:t xml:space="preserve"> S3. Molecular characteristics of different HNSCC subtypes in the TCGA cohort. </w:t>
      </w:r>
    </w:p>
    <w:p w14:paraId="3C2389D0" w14:textId="24B21EC4" w:rsidR="00BB5771" w:rsidRPr="00FB4722" w:rsidRDefault="003C616A" w:rsidP="00BB5771">
      <w:pPr>
        <w:spacing w:line="480" w:lineRule="auto"/>
      </w:pPr>
      <w:r>
        <w:t>A</w:t>
      </w:r>
      <w:r w:rsidR="00BB5771" w:rsidRPr="00FB4722">
        <w:rPr>
          <w:rFonts w:hint="eastAsia"/>
        </w:rPr>
        <w:t xml:space="preserve">. The distribution of pathway activity for patients </w:t>
      </w:r>
      <w:r w:rsidR="00F45186">
        <w:rPr>
          <w:rFonts w:hint="eastAsia"/>
          <w:lang w:eastAsia="zh-CN"/>
        </w:rPr>
        <w:t>in</w:t>
      </w:r>
      <w:r w:rsidR="00BB5771" w:rsidRPr="00FB4722">
        <w:rPr>
          <w:rFonts w:hint="eastAsia"/>
        </w:rPr>
        <w:t xml:space="preserve"> different subtypes.</w:t>
      </w:r>
      <w:r w:rsidRPr="003C616A">
        <w:t xml:space="preserve"> </w:t>
      </w:r>
      <w:r>
        <w:t>B</w:t>
      </w:r>
      <w:r w:rsidRPr="00FB4722">
        <w:rPr>
          <w:rFonts w:hint="eastAsia"/>
        </w:rPr>
        <w:t>. The proportion of patients with different gender, HPV status, survival status, and stages of the three subtypes.</w:t>
      </w:r>
    </w:p>
    <w:p w14:paraId="3A6AD591" w14:textId="28B7CD41" w:rsidR="00BB5771" w:rsidRPr="00634363" w:rsidRDefault="00BB5771" w:rsidP="00BB5771">
      <w:pPr>
        <w:spacing w:line="480" w:lineRule="auto"/>
      </w:pPr>
      <w:r>
        <w:rPr>
          <w:b/>
          <w:bCs/>
        </w:rPr>
        <w:br w:type="page"/>
      </w:r>
    </w:p>
    <w:p w14:paraId="35A172A5" w14:textId="08EBB2C1" w:rsidR="0017242C" w:rsidRDefault="003D2E1C" w:rsidP="00BB5771">
      <w:pPr>
        <w:spacing w:line="480" w:lineRule="auto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6239F75" wp14:editId="1C591E9D">
            <wp:extent cx="6208395" cy="722122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72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FEFD2" w14:textId="7E74C713" w:rsidR="00BB5771" w:rsidRPr="005B13AB" w:rsidRDefault="00BB5771" w:rsidP="00BB5771">
      <w:pPr>
        <w:spacing w:line="480" w:lineRule="auto"/>
        <w:rPr>
          <w:b/>
          <w:bCs/>
        </w:rPr>
      </w:pPr>
      <w:r>
        <w:rPr>
          <w:rFonts w:hint="eastAsia"/>
          <w:b/>
          <w:bCs/>
        </w:rPr>
        <w:t>Fig</w:t>
      </w:r>
      <w:r>
        <w:rPr>
          <w:b/>
          <w:bCs/>
        </w:rPr>
        <w:t>ure</w:t>
      </w:r>
      <w:r w:rsidRPr="005B13AB">
        <w:rPr>
          <w:rFonts w:hint="eastAsia"/>
          <w:b/>
          <w:bCs/>
        </w:rPr>
        <w:t xml:space="preserve"> S4. Prediction</w:t>
      </w:r>
      <w:r>
        <w:rPr>
          <w:b/>
          <w:bCs/>
        </w:rPr>
        <w:t xml:space="preserve"> of response to</w:t>
      </w:r>
      <w:r w:rsidRPr="005B13AB">
        <w:rPr>
          <w:rFonts w:hint="eastAsia"/>
          <w:b/>
          <w:bCs/>
        </w:rPr>
        <w:t xml:space="preserve"> immunotherapeutic and </w:t>
      </w:r>
      <w:r w:rsidRPr="00C853E2">
        <w:rPr>
          <w:b/>
          <w:bCs/>
        </w:rPr>
        <w:t xml:space="preserve">therapeutic </w:t>
      </w:r>
      <w:r>
        <w:rPr>
          <w:b/>
          <w:bCs/>
        </w:rPr>
        <w:t>agents</w:t>
      </w:r>
      <w:r w:rsidRPr="005B13AB">
        <w:rPr>
          <w:rFonts w:hint="eastAsia"/>
          <w:b/>
          <w:bCs/>
        </w:rPr>
        <w:t xml:space="preserve"> for different subtypes.</w:t>
      </w:r>
    </w:p>
    <w:p w14:paraId="318BEA2E" w14:textId="72C80BE3" w:rsidR="00BB5771" w:rsidRDefault="00FB21F2" w:rsidP="00FB21F2">
      <w:pPr>
        <w:pStyle w:val="a"/>
        <w:numPr>
          <w:ilvl w:val="0"/>
          <w:numId w:val="0"/>
        </w:numPr>
        <w:spacing w:line="480" w:lineRule="auto"/>
        <w:ind w:left="360"/>
      </w:pPr>
      <w:r>
        <w:lastRenderedPageBreak/>
        <w:t xml:space="preserve">A. </w:t>
      </w:r>
      <w:r w:rsidR="00BB5771" w:rsidRPr="005B13AB">
        <w:t>The expression of immune checkpoint pathway for patients with HNSCC of different subtypes in TCGA cohort.</w:t>
      </w:r>
      <w:r w:rsidR="00BB5771" w:rsidRPr="00D970A5">
        <w:rPr>
          <w:color w:val="0070C0"/>
        </w:rPr>
        <w:t xml:space="preserve"> </w:t>
      </w:r>
      <w:r w:rsidR="00723BDD" w:rsidRPr="00150E74">
        <w:rPr>
          <w:color w:val="000000" w:themeColor="text1"/>
        </w:rPr>
        <w:t>B. T</w:t>
      </w:r>
      <w:r w:rsidR="00723BDD" w:rsidRPr="00150E74">
        <w:rPr>
          <w:rFonts w:hint="eastAsia"/>
          <w:color w:val="000000" w:themeColor="text1"/>
          <w:lang w:eastAsia="zh-CN"/>
        </w:rPr>
        <w:t>he</w:t>
      </w:r>
      <w:r w:rsidR="00723BDD" w:rsidRPr="00150E74">
        <w:rPr>
          <w:color w:val="000000" w:themeColor="text1"/>
        </w:rPr>
        <w:t xml:space="preserve"> distribution of TIDE score in different subtypes. C</w:t>
      </w:r>
      <w:r w:rsidR="00200DC0" w:rsidRPr="00150E74">
        <w:rPr>
          <w:color w:val="000000" w:themeColor="text1"/>
        </w:rPr>
        <w:t xml:space="preserve"> and D. The box plots depict the estimated IC50 for </w:t>
      </w:r>
      <w:bookmarkStart w:id="0" w:name="OLE_LINK68"/>
      <w:r w:rsidR="00932BAA" w:rsidRPr="00150E74">
        <w:rPr>
          <w:color w:val="000000" w:themeColor="text1"/>
        </w:rPr>
        <w:t>cisplatin</w:t>
      </w:r>
      <w:bookmarkEnd w:id="0"/>
      <w:r w:rsidR="00932BAA" w:rsidRPr="00150E74">
        <w:rPr>
          <w:color w:val="000000" w:themeColor="text1"/>
        </w:rPr>
        <w:t xml:space="preserve">, </w:t>
      </w:r>
      <w:bookmarkStart w:id="1" w:name="OLE_LINK70"/>
      <w:bookmarkStart w:id="2" w:name="OLE_LINK71"/>
      <w:r w:rsidR="00932BAA" w:rsidRPr="00150E74">
        <w:rPr>
          <w:color w:val="000000" w:themeColor="text1"/>
        </w:rPr>
        <w:t>gemcitabine</w:t>
      </w:r>
      <w:bookmarkEnd w:id="1"/>
      <w:bookmarkEnd w:id="2"/>
      <w:r w:rsidR="00932BAA" w:rsidRPr="00150E74">
        <w:rPr>
          <w:color w:val="000000" w:themeColor="text1"/>
        </w:rPr>
        <w:t xml:space="preserve">, </w:t>
      </w:r>
      <w:bookmarkStart w:id="3" w:name="OLE_LINK72"/>
      <w:proofErr w:type="spellStart"/>
      <w:r w:rsidR="00932BAA" w:rsidRPr="00150E74">
        <w:rPr>
          <w:color w:val="000000" w:themeColor="text1"/>
        </w:rPr>
        <w:t>entinostat</w:t>
      </w:r>
      <w:bookmarkEnd w:id="3"/>
      <w:proofErr w:type="spellEnd"/>
      <w:r w:rsidR="00932BAA" w:rsidRPr="00150E74">
        <w:rPr>
          <w:color w:val="000000" w:themeColor="text1"/>
        </w:rPr>
        <w:t xml:space="preserve"> (C), as well as </w:t>
      </w:r>
      <w:proofErr w:type="spellStart"/>
      <w:proofErr w:type="gramStart"/>
      <w:r w:rsidR="00932BAA" w:rsidRPr="00150E74">
        <w:rPr>
          <w:color w:val="000000" w:themeColor="text1"/>
        </w:rPr>
        <w:t>luminespib</w:t>
      </w:r>
      <w:r w:rsidR="003D2E1C" w:rsidRPr="00150E74">
        <w:rPr>
          <w:rFonts w:ascii="宋体" w:eastAsia="宋体" w:hAnsi="宋体" w:cs="宋体" w:hint="eastAsia"/>
          <w:color w:val="000000" w:themeColor="text1"/>
          <w:lang w:eastAsia="zh-CN"/>
        </w:rPr>
        <w:t>,</w:t>
      </w:r>
      <w:bookmarkStart w:id="4" w:name="OLE_LINK67"/>
      <w:r w:rsidR="00932BAA" w:rsidRPr="00150E74">
        <w:rPr>
          <w:color w:val="000000" w:themeColor="text1"/>
        </w:rPr>
        <w:t>selumetinib</w:t>
      </w:r>
      <w:bookmarkEnd w:id="4"/>
      <w:proofErr w:type="spellEnd"/>
      <w:proofErr w:type="gramEnd"/>
      <w:r w:rsidR="003D2E1C" w:rsidRPr="00150E74">
        <w:rPr>
          <w:color w:val="000000" w:themeColor="text1"/>
        </w:rPr>
        <w:t xml:space="preserve"> and AZD8055</w:t>
      </w:r>
      <w:r w:rsidR="00932BAA" w:rsidRPr="00150E74">
        <w:rPr>
          <w:color w:val="000000" w:themeColor="text1"/>
        </w:rPr>
        <w:t xml:space="preserve"> (D)</w:t>
      </w:r>
      <w:r w:rsidR="00C76EF4" w:rsidRPr="00150E74">
        <w:rPr>
          <w:color w:val="000000" w:themeColor="text1"/>
        </w:rPr>
        <w:t>.</w:t>
      </w:r>
      <w:r w:rsidRPr="00150E74">
        <w:rPr>
          <w:color w:val="000000" w:themeColor="text1"/>
        </w:rPr>
        <w:t xml:space="preserve"> </w:t>
      </w:r>
      <w:r w:rsidRPr="00150E74">
        <w:rPr>
          <w:rFonts w:eastAsia="Times New Roman"/>
          <w:color w:val="000000" w:themeColor="text1"/>
        </w:rPr>
        <w:t>Wilcoxon rank-sum test was performed between two groups. Kruskal-Wallis test was used to conduct difference comparisons of three groups</w:t>
      </w:r>
      <w:r w:rsidR="00885421" w:rsidRPr="00150E74">
        <w:rPr>
          <w:rFonts w:eastAsia="Times New Roman"/>
          <w:color w:val="000000" w:themeColor="text1"/>
        </w:rPr>
        <w:t>.</w:t>
      </w:r>
    </w:p>
    <w:sectPr w:rsidR="00BB5771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4CD81" w14:textId="77777777" w:rsidR="00D4428C" w:rsidRDefault="00D4428C" w:rsidP="00117666">
      <w:pPr>
        <w:spacing w:after="0"/>
      </w:pPr>
      <w:r>
        <w:separator/>
      </w:r>
    </w:p>
  </w:endnote>
  <w:endnote w:type="continuationSeparator" w:id="0">
    <w:p w14:paraId="3936A9BD" w14:textId="77777777" w:rsidR="00D4428C" w:rsidRDefault="00D4428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7752B" w14:textId="77777777" w:rsidR="00D4428C" w:rsidRDefault="00D4428C" w:rsidP="00117666">
      <w:pPr>
        <w:spacing w:after="0"/>
      </w:pPr>
      <w:r>
        <w:separator/>
      </w:r>
    </w:p>
  </w:footnote>
  <w:footnote w:type="continuationSeparator" w:id="0">
    <w:p w14:paraId="471918DC" w14:textId="77777777" w:rsidR="00D4428C" w:rsidRDefault="00D4428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671756"/>
    <w:multiLevelType w:val="hybridMultilevel"/>
    <w:tmpl w:val="8D4284C8"/>
    <w:lvl w:ilvl="0" w:tplc="536A990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26A1A"/>
    <w:rsid w:val="00034304"/>
    <w:rsid w:val="00035434"/>
    <w:rsid w:val="00052A14"/>
    <w:rsid w:val="0007117E"/>
    <w:rsid w:val="00077D53"/>
    <w:rsid w:val="000D3336"/>
    <w:rsid w:val="00105FD9"/>
    <w:rsid w:val="00114234"/>
    <w:rsid w:val="00117666"/>
    <w:rsid w:val="00150E74"/>
    <w:rsid w:val="001549D3"/>
    <w:rsid w:val="00160065"/>
    <w:rsid w:val="0017242C"/>
    <w:rsid w:val="00177D84"/>
    <w:rsid w:val="00191111"/>
    <w:rsid w:val="001B1A03"/>
    <w:rsid w:val="00200DC0"/>
    <w:rsid w:val="00257769"/>
    <w:rsid w:val="00267D18"/>
    <w:rsid w:val="00274347"/>
    <w:rsid w:val="002868E2"/>
    <w:rsid w:val="002869C3"/>
    <w:rsid w:val="002936E4"/>
    <w:rsid w:val="002B4A57"/>
    <w:rsid w:val="002C27CE"/>
    <w:rsid w:val="002C74CA"/>
    <w:rsid w:val="003123F4"/>
    <w:rsid w:val="003238E3"/>
    <w:rsid w:val="003544FB"/>
    <w:rsid w:val="003C616A"/>
    <w:rsid w:val="003D2E1C"/>
    <w:rsid w:val="003D2F2D"/>
    <w:rsid w:val="00401590"/>
    <w:rsid w:val="00447801"/>
    <w:rsid w:val="00452E9C"/>
    <w:rsid w:val="004735C8"/>
    <w:rsid w:val="00474D0C"/>
    <w:rsid w:val="004947A6"/>
    <w:rsid w:val="004961FF"/>
    <w:rsid w:val="00517A89"/>
    <w:rsid w:val="005250F2"/>
    <w:rsid w:val="005921B9"/>
    <w:rsid w:val="00593EEA"/>
    <w:rsid w:val="005A5EEE"/>
    <w:rsid w:val="00634363"/>
    <w:rsid w:val="006375C7"/>
    <w:rsid w:val="00654E8F"/>
    <w:rsid w:val="00660D05"/>
    <w:rsid w:val="006820B1"/>
    <w:rsid w:val="006B7D14"/>
    <w:rsid w:val="00701727"/>
    <w:rsid w:val="0070566C"/>
    <w:rsid w:val="00714C50"/>
    <w:rsid w:val="00723BDD"/>
    <w:rsid w:val="00725A7D"/>
    <w:rsid w:val="007501BE"/>
    <w:rsid w:val="00790BB3"/>
    <w:rsid w:val="007C206C"/>
    <w:rsid w:val="00817DD6"/>
    <w:rsid w:val="0083759F"/>
    <w:rsid w:val="00885156"/>
    <w:rsid w:val="00885421"/>
    <w:rsid w:val="009151AA"/>
    <w:rsid w:val="009204E3"/>
    <w:rsid w:val="00927328"/>
    <w:rsid w:val="00932BAA"/>
    <w:rsid w:val="0093429D"/>
    <w:rsid w:val="00943573"/>
    <w:rsid w:val="00964134"/>
    <w:rsid w:val="00970F7D"/>
    <w:rsid w:val="00994A3D"/>
    <w:rsid w:val="009C2B12"/>
    <w:rsid w:val="009D3253"/>
    <w:rsid w:val="00A174D9"/>
    <w:rsid w:val="00A336BD"/>
    <w:rsid w:val="00AA4D24"/>
    <w:rsid w:val="00AB6715"/>
    <w:rsid w:val="00AD5084"/>
    <w:rsid w:val="00B1671E"/>
    <w:rsid w:val="00B25EB8"/>
    <w:rsid w:val="00B37F4D"/>
    <w:rsid w:val="00BB4FDF"/>
    <w:rsid w:val="00BB5771"/>
    <w:rsid w:val="00BE4848"/>
    <w:rsid w:val="00C52A7B"/>
    <w:rsid w:val="00C56BAF"/>
    <w:rsid w:val="00C679AA"/>
    <w:rsid w:val="00C75972"/>
    <w:rsid w:val="00C76EF4"/>
    <w:rsid w:val="00CD066B"/>
    <w:rsid w:val="00CE4FEE"/>
    <w:rsid w:val="00D060CF"/>
    <w:rsid w:val="00D369C5"/>
    <w:rsid w:val="00D4428C"/>
    <w:rsid w:val="00D81AF8"/>
    <w:rsid w:val="00D970A5"/>
    <w:rsid w:val="00DB59C3"/>
    <w:rsid w:val="00DC259A"/>
    <w:rsid w:val="00DE23E8"/>
    <w:rsid w:val="00E52377"/>
    <w:rsid w:val="00E537AD"/>
    <w:rsid w:val="00E64E17"/>
    <w:rsid w:val="00E866C9"/>
    <w:rsid w:val="00EA2D55"/>
    <w:rsid w:val="00EA3D3C"/>
    <w:rsid w:val="00EC090A"/>
    <w:rsid w:val="00ED20B5"/>
    <w:rsid w:val="00F45186"/>
    <w:rsid w:val="00F46900"/>
    <w:rsid w:val="00F5474A"/>
    <w:rsid w:val="00F61D89"/>
    <w:rsid w:val="00FB2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14</TotalTime>
  <Pages>7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Z FM</cp:lastModifiedBy>
  <cp:revision>31</cp:revision>
  <cp:lastPrinted>2013-10-03T12:51:00Z</cp:lastPrinted>
  <dcterms:created xsi:type="dcterms:W3CDTF">2018-11-23T08:58:00Z</dcterms:created>
  <dcterms:modified xsi:type="dcterms:W3CDTF">2021-08-25T02:13:00Z</dcterms:modified>
</cp:coreProperties>
</file>