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08D51" w14:textId="1C658563" w:rsidR="008A1541" w:rsidRDefault="005F6CEA">
      <w:pPr>
        <w:rPr>
          <w:rFonts w:ascii="Arial" w:hAnsi="Arial" w:cs="Arial"/>
          <w:b/>
          <w:bCs/>
          <w:sz w:val="20"/>
          <w:szCs w:val="20"/>
        </w:rPr>
      </w:pPr>
      <w:r w:rsidRPr="005F6CEA">
        <w:rPr>
          <w:rFonts w:ascii="Arial" w:hAnsi="Arial" w:cs="Arial"/>
          <w:b/>
          <w:bCs/>
          <w:sz w:val="20"/>
          <w:szCs w:val="20"/>
        </w:rPr>
        <w:t>SUPPLEMENTARY DATA</w:t>
      </w:r>
    </w:p>
    <w:p w14:paraId="4C6E6253" w14:textId="77777777" w:rsidR="005F6CEA" w:rsidRDefault="005F6CEA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  <w:sectPr w:rsidR="005F6CE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E2B7E6" w14:textId="67AEEBC0" w:rsidR="005F6CEA" w:rsidRDefault="005F6CEA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BFA4540" wp14:editId="6A618E6C">
            <wp:extent cx="8799443" cy="5270483"/>
            <wp:effectExtent l="0" t="0" r="1905" b="635"/>
            <wp:docPr id="2" name="Picture 2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lorfu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5524" cy="52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13A5" w14:textId="64F54FA9" w:rsidR="005F6CEA" w:rsidRDefault="005F6CEA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31FDFB82" w14:textId="1A862864" w:rsidR="005F6CEA" w:rsidRPr="00FB20A9" w:rsidRDefault="005F6CEA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7C83688" wp14:editId="27EC7575">
            <wp:extent cx="8863330" cy="5867829"/>
            <wp:effectExtent l="0" t="0" r="1270" b="0"/>
            <wp:docPr id="16" name="Picture 16" descr="Macintosh HD:Users:janesinclair:Desktop:All:2020:Study:Honours:Assessment:Thesis:figures:echo:ECH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sinclair:Desktop:All:2020:Study:Honours:Assessment:Thesis:figures:echo:ECHO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FE2A" w14:textId="502F67C8" w:rsidR="005F6CEA" w:rsidRDefault="005F6CE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4C1280A" wp14:editId="05ACC5DD">
            <wp:extent cx="8863330" cy="869919"/>
            <wp:effectExtent l="0" t="0" r="0" b="0"/>
            <wp:docPr id="15" name="Picture 15" descr="Macintosh HD:Users:janesinclair:Desktop:All:2020:Study:Honours:Assessment:Thesis:figures:echo:ECH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sinclair:Desktop:All:2020:Study:Honours:Assessment:Thesis:figures:echo:ECHO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8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8D84" w14:textId="3D0E6225" w:rsidR="005F6CEA" w:rsidRDefault="005F6CEA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Supplementary Figure </w:t>
      </w:r>
      <w:r w:rsidR="00925C6E">
        <w:rPr>
          <w:rFonts w:ascii="Arial" w:hAnsi="Arial" w:cs="Arial"/>
          <w:b/>
          <w:sz w:val="18"/>
          <w:szCs w:val="18"/>
        </w:rPr>
        <w:t>1</w:t>
      </w:r>
      <w:r w:rsidRPr="008B6AB2">
        <w:rPr>
          <w:rFonts w:ascii="Arial" w:hAnsi="Arial" w:cs="Arial"/>
          <w:sz w:val="18"/>
          <w:szCs w:val="18"/>
        </w:rPr>
        <w:t xml:space="preserve">: Photographs exemplifying </w:t>
      </w:r>
      <w:r w:rsidR="00670D6B">
        <w:rPr>
          <w:rFonts w:ascii="Arial" w:hAnsi="Arial" w:cs="Arial"/>
          <w:sz w:val="18"/>
          <w:szCs w:val="18"/>
        </w:rPr>
        <w:t xml:space="preserve">analysis methods and demonstrating the </w:t>
      </w:r>
      <w:r w:rsidRPr="008B6AB2">
        <w:rPr>
          <w:rFonts w:ascii="Arial" w:hAnsi="Arial" w:cs="Arial"/>
          <w:sz w:val="18"/>
          <w:szCs w:val="18"/>
        </w:rPr>
        <w:t xml:space="preserve">difference in echocardiogram measurements between healthy male C57BL/6J mice and IAV-infected mice with T1DM. </w:t>
      </w:r>
      <w:r w:rsidRPr="00C41755">
        <w:rPr>
          <w:rFonts w:ascii="Arial" w:hAnsi="Arial" w:cs="Arial"/>
          <w:b/>
          <w:bCs/>
          <w:sz w:val="18"/>
          <w:szCs w:val="18"/>
        </w:rPr>
        <w:t>A</w:t>
      </w:r>
      <w:r w:rsidRPr="008B6AB2">
        <w:rPr>
          <w:rFonts w:ascii="Arial" w:hAnsi="Arial" w:cs="Arial"/>
          <w:sz w:val="18"/>
          <w:szCs w:val="18"/>
        </w:rPr>
        <w:t xml:space="preserve"> | Parasternal long-axis (PSLAX) view of the left ventricle in diastole and systole; healthy. </w:t>
      </w:r>
      <w:r w:rsidRPr="00C41755">
        <w:rPr>
          <w:rFonts w:ascii="Arial" w:hAnsi="Arial" w:cs="Arial"/>
          <w:b/>
          <w:bCs/>
          <w:sz w:val="18"/>
          <w:szCs w:val="18"/>
        </w:rPr>
        <w:t>B</w:t>
      </w:r>
      <w:r w:rsidRPr="008B6AB2">
        <w:rPr>
          <w:rFonts w:ascii="Arial" w:hAnsi="Arial" w:cs="Arial"/>
          <w:sz w:val="18"/>
          <w:szCs w:val="18"/>
        </w:rPr>
        <w:t xml:space="preserve"> | PSLAX view of the left ventricle in diastole and systole; unhealthy. </w:t>
      </w:r>
      <w:r w:rsidRPr="00C41755">
        <w:rPr>
          <w:rFonts w:ascii="Arial" w:hAnsi="Arial" w:cs="Arial"/>
          <w:b/>
          <w:bCs/>
          <w:sz w:val="18"/>
          <w:szCs w:val="18"/>
        </w:rPr>
        <w:t>C</w:t>
      </w:r>
      <w:r w:rsidRPr="008B6AB2">
        <w:rPr>
          <w:rFonts w:ascii="Arial" w:hAnsi="Arial" w:cs="Arial"/>
          <w:sz w:val="18"/>
          <w:szCs w:val="18"/>
        </w:rPr>
        <w:t xml:space="preserve"> | Short-axis (SAX) view of the left ventricle in diastole and systole; healthy. </w:t>
      </w:r>
      <w:r w:rsidRPr="00C41755">
        <w:rPr>
          <w:rFonts w:ascii="Arial" w:hAnsi="Arial" w:cs="Arial"/>
          <w:b/>
          <w:bCs/>
          <w:sz w:val="18"/>
          <w:szCs w:val="18"/>
        </w:rPr>
        <w:t>D</w:t>
      </w:r>
      <w:r w:rsidRPr="008B6AB2">
        <w:rPr>
          <w:rFonts w:ascii="Arial" w:hAnsi="Arial" w:cs="Arial"/>
          <w:sz w:val="18"/>
          <w:szCs w:val="18"/>
        </w:rPr>
        <w:t xml:space="preserve"> | SAX view of the left ventricle in diastole and systole; unhealthy. </w:t>
      </w:r>
      <w:r w:rsidRPr="00C41755">
        <w:rPr>
          <w:rFonts w:ascii="Arial" w:hAnsi="Arial" w:cs="Arial"/>
          <w:b/>
          <w:bCs/>
          <w:sz w:val="18"/>
          <w:szCs w:val="18"/>
        </w:rPr>
        <w:t>E</w:t>
      </w:r>
      <w:r w:rsidRPr="008B6AB2">
        <w:rPr>
          <w:rFonts w:ascii="Arial" w:hAnsi="Arial" w:cs="Arial"/>
          <w:sz w:val="18"/>
          <w:szCs w:val="18"/>
        </w:rPr>
        <w:t xml:space="preserve"> | SAX M-mode view of the left ventricle; healthy. </w:t>
      </w:r>
      <w:r w:rsidRPr="00C41755">
        <w:rPr>
          <w:rFonts w:ascii="Arial" w:hAnsi="Arial" w:cs="Arial"/>
          <w:b/>
          <w:bCs/>
          <w:sz w:val="18"/>
          <w:szCs w:val="18"/>
        </w:rPr>
        <w:t>F</w:t>
      </w:r>
      <w:r w:rsidRPr="008B6AB2">
        <w:rPr>
          <w:rFonts w:ascii="Arial" w:hAnsi="Arial" w:cs="Arial"/>
          <w:sz w:val="18"/>
          <w:szCs w:val="18"/>
        </w:rPr>
        <w:t xml:space="preserve"> | SAX M-mode view of the left ventricle; unhealthy. </w:t>
      </w:r>
      <w:r w:rsidRPr="00C41755">
        <w:rPr>
          <w:rFonts w:ascii="Arial" w:hAnsi="Arial" w:cs="Arial"/>
          <w:b/>
          <w:bCs/>
          <w:sz w:val="18"/>
          <w:szCs w:val="18"/>
        </w:rPr>
        <w:t>G</w:t>
      </w:r>
      <w:r w:rsidRPr="008B6AB2">
        <w:rPr>
          <w:rFonts w:ascii="Arial" w:hAnsi="Arial" w:cs="Arial"/>
          <w:sz w:val="18"/>
          <w:szCs w:val="18"/>
        </w:rPr>
        <w:t xml:space="preserve"> | 4-chamber view (4CV) tissue Doppler image of the mitral valve; healthy. </w:t>
      </w:r>
      <w:r w:rsidRPr="00C41755">
        <w:rPr>
          <w:rFonts w:ascii="Arial" w:hAnsi="Arial" w:cs="Arial"/>
          <w:b/>
          <w:bCs/>
          <w:sz w:val="18"/>
          <w:szCs w:val="18"/>
        </w:rPr>
        <w:t>H</w:t>
      </w:r>
      <w:r w:rsidRPr="008B6AB2">
        <w:rPr>
          <w:rFonts w:ascii="Arial" w:hAnsi="Arial" w:cs="Arial"/>
          <w:sz w:val="18"/>
          <w:szCs w:val="18"/>
        </w:rPr>
        <w:t xml:space="preserve"> | 4CV tissue Doppler image of the mitral valve; unhealthy. </w:t>
      </w:r>
      <w:r w:rsidRPr="00C41755">
        <w:rPr>
          <w:rFonts w:ascii="Arial" w:hAnsi="Arial" w:cs="Arial"/>
          <w:b/>
          <w:bCs/>
          <w:sz w:val="18"/>
          <w:szCs w:val="18"/>
        </w:rPr>
        <w:t>I</w:t>
      </w:r>
      <w:r w:rsidRPr="008B6AB2">
        <w:rPr>
          <w:rFonts w:ascii="Arial" w:hAnsi="Arial" w:cs="Arial"/>
          <w:sz w:val="18"/>
          <w:szCs w:val="18"/>
        </w:rPr>
        <w:t xml:space="preserve"> | 4CV pulse-wave Doppler image of blood flow through the mitral valve; healthy. </w:t>
      </w:r>
      <w:r w:rsidRPr="00C41755">
        <w:rPr>
          <w:rFonts w:ascii="Arial" w:hAnsi="Arial" w:cs="Arial"/>
          <w:b/>
          <w:bCs/>
          <w:sz w:val="18"/>
          <w:szCs w:val="18"/>
        </w:rPr>
        <w:t>J</w:t>
      </w:r>
      <w:r w:rsidRPr="008B6AB2">
        <w:rPr>
          <w:rFonts w:ascii="Arial" w:hAnsi="Arial" w:cs="Arial"/>
          <w:sz w:val="18"/>
          <w:szCs w:val="18"/>
        </w:rPr>
        <w:t xml:space="preserve"> | 4CV pulse-wave Doppler image of blood flow through the mitral valve; unhealthy. </w:t>
      </w:r>
      <w:r w:rsidRPr="00C41755">
        <w:rPr>
          <w:rFonts w:ascii="Arial" w:hAnsi="Arial" w:cs="Arial"/>
          <w:b/>
          <w:bCs/>
          <w:sz w:val="18"/>
          <w:szCs w:val="18"/>
        </w:rPr>
        <w:t>K</w:t>
      </w:r>
      <w:r w:rsidRPr="008B6AB2">
        <w:rPr>
          <w:rFonts w:ascii="Arial" w:hAnsi="Arial" w:cs="Arial"/>
          <w:sz w:val="18"/>
          <w:szCs w:val="18"/>
        </w:rPr>
        <w:t xml:space="preserve"> | SAX view of the right ventricle in diastole and systole; healthy. </w:t>
      </w:r>
      <w:r w:rsidRPr="00C41755">
        <w:rPr>
          <w:rFonts w:ascii="Arial" w:hAnsi="Arial" w:cs="Arial"/>
          <w:b/>
          <w:bCs/>
          <w:sz w:val="18"/>
          <w:szCs w:val="18"/>
        </w:rPr>
        <w:t>L</w:t>
      </w:r>
      <w:r w:rsidRPr="008B6AB2">
        <w:rPr>
          <w:rFonts w:ascii="Arial" w:hAnsi="Arial" w:cs="Arial"/>
          <w:sz w:val="18"/>
          <w:szCs w:val="18"/>
        </w:rPr>
        <w:t xml:space="preserve"> | SAX view of the right ventricle in diastole and systole; unhealthy. </w:t>
      </w:r>
      <w:r w:rsidRPr="00C41755">
        <w:rPr>
          <w:rFonts w:ascii="Arial" w:hAnsi="Arial" w:cs="Arial"/>
          <w:b/>
          <w:bCs/>
          <w:sz w:val="18"/>
          <w:szCs w:val="18"/>
        </w:rPr>
        <w:t>M</w:t>
      </w:r>
      <w:r w:rsidRPr="008B6AB2">
        <w:rPr>
          <w:rFonts w:ascii="Arial" w:hAnsi="Arial" w:cs="Arial"/>
          <w:sz w:val="18"/>
          <w:szCs w:val="18"/>
        </w:rPr>
        <w:t xml:space="preserve"> | SAX M-mode view of the right ventricle showing right ventricular free wall thickness; healthy. </w:t>
      </w:r>
      <w:r w:rsidRPr="00C41755">
        <w:rPr>
          <w:rFonts w:ascii="Arial" w:hAnsi="Arial" w:cs="Arial"/>
          <w:b/>
          <w:bCs/>
          <w:sz w:val="18"/>
          <w:szCs w:val="18"/>
        </w:rPr>
        <w:t>N</w:t>
      </w:r>
      <w:r w:rsidRPr="008B6AB2">
        <w:rPr>
          <w:rFonts w:ascii="Arial" w:hAnsi="Arial" w:cs="Arial"/>
          <w:sz w:val="18"/>
          <w:szCs w:val="18"/>
        </w:rPr>
        <w:t xml:space="preserve"> | SAX M-mode view of the right ventricle showing right ventricular free wall thickness; unhealthy. </w:t>
      </w:r>
      <w:r w:rsidRPr="00C41755">
        <w:rPr>
          <w:rFonts w:ascii="Arial" w:hAnsi="Arial" w:cs="Arial"/>
          <w:b/>
          <w:bCs/>
          <w:sz w:val="18"/>
          <w:szCs w:val="18"/>
        </w:rPr>
        <w:t>O</w:t>
      </w:r>
      <w:r w:rsidRPr="008B6AB2">
        <w:rPr>
          <w:rFonts w:ascii="Arial" w:hAnsi="Arial" w:cs="Arial"/>
          <w:sz w:val="18"/>
          <w:szCs w:val="18"/>
        </w:rPr>
        <w:t xml:space="preserve"> | 4CV M-mode view of depicting the tricuspid annular plane systolic excursion (TAPSE); healthy. </w:t>
      </w:r>
      <w:r w:rsidRPr="00C41755">
        <w:rPr>
          <w:rFonts w:ascii="Arial" w:hAnsi="Arial" w:cs="Arial"/>
          <w:b/>
          <w:bCs/>
          <w:sz w:val="18"/>
          <w:szCs w:val="18"/>
        </w:rPr>
        <w:t>P</w:t>
      </w:r>
      <w:r w:rsidRPr="008B6AB2">
        <w:rPr>
          <w:rFonts w:ascii="Arial" w:hAnsi="Arial" w:cs="Arial"/>
          <w:sz w:val="18"/>
          <w:szCs w:val="18"/>
        </w:rPr>
        <w:t xml:space="preserve"> | 4CV M-mode view of depicting TAPSE; unhealthy. </w:t>
      </w:r>
      <w:r w:rsidRPr="00C41755">
        <w:rPr>
          <w:rFonts w:ascii="Arial" w:hAnsi="Arial" w:cs="Arial"/>
          <w:b/>
          <w:bCs/>
          <w:sz w:val="18"/>
          <w:szCs w:val="18"/>
        </w:rPr>
        <w:t>Q</w:t>
      </w:r>
      <w:r w:rsidRPr="008B6AB2">
        <w:rPr>
          <w:rFonts w:ascii="Arial" w:hAnsi="Arial" w:cs="Arial"/>
          <w:sz w:val="18"/>
          <w:szCs w:val="18"/>
        </w:rPr>
        <w:t xml:space="preserve"> | 4CV tissue Doppler image of the tricuspid valve; healthy. </w:t>
      </w:r>
      <w:r w:rsidRPr="00C41755">
        <w:rPr>
          <w:rFonts w:ascii="Arial" w:hAnsi="Arial" w:cs="Arial"/>
          <w:b/>
          <w:bCs/>
          <w:sz w:val="18"/>
          <w:szCs w:val="18"/>
        </w:rPr>
        <w:t>R</w:t>
      </w:r>
      <w:r w:rsidRPr="008B6AB2">
        <w:rPr>
          <w:rFonts w:ascii="Arial" w:hAnsi="Arial" w:cs="Arial"/>
          <w:sz w:val="18"/>
          <w:szCs w:val="18"/>
        </w:rPr>
        <w:t xml:space="preserve"> | 4CV tissue Doppler image of the tricuspid valve; unhealthy. </w:t>
      </w:r>
      <w:r w:rsidRPr="00C41755">
        <w:rPr>
          <w:rFonts w:ascii="Arial" w:hAnsi="Arial" w:cs="Arial"/>
          <w:b/>
          <w:bCs/>
          <w:sz w:val="18"/>
          <w:szCs w:val="18"/>
        </w:rPr>
        <w:t>S</w:t>
      </w:r>
      <w:r w:rsidRPr="008B6AB2">
        <w:rPr>
          <w:rFonts w:ascii="Arial" w:hAnsi="Arial" w:cs="Arial"/>
          <w:sz w:val="18"/>
          <w:szCs w:val="18"/>
        </w:rPr>
        <w:t xml:space="preserve"> | SAX pulse-wave Doppler image of blood flow through the pulmonary artery; healthy. </w:t>
      </w:r>
      <w:r w:rsidRPr="00C41755">
        <w:rPr>
          <w:rFonts w:ascii="Arial" w:hAnsi="Arial" w:cs="Arial"/>
          <w:b/>
          <w:bCs/>
          <w:sz w:val="18"/>
          <w:szCs w:val="18"/>
        </w:rPr>
        <w:t>T</w:t>
      </w:r>
      <w:r w:rsidRPr="008B6AB2">
        <w:rPr>
          <w:rFonts w:ascii="Arial" w:hAnsi="Arial" w:cs="Arial"/>
          <w:sz w:val="18"/>
          <w:szCs w:val="18"/>
        </w:rPr>
        <w:t xml:space="preserve"> | SAX pulse-wave Doppler image of blood flow through the pulmonary artery; unhealthy.</w:t>
      </w:r>
      <w:r>
        <w:rPr>
          <w:rFonts w:ascii="Arial" w:hAnsi="Arial" w:cs="Arial"/>
          <w:sz w:val="18"/>
          <w:szCs w:val="18"/>
        </w:rPr>
        <w:t xml:space="preserve"> Photographs are examples </w:t>
      </w:r>
      <w:r w:rsidR="00670D6B">
        <w:rPr>
          <w:rFonts w:ascii="Arial" w:hAnsi="Arial" w:cs="Arial"/>
          <w:sz w:val="18"/>
          <w:szCs w:val="18"/>
        </w:rPr>
        <w:t xml:space="preserve">of typical ‘healthy’ and ‘unhealthy’ </w:t>
      </w:r>
      <w:r>
        <w:rPr>
          <w:rFonts w:ascii="Arial" w:hAnsi="Arial" w:cs="Arial"/>
          <w:sz w:val="18"/>
          <w:szCs w:val="18"/>
        </w:rPr>
        <w:t>only and are not necessarily from the same mice; inconsistencies between photos are not reflective of actual data.</w:t>
      </w:r>
    </w:p>
    <w:p w14:paraId="66F96B69" w14:textId="77777777" w:rsidR="00925C6E" w:rsidRDefault="00925C6E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  <w:sectPr w:rsidR="00925C6E" w:rsidSect="005F6CE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1B25212" w14:textId="77777777" w:rsidR="00925C6E" w:rsidRDefault="00925C6E" w:rsidP="00925C6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518FB4F" wp14:editId="5A6DF51E">
            <wp:extent cx="4876800" cy="5168900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4274" w14:textId="77777777" w:rsidR="00925C6E" w:rsidRDefault="00925C6E" w:rsidP="00925C6E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Supplementary </w:t>
      </w:r>
      <w:r w:rsidRPr="002231D1">
        <w:rPr>
          <w:rFonts w:ascii="Arial" w:hAnsi="Arial" w:cs="Arial"/>
          <w:b/>
          <w:sz w:val="18"/>
          <w:szCs w:val="18"/>
        </w:rPr>
        <w:t>Figure</w:t>
      </w:r>
      <w:r>
        <w:rPr>
          <w:rFonts w:ascii="Arial" w:hAnsi="Arial" w:cs="Arial"/>
          <w:b/>
          <w:sz w:val="18"/>
          <w:szCs w:val="18"/>
        </w:rPr>
        <w:t xml:space="preserve"> 2:</w:t>
      </w:r>
      <w:r>
        <w:rPr>
          <w:rFonts w:ascii="Arial" w:hAnsi="Arial" w:cs="Arial"/>
          <w:sz w:val="18"/>
          <w:szCs w:val="18"/>
        </w:rPr>
        <w:t xml:space="preserve"> </w:t>
      </w:r>
      <w:r w:rsidRPr="00C04272">
        <w:rPr>
          <w:rFonts w:ascii="Arial" w:hAnsi="Arial" w:cs="Arial"/>
          <w:sz w:val="18"/>
          <w:szCs w:val="18"/>
        </w:rPr>
        <w:t>Scoring of lung histology in IAV-infected male C57BL/</w:t>
      </w:r>
      <w:r>
        <w:rPr>
          <w:rFonts w:ascii="Arial" w:hAnsi="Arial" w:cs="Arial"/>
          <w:sz w:val="18"/>
          <w:szCs w:val="18"/>
        </w:rPr>
        <w:t xml:space="preserve">6J mice with and without T1DM. </w:t>
      </w:r>
      <w:r w:rsidRPr="00C41755">
        <w:rPr>
          <w:rFonts w:ascii="Arial" w:hAnsi="Arial" w:cs="Arial"/>
          <w:b/>
          <w:bCs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Leukocyte margination score. </w:t>
      </w:r>
      <w:r w:rsidRPr="00C41755">
        <w:rPr>
          <w:rFonts w:ascii="Arial" w:hAnsi="Arial" w:cs="Arial"/>
          <w:b/>
          <w:bCs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Transmural migrations score. </w:t>
      </w:r>
      <w:r w:rsidRPr="00C41755">
        <w:rPr>
          <w:rFonts w:ascii="Arial" w:hAnsi="Arial" w:cs="Arial"/>
          <w:b/>
          <w:bCs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Per</w:t>
      </w:r>
      <w:r>
        <w:rPr>
          <w:rFonts w:ascii="Arial" w:hAnsi="Arial" w:cs="Arial"/>
          <w:sz w:val="18"/>
          <w:szCs w:val="18"/>
        </w:rPr>
        <w:t xml:space="preserve">ivascular infiltration score. </w:t>
      </w:r>
      <w:r w:rsidRPr="00C41755">
        <w:rPr>
          <w:rFonts w:ascii="Arial" w:hAnsi="Arial" w:cs="Arial"/>
          <w:b/>
          <w:bCs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Bronch</w:t>
      </w:r>
      <w:r>
        <w:rPr>
          <w:rFonts w:ascii="Arial" w:hAnsi="Arial" w:cs="Arial"/>
          <w:sz w:val="18"/>
          <w:szCs w:val="18"/>
        </w:rPr>
        <w:t xml:space="preserve">itis/bronchiolitis score. </w:t>
      </w:r>
      <w:r w:rsidRPr="00C41755">
        <w:rPr>
          <w:rFonts w:ascii="Arial" w:hAnsi="Arial" w:cs="Arial"/>
          <w:b/>
          <w:bCs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Interstitial inflammation </w:t>
      </w:r>
      <w:r w:rsidRPr="00C04272">
        <w:rPr>
          <w:rFonts w:ascii="Arial" w:hAnsi="Arial" w:cs="Arial"/>
          <w:color w:val="000000"/>
          <w:sz w:val="18"/>
          <w:szCs w:val="18"/>
        </w:rPr>
        <w:t>extending into alveolar septae beyond the immediate perivascular and peribronchiolar interstitial tissue</w:t>
      </w:r>
      <w:r>
        <w:rPr>
          <w:rFonts w:ascii="Arial" w:hAnsi="Arial" w:cs="Arial"/>
          <w:sz w:val="18"/>
          <w:szCs w:val="18"/>
        </w:rPr>
        <w:t xml:space="preserve"> score. </w:t>
      </w:r>
      <w:r w:rsidRPr="00C41755">
        <w:rPr>
          <w:rFonts w:ascii="Arial" w:hAnsi="Arial" w:cs="Arial"/>
          <w:b/>
          <w:bCs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Alveolar inflammation score. </w:t>
      </w:r>
      <w:r w:rsidRPr="00C41755">
        <w:rPr>
          <w:rFonts w:ascii="Arial" w:hAnsi="Arial" w:cs="Arial"/>
          <w:b/>
          <w:bCs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 |</w:t>
      </w:r>
      <w:r w:rsidRPr="00C04272">
        <w:rPr>
          <w:rFonts w:ascii="Arial" w:hAnsi="Arial" w:cs="Arial"/>
          <w:sz w:val="18"/>
          <w:szCs w:val="18"/>
        </w:rPr>
        <w:t xml:space="preserve"> Pneumocyte hyp</w:t>
      </w:r>
      <w:r>
        <w:rPr>
          <w:rFonts w:ascii="Arial" w:hAnsi="Arial" w:cs="Arial"/>
          <w:sz w:val="18"/>
          <w:szCs w:val="18"/>
        </w:rPr>
        <w:t xml:space="preserve">ertrophy/hyperplasia score. </w:t>
      </w:r>
      <w:r w:rsidRPr="00C41755">
        <w:rPr>
          <w:rFonts w:ascii="Arial" w:hAnsi="Arial" w:cs="Arial"/>
          <w:b/>
          <w:bCs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 xml:space="preserve"> | </w:t>
      </w:r>
      <w:r w:rsidRPr="00C04272">
        <w:rPr>
          <w:rFonts w:ascii="Arial" w:hAnsi="Arial" w:cs="Arial"/>
          <w:sz w:val="18"/>
          <w:szCs w:val="18"/>
        </w:rPr>
        <w:t>Pleuritis score, including me</w:t>
      </w:r>
      <w:r>
        <w:rPr>
          <w:rFonts w:ascii="Arial" w:hAnsi="Arial" w:cs="Arial"/>
          <w:sz w:val="18"/>
          <w:szCs w:val="18"/>
        </w:rPr>
        <w:t xml:space="preserve">sothelial cell hypertrophy. </w:t>
      </w:r>
      <w:r>
        <w:rPr>
          <w:rFonts w:ascii="Arial" w:hAnsi="Arial" w:cs="Arial"/>
          <w:b/>
          <w:bCs/>
          <w:sz w:val="18"/>
          <w:szCs w:val="18"/>
        </w:rPr>
        <w:t xml:space="preserve">I </w:t>
      </w:r>
      <w:r>
        <w:rPr>
          <w:rFonts w:ascii="Arial" w:hAnsi="Arial" w:cs="Arial"/>
          <w:sz w:val="18"/>
          <w:szCs w:val="18"/>
        </w:rPr>
        <w:t xml:space="preserve">| </w:t>
      </w:r>
      <w:r w:rsidRPr="00C04272">
        <w:rPr>
          <w:rFonts w:ascii="Arial" w:hAnsi="Arial" w:cs="Arial"/>
          <w:sz w:val="18"/>
          <w:szCs w:val="18"/>
        </w:rPr>
        <w:t xml:space="preserve">Total lung score. </w:t>
      </w:r>
      <w:r w:rsidRPr="00C04272">
        <w:rPr>
          <w:rFonts w:ascii="Arial" w:eastAsia="Times New Roman" w:hAnsi="Arial" w:cs="Arial"/>
          <w:sz w:val="18"/>
          <w:szCs w:val="18"/>
        </w:rPr>
        <w:t xml:space="preserve">Scores: 0 = no change; 1 = minimal change (or possibly non-specific background or appearance compounded by lung collapse, i.e., not inflated); 2 = mild change;  3 = moderate  change; 4 = severe change in &lt;50% of lung lobe; 5 = severe change in &gt;50% of lung lobe. </w:t>
      </w:r>
      <w:r w:rsidRPr="00BD3627">
        <w:rPr>
          <w:rFonts w:ascii="Arial" w:hAnsi="Arial" w:cs="Arial"/>
          <w:sz w:val="18"/>
          <w:szCs w:val="18"/>
        </w:rPr>
        <w:t>E</w:t>
      </w:r>
      <w:r w:rsidRPr="00BD3627">
        <w:rPr>
          <w:rFonts w:ascii="Arial" w:eastAsia="PMingLiU-ExtB" w:hAnsi="Arial" w:cs="Arial"/>
          <w:sz w:val="18"/>
          <w:szCs w:val="18"/>
        </w:rPr>
        <w:t>ach data poi</w:t>
      </w:r>
      <w:r>
        <w:rPr>
          <w:rFonts w:ascii="Arial" w:eastAsia="PMingLiU-ExtB" w:hAnsi="Arial" w:cs="Arial"/>
          <w:sz w:val="18"/>
          <w:szCs w:val="18"/>
        </w:rPr>
        <w:t>nt rep</w:t>
      </w:r>
      <w:r w:rsidRPr="00BD3627">
        <w:rPr>
          <w:rFonts w:ascii="Arial" w:eastAsia="PMingLiU-ExtB" w:hAnsi="Arial" w:cs="Arial"/>
          <w:sz w:val="18"/>
          <w:szCs w:val="18"/>
        </w:rPr>
        <w:t xml:space="preserve">resents </w:t>
      </w:r>
      <w:r w:rsidRPr="00BD3627">
        <w:rPr>
          <w:rFonts w:ascii="Arial" w:hAnsi="Arial" w:cs="Arial"/>
          <w:sz w:val="18"/>
          <w:szCs w:val="18"/>
        </w:rPr>
        <w:t xml:space="preserve">one mouse </w:t>
      </w:r>
      <w:r>
        <w:rPr>
          <w:rFonts w:ascii="Arial" w:hAnsi="Arial" w:cs="Arial"/>
          <w:sz w:val="18"/>
          <w:szCs w:val="18"/>
        </w:rPr>
        <w:t>with at least n=9</w:t>
      </w:r>
      <w:r w:rsidRPr="00BD3627">
        <w:rPr>
          <w:rFonts w:ascii="Arial" w:hAnsi="Arial" w:cs="Arial"/>
          <w:sz w:val="18"/>
          <w:szCs w:val="18"/>
        </w:rPr>
        <w:t xml:space="preserve"> per group</w:t>
      </w:r>
      <w:r>
        <w:rPr>
          <w:rFonts w:ascii="Arial" w:hAnsi="Arial" w:cs="Arial"/>
          <w:sz w:val="18"/>
          <w:szCs w:val="18"/>
        </w:rPr>
        <w:t xml:space="preserve"> and mean </w:t>
      </w:r>
      <w:r w:rsidRPr="00BD3627">
        <w:rPr>
          <w:rFonts w:ascii="Arial" w:eastAsia="PMingLiU-ExtB" w:hAnsi="Arial" w:cs="Arial"/>
          <w:sz w:val="18"/>
          <w:szCs w:val="18"/>
        </w:rPr>
        <w:t>± SEM</w:t>
      </w:r>
      <w:r w:rsidRPr="00BD362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for graphs B, F, G, H, and I, and median </w:t>
      </w:r>
      <w:r w:rsidRPr="00BD3627">
        <w:rPr>
          <w:rFonts w:ascii="Arial" w:eastAsia="PMingLiU-ExtB" w:hAnsi="Arial" w:cs="Arial"/>
          <w:sz w:val="18"/>
          <w:szCs w:val="18"/>
        </w:rPr>
        <w:t xml:space="preserve">± </w:t>
      </w:r>
      <w:r>
        <w:rPr>
          <w:rFonts w:ascii="Arial" w:eastAsia="PMingLiU-ExtB" w:hAnsi="Arial" w:cs="Arial"/>
          <w:sz w:val="18"/>
          <w:szCs w:val="18"/>
        </w:rPr>
        <w:t>IQR for graphs A, C, D, and E</w:t>
      </w:r>
      <w:r w:rsidRPr="00C04272">
        <w:rPr>
          <w:rFonts w:ascii="Arial" w:hAnsi="Arial" w:cs="Arial"/>
          <w:sz w:val="18"/>
          <w:szCs w:val="18"/>
        </w:rPr>
        <w:t>. Statistical analysis was performed as described in “Methods” with **</w:t>
      </w:r>
      <w:r w:rsidRPr="00C04272">
        <w:rPr>
          <w:rFonts w:ascii="Arial" w:hAnsi="Arial" w:cs="Arial"/>
          <w:i/>
          <w:sz w:val="18"/>
          <w:szCs w:val="18"/>
        </w:rPr>
        <w:t>P</w:t>
      </w:r>
      <w:r w:rsidRPr="007226E0">
        <w:rPr>
          <w:rFonts w:ascii="Arial" w:hAnsi="Arial" w:cs="Arial"/>
          <w:sz w:val="18"/>
          <w:szCs w:val="18"/>
        </w:rPr>
        <w:t>&lt;</w:t>
      </w:r>
      <w:r w:rsidRPr="00C04272">
        <w:rPr>
          <w:rFonts w:ascii="Arial" w:hAnsi="Arial" w:cs="Arial"/>
          <w:sz w:val="18"/>
          <w:szCs w:val="18"/>
        </w:rPr>
        <w:t>0.01; ****</w:t>
      </w:r>
      <w:r w:rsidRPr="00C04272">
        <w:rPr>
          <w:rFonts w:ascii="Arial" w:hAnsi="Arial" w:cs="Arial"/>
          <w:i/>
          <w:sz w:val="18"/>
          <w:szCs w:val="18"/>
        </w:rPr>
        <w:t>P</w:t>
      </w:r>
      <w:r w:rsidRPr="007226E0">
        <w:rPr>
          <w:rFonts w:ascii="Arial" w:hAnsi="Arial" w:cs="Arial"/>
          <w:sz w:val="18"/>
          <w:szCs w:val="18"/>
        </w:rPr>
        <w:t>&lt;</w:t>
      </w:r>
      <w:r w:rsidRPr="00C04272">
        <w:rPr>
          <w:rFonts w:ascii="Arial" w:hAnsi="Arial" w:cs="Arial"/>
          <w:sz w:val="18"/>
          <w:szCs w:val="18"/>
        </w:rPr>
        <w:t>0.0001</w:t>
      </w:r>
      <w:r>
        <w:rPr>
          <w:rFonts w:ascii="Arial" w:hAnsi="Arial" w:cs="Arial"/>
          <w:sz w:val="18"/>
          <w:szCs w:val="18"/>
        </w:rPr>
        <w:t>.</w:t>
      </w:r>
    </w:p>
    <w:p w14:paraId="52EBC328" w14:textId="39AAC2A1" w:rsidR="00925C6E" w:rsidRPr="00C3123B" w:rsidRDefault="00925C6E" w:rsidP="005F6CEA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45AD3BD9" w14:textId="77777777" w:rsidR="005F6CEA" w:rsidRPr="005F6CEA" w:rsidRDefault="005F6CEA">
      <w:pPr>
        <w:rPr>
          <w:rFonts w:ascii="Arial" w:hAnsi="Arial" w:cs="Arial"/>
          <w:b/>
          <w:bCs/>
          <w:sz w:val="20"/>
          <w:szCs w:val="20"/>
        </w:rPr>
      </w:pPr>
    </w:p>
    <w:sectPr w:rsidR="005F6CEA" w:rsidRPr="005F6CEA" w:rsidSect="00925C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CEA"/>
    <w:rsid w:val="005F6CEA"/>
    <w:rsid w:val="00670D6B"/>
    <w:rsid w:val="008473D7"/>
    <w:rsid w:val="00925C6E"/>
    <w:rsid w:val="00AD291C"/>
    <w:rsid w:val="00C85E4E"/>
    <w:rsid w:val="00CA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B8EAC"/>
  <w15:chartTrackingRefBased/>
  <w15:docId w15:val="{843C36E3-9630-B948-AAD7-541D271B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445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Sinclair</dc:creator>
  <cp:keywords/>
  <dc:description/>
  <cp:lastModifiedBy>Jane Sinclair</cp:lastModifiedBy>
  <cp:revision>5</cp:revision>
  <dcterms:created xsi:type="dcterms:W3CDTF">2021-05-25T07:53:00Z</dcterms:created>
  <dcterms:modified xsi:type="dcterms:W3CDTF">2021-08-25T08:38:00Z</dcterms:modified>
</cp:coreProperties>
</file>