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8" w:before="0" w:line="276" w:lineRule="auto"/>
        <w:ind w:left="0" w:right="0" w:firstLine="0"/>
        <w:jc w:val="center"/>
        <w:rPr/>
      </w:pPr>
      <w:r w:rsidDel="00000000" w:rsidR="00000000" w:rsidRPr="00000000">
        <w:rPr>
          <w:rFonts w:ascii="Helvetica Neue" w:cs="Helvetica Neue" w:eastAsia="Helvetica Neue" w:hAnsi="Helvetica Neue"/>
          <w:b w:val="1"/>
          <w:sz w:val="28"/>
          <w:szCs w:val="28"/>
          <w:rtl w:val="0"/>
        </w:rPr>
        <w:t xml:space="preserve">Supplementary material</w:t>
        <w:br w:type="textWrapping"/>
      </w:r>
      <w:r w:rsidDel="00000000" w:rsidR="00000000" w:rsidRPr="00000000">
        <w:rPr>
          <w:rFonts w:ascii="Helvetica Neue" w:cs="Helvetica Neue" w:eastAsia="Helvetica Neue" w:hAnsi="Helvetica Neue"/>
          <w:b w:val="1"/>
          <w:color w:val="000000"/>
          <w:sz w:val="28"/>
          <w:szCs w:val="28"/>
          <w:rtl w:val="0"/>
        </w:rPr>
        <w:t xml:space="preserve">Status of</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w:t>
      </w:r>
      <w:r w:rsidDel="00000000" w:rsidR="00000000" w:rsidRPr="00000000">
        <w:rPr>
          <w:rFonts w:ascii="Helvetica Neue" w:cs="Helvetica Neue" w:eastAsia="Helvetica Neue" w:hAnsi="Helvetica Neue"/>
          <w:b w:val="1"/>
          <w:sz w:val="28"/>
          <w:szCs w:val="28"/>
          <w:rtl w:val="0"/>
        </w:rPr>
        <w:t xml:space="preserve">E</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arthquake </w:t>
      </w:r>
      <w:r w:rsidDel="00000000" w:rsidR="00000000" w:rsidRPr="00000000">
        <w:rPr>
          <w:rFonts w:ascii="Helvetica Neue" w:cs="Helvetica Neue" w:eastAsia="Helvetica Neue" w:hAnsi="Helvetica Neue"/>
          <w:b w:val="1"/>
          <w:sz w:val="28"/>
          <w:szCs w:val="28"/>
          <w:rtl w:val="0"/>
        </w:rPr>
        <w:t xml:space="preserve">E</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arly </w:t>
      </w:r>
      <w:r w:rsidDel="00000000" w:rsidR="00000000" w:rsidRPr="00000000">
        <w:rPr>
          <w:rFonts w:ascii="Helvetica Neue" w:cs="Helvetica Neue" w:eastAsia="Helvetica Neue" w:hAnsi="Helvetica Neue"/>
          <w:b w:val="1"/>
          <w:sz w:val="28"/>
          <w:szCs w:val="28"/>
          <w:rtl w:val="0"/>
        </w:rPr>
        <w:t xml:space="preserve">W</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arning </w:t>
      </w:r>
      <w:r w:rsidDel="00000000" w:rsidR="00000000" w:rsidRPr="00000000">
        <w:rPr>
          <w:rFonts w:ascii="Helvetica Neue" w:cs="Helvetica Neue" w:eastAsia="Helvetica Neue" w:hAnsi="Helvetica Neue"/>
          <w:b w:val="1"/>
          <w:color w:val="000000"/>
          <w:sz w:val="28"/>
          <w:szCs w:val="28"/>
          <w:rtl w:val="0"/>
        </w:rPr>
        <w:t xml:space="preserve">in</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Switzerland </w:t>
        <w:br w:type="textWrapping"/>
      </w:r>
      <w:r w:rsidDel="00000000" w:rsidR="00000000" w:rsidRPr="00000000">
        <w:rPr>
          <w:rtl w:val="0"/>
        </w:rPr>
        <w:t xml:space="preserve">Frédérick Massin</w:t>
      </w:r>
      <w:r w:rsidDel="00000000" w:rsidR="00000000" w:rsidRPr="00000000">
        <w:rPr>
          <w:vertAlign w:val="superscript"/>
          <w:rtl w:val="0"/>
        </w:rPr>
        <w:t xml:space="preserve">1</w:t>
      </w:r>
      <w:r w:rsidDel="00000000" w:rsidR="00000000" w:rsidRPr="00000000">
        <w:rPr>
          <w:rtl w:val="0"/>
        </w:rPr>
        <w:t xml:space="preserve">, John Clinton</w:t>
      </w:r>
      <w:r w:rsidDel="00000000" w:rsidR="00000000" w:rsidRPr="00000000">
        <w:rPr>
          <w:vertAlign w:val="superscript"/>
          <w:rtl w:val="0"/>
        </w:rPr>
        <w:t xml:space="preserve">1</w:t>
      </w:r>
      <w:r w:rsidDel="00000000" w:rsidR="00000000" w:rsidRPr="00000000">
        <w:rPr>
          <w:rtl w:val="0"/>
        </w:rPr>
        <w:t xml:space="preserve">, Maren Böse</w:t>
      </w:r>
      <w:r w:rsidDel="00000000" w:rsidR="00000000" w:rsidRPr="00000000">
        <w:rPr>
          <w:vertAlign w:val="superscript"/>
          <w:rtl w:val="0"/>
        </w:rPr>
        <w:t xml:space="preserve">1</w:t>
      </w:r>
      <w:r w:rsidDel="00000000" w:rsidR="00000000" w:rsidRPr="00000000">
        <w:rPr>
          <w:rtl w:val="0"/>
        </w:rPr>
      </w:r>
    </w:p>
    <w:p w:rsidR="00000000" w:rsidDel="00000000" w:rsidP="00000000" w:rsidRDefault="00000000" w:rsidRPr="00000000" w14:paraId="00000002">
      <w:pPr>
        <w:spacing w:after="288" w:before="0" w:lineRule="auto"/>
        <w:ind w:left="0" w:firstLine="0"/>
        <w:jc w:val="center"/>
        <w:rPr/>
      </w:pPr>
      <w:r w:rsidDel="00000000" w:rsidR="00000000" w:rsidRPr="00000000">
        <w:rPr>
          <w:vertAlign w:val="superscript"/>
          <w:rtl w:val="0"/>
        </w:rPr>
        <w:t xml:space="preserve">1 </w:t>
      </w:r>
      <w:r w:rsidDel="00000000" w:rsidR="00000000" w:rsidRPr="00000000">
        <w:rPr>
          <w:sz w:val="18"/>
          <w:szCs w:val="18"/>
          <w:rtl w:val="0"/>
        </w:rPr>
        <w:t xml:space="preserve">Swiss Seismological Service (SED), ETH Zurich. </w:t>
      </w:r>
      <w:r w:rsidDel="00000000" w:rsidR="00000000" w:rsidRPr="00000000">
        <w:rPr>
          <w:rtl w:val="0"/>
        </w:rPr>
      </w:r>
    </w:p>
    <w:p w:rsidR="00000000" w:rsidDel="00000000" w:rsidP="00000000" w:rsidRDefault="00000000" w:rsidRPr="00000000" w14:paraId="00000003">
      <w:pPr>
        <w:pStyle w:val="Heading2"/>
        <w:spacing w:after="0" w:before="144" w:lineRule="auto"/>
        <w:ind w:left="0" w:firstLine="0"/>
        <w:rPr/>
      </w:pPr>
      <w:bookmarkStart w:colFirst="0" w:colLast="0" w:name="_heading=h.b40w3k4ofdo8" w:id="0"/>
      <w:bookmarkEnd w:id="0"/>
      <w:r w:rsidDel="00000000" w:rsidR="00000000" w:rsidRPr="00000000">
        <w:rPr>
          <w:rtl w:val="0"/>
        </w:rPr>
        <w:t xml:space="preserve">Maximum predicted intensity</w:t>
      </w:r>
    </w:p>
    <w:p w:rsidR="00000000" w:rsidDel="00000000" w:rsidP="00000000" w:rsidRDefault="00000000" w:rsidRPr="00000000" w14:paraId="00000004">
      <w:pPr>
        <w:ind w:left="0" w:firstLine="0"/>
        <w:rPr/>
      </w:pPr>
      <w:r w:rsidDel="00000000" w:rsidR="00000000" w:rsidRPr="00000000">
        <w:rPr>
          <w:rtl w:val="0"/>
        </w:rPr>
        <w:t xml:space="preserve">The difference (</w:t>
      </w:r>
      <w:r w:rsidDel="00000000" w:rsidR="00000000" w:rsidRPr="00000000">
        <w:rPr>
          <w:i w:val="1"/>
          <w:rtl w:val="0"/>
        </w:rPr>
        <w:t xml:space="preserve">PG</w:t>
      </w:r>
      <w:r w:rsidDel="00000000" w:rsidR="00000000" w:rsidRPr="00000000">
        <w:rPr>
          <w:i w:val="1"/>
          <w:vertAlign w:val="subscript"/>
          <w:rtl w:val="0"/>
        </w:rPr>
        <w:t xml:space="preserve">Δ</w:t>
      </w:r>
      <w:r w:rsidDel="00000000" w:rsidR="00000000" w:rsidRPr="00000000">
        <w:rPr>
          <w:rtl w:val="0"/>
        </w:rPr>
        <w:t xml:space="preserve">) between the peak ground motions of reference (</w:t>
      </w:r>
      <w:r w:rsidDel="00000000" w:rsidR="00000000" w:rsidRPr="00000000">
        <w:rPr>
          <w:i w:val="1"/>
          <w:rtl w:val="0"/>
        </w:rPr>
        <w:t xml:space="preserve">PG</w:t>
      </w:r>
      <w:r w:rsidDel="00000000" w:rsidR="00000000" w:rsidRPr="00000000">
        <w:rPr>
          <w:i w:val="1"/>
          <w:vertAlign w:val="subscript"/>
          <w:rtl w:val="0"/>
        </w:rPr>
        <w:t xml:space="preserve">r</w:t>
      </w:r>
      <w:r w:rsidDel="00000000" w:rsidR="00000000" w:rsidRPr="00000000">
        <w:rPr>
          <w:rtl w:val="0"/>
        </w:rPr>
        <w:t xml:space="preserve">) recorded by seismic instruments, and modelled from EEW event parameter estimates (</w:t>
      </w:r>
      <w:r w:rsidDel="00000000" w:rsidR="00000000" w:rsidRPr="00000000">
        <w:rPr>
          <w:i w:val="1"/>
          <w:rtl w:val="0"/>
        </w:rPr>
        <w:t xml:space="preserve">PG</w:t>
      </w:r>
      <w:r w:rsidDel="00000000" w:rsidR="00000000" w:rsidRPr="00000000">
        <w:rPr>
          <w:i w:val="1"/>
          <w:vertAlign w:val="subscript"/>
          <w:rtl w:val="0"/>
        </w:rPr>
        <w:t xml:space="preserve">m</w:t>
      </w:r>
      <w:r w:rsidDel="00000000" w:rsidR="00000000" w:rsidRPr="00000000">
        <w:rPr>
          <w:rtl w:val="0"/>
        </w:rPr>
        <w:t xml:space="preserve">) provides an indication of the reliability of the EEW event parameter estimates. </w:t>
      </w:r>
    </w:p>
    <w:p w:rsidR="00000000" w:rsidDel="00000000" w:rsidP="00000000" w:rsidRDefault="00000000" w:rsidRPr="00000000" w14:paraId="00000005">
      <w:pPr>
        <w:ind w:left="0" w:firstLine="0"/>
        <w:rPr/>
      </w:pPr>
      <w:r w:rsidDel="00000000" w:rsidR="00000000" w:rsidRPr="00000000">
        <w:rPr>
          <w:rtl w:val="0"/>
        </w:rPr>
        <w:t xml:space="preserve">Recorded and modelled ground motion terms are 2-dimensional matrices with lateral complexities from source and site effects, but prominently featuring an amplitude decay from the fault rupture line. In absence of a method to model all these effects as it is the case in a EEW context, any attempt to compare </w:t>
      </w:r>
      <w:r w:rsidDel="00000000" w:rsidR="00000000" w:rsidRPr="00000000">
        <w:rPr>
          <w:i w:val="1"/>
          <w:rtl w:val="0"/>
        </w:rPr>
        <w:t xml:space="preserve">PG</w:t>
      </w:r>
      <w:r w:rsidDel="00000000" w:rsidR="00000000" w:rsidRPr="00000000">
        <w:rPr>
          <w:i w:val="1"/>
          <w:vertAlign w:val="subscript"/>
          <w:rtl w:val="0"/>
        </w:rPr>
        <w:t xml:space="preserve">m</w:t>
      </w:r>
      <w:r w:rsidDel="00000000" w:rsidR="00000000" w:rsidRPr="00000000">
        <w:rPr>
          <w:rtl w:val="0"/>
        </w:rPr>
        <w:t xml:space="preserve"> to ground truth </w:t>
      </w:r>
      <w:r w:rsidDel="00000000" w:rsidR="00000000" w:rsidRPr="00000000">
        <w:rPr>
          <w:i w:val="1"/>
          <w:rtl w:val="0"/>
        </w:rPr>
        <w:t xml:space="preserve">PG</w:t>
      </w:r>
      <w:r w:rsidDel="00000000" w:rsidR="00000000" w:rsidRPr="00000000">
        <w:rPr>
          <w:i w:val="1"/>
          <w:vertAlign w:val="subscript"/>
          <w:rtl w:val="0"/>
        </w:rPr>
        <w:t xml:space="preserve">r</w:t>
      </w:r>
      <w:r w:rsidDel="00000000" w:rsidR="00000000" w:rsidRPr="00000000">
        <w:rPr>
          <w:rtl w:val="0"/>
        </w:rPr>
        <w:t xml:space="preserve"> is prone to significant bias. For the purpose of comparing performances between several EEW methods, we can assume that </w:t>
      </w:r>
      <w:r w:rsidDel="00000000" w:rsidR="00000000" w:rsidRPr="00000000">
        <w:rPr>
          <w:i w:val="1"/>
          <w:rtl w:val="0"/>
        </w:rPr>
        <w:t xml:space="preserve">PG</w:t>
      </w:r>
      <w:r w:rsidDel="00000000" w:rsidR="00000000" w:rsidRPr="00000000">
        <w:rPr>
          <w:i w:val="1"/>
          <w:vertAlign w:val="subscript"/>
          <w:rtl w:val="0"/>
        </w:rPr>
        <w:t xml:space="preserve">r</w:t>
      </w:r>
      <w:r w:rsidDel="00000000" w:rsidR="00000000" w:rsidRPr="00000000">
        <w:rPr>
          <w:rtl w:val="0"/>
        </w:rPr>
        <w:t xml:space="preserve"> is provided by a generic Ground Motion Prediction Equation, or Intensity Prediction Equation for meaningfulness. For consistency, the same IPE should then be used for evaluating </w:t>
      </w:r>
      <w:r w:rsidDel="00000000" w:rsidR="00000000" w:rsidRPr="00000000">
        <w:rPr>
          <w:i w:val="1"/>
          <w:rtl w:val="0"/>
        </w:rPr>
        <w:t xml:space="preserve">PG</w:t>
      </w:r>
      <w:r w:rsidDel="00000000" w:rsidR="00000000" w:rsidRPr="00000000">
        <w:rPr>
          <w:i w:val="1"/>
          <w:vertAlign w:val="subscript"/>
          <w:rtl w:val="0"/>
        </w:rPr>
        <w:t xml:space="preserve">r</w:t>
      </w:r>
      <w:r w:rsidDel="00000000" w:rsidR="00000000" w:rsidRPr="00000000">
        <w:rPr>
          <w:rtl w:val="0"/>
        </w:rPr>
        <w:t xml:space="preserve"> using final event magnitude, and </w:t>
      </w:r>
      <w:r w:rsidDel="00000000" w:rsidR="00000000" w:rsidRPr="00000000">
        <w:rPr>
          <w:i w:val="1"/>
          <w:rtl w:val="0"/>
        </w:rPr>
        <w:t xml:space="preserve">PG</w:t>
      </w:r>
      <w:r w:rsidDel="00000000" w:rsidR="00000000" w:rsidRPr="00000000">
        <w:rPr>
          <w:i w:val="1"/>
          <w:vertAlign w:val="subscript"/>
          <w:rtl w:val="0"/>
        </w:rPr>
        <w:t xml:space="preserve">m</w:t>
      </w:r>
      <w:r w:rsidDel="00000000" w:rsidR="00000000" w:rsidRPr="00000000">
        <w:rPr>
          <w:rtl w:val="0"/>
        </w:rPr>
        <w:t xml:space="preserve"> using EEW parameter estimates. We use the IPE from Allen et al. (2012) as it is appropriate for generic applications to crustal earthquakes.</w:t>
      </w:r>
    </w:p>
    <w:p w:rsidR="00000000" w:rsidDel="00000000" w:rsidP="00000000" w:rsidRDefault="00000000" w:rsidRPr="00000000" w14:paraId="00000006">
      <w:pPr>
        <w:ind w:left="0" w:firstLine="0"/>
        <w:rPr/>
      </w:pPr>
      <w:r w:rsidDel="00000000" w:rsidR="00000000" w:rsidRPr="00000000">
        <w:rPr>
          <w:rtl w:val="0"/>
        </w:rPr>
        <w:t xml:space="preserve">In addition, since we inspect the results from EEW methods based on an incomplete time-evolving dataset, the ground motions being compared should be limited to the same geographical range (</w:t>
      </w:r>
      <w:r w:rsidDel="00000000" w:rsidR="00000000" w:rsidRPr="00000000">
        <w:rPr>
          <w:i w:val="1"/>
          <w:rtl w:val="0"/>
        </w:rPr>
        <w:t xml:space="preserve">R</w:t>
      </w:r>
      <w:r w:rsidDel="00000000" w:rsidR="00000000" w:rsidRPr="00000000">
        <w:rPr>
          <w:i w:val="1"/>
          <w:vertAlign w:val="subscript"/>
          <w:rtl w:val="0"/>
        </w:rPr>
        <w:t xml:space="preserve">PG</w:t>
      </w:r>
      <w:r w:rsidDel="00000000" w:rsidR="00000000" w:rsidRPr="00000000">
        <w:rPr>
          <w:rtl w:val="0"/>
        </w:rPr>
        <w:t xml:space="preserve">), where </w:t>
      </w:r>
      <w:r w:rsidDel="00000000" w:rsidR="00000000" w:rsidRPr="00000000">
        <w:rPr>
          <w:i w:val="1"/>
          <w:rtl w:val="0"/>
        </w:rPr>
        <w:t xml:space="preserve">PG</w:t>
      </w:r>
      <w:r w:rsidDel="00000000" w:rsidR="00000000" w:rsidRPr="00000000">
        <w:rPr>
          <w:i w:val="1"/>
          <w:vertAlign w:val="subscript"/>
          <w:rtl w:val="0"/>
        </w:rPr>
        <w:t xml:space="preserve">r</w:t>
      </w:r>
      <w:r w:rsidDel="00000000" w:rsidR="00000000" w:rsidRPr="00000000">
        <w:rPr>
          <w:rtl w:val="0"/>
        </w:rPr>
        <w:t xml:space="preserve"> should be available. At a given delay after origin time, we assume </w:t>
      </w:r>
      <w:r w:rsidDel="00000000" w:rsidR="00000000" w:rsidRPr="00000000">
        <w:rPr>
          <w:i w:val="1"/>
          <w:rtl w:val="0"/>
        </w:rPr>
        <w:t xml:space="preserve">R</w:t>
      </w:r>
      <w:r w:rsidDel="00000000" w:rsidR="00000000" w:rsidRPr="00000000">
        <w:rPr>
          <w:i w:val="1"/>
          <w:vertAlign w:val="subscript"/>
          <w:rtl w:val="0"/>
        </w:rPr>
        <w:t xml:space="preserve">PG</w:t>
      </w:r>
      <w:r w:rsidDel="00000000" w:rsidR="00000000" w:rsidRPr="00000000">
        <w:rPr>
          <w:rtl w:val="0"/>
        </w:rPr>
        <w:t xml:space="preserve"> as the area where S-waves have propagated, which we infer using the iasp91 velocity model and the final event location. For simplification, we focus performance analysis on the edge of </w:t>
      </w:r>
      <w:r w:rsidDel="00000000" w:rsidR="00000000" w:rsidRPr="00000000">
        <w:rPr>
          <w:i w:val="1"/>
          <w:rtl w:val="0"/>
        </w:rPr>
        <w:t xml:space="preserve">R</w:t>
      </w:r>
      <w:r w:rsidDel="00000000" w:rsidR="00000000" w:rsidRPr="00000000">
        <w:rPr>
          <w:i w:val="1"/>
          <w:vertAlign w:val="subscript"/>
          <w:rtl w:val="0"/>
        </w:rPr>
        <w:t xml:space="preserve">PG</w:t>
      </w:r>
      <w:r w:rsidDel="00000000" w:rsidR="00000000" w:rsidRPr="00000000">
        <w:rPr>
          <w:rtl w:val="0"/>
        </w:rPr>
        <w:t xml:space="preserve">, or its radius (</w:t>
      </w:r>
      <w:r w:rsidDel="00000000" w:rsidR="00000000" w:rsidRPr="00000000">
        <w:rPr>
          <w:i w:val="1"/>
          <w:rtl w:val="0"/>
        </w:rPr>
        <w:t xml:space="preserve">r</w:t>
      </w:r>
      <w:r w:rsidDel="00000000" w:rsidR="00000000" w:rsidRPr="00000000">
        <w:rPr>
          <w:rtl w:val="0"/>
        </w:rPr>
        <w:t xml:space="preserve">), where </w:t>
      </w:r>
      <w:r w:rsidDel="00000000" w:rsidR="00000000" w:rsidRPr="00000000">
        <w:rPr>
          <w:i w:val="1"/>
          <w:rtl w:val="0"/>
        </w:rPr>
        <w:t xml:space="preserve">PG</w:t>
      </w:r>
      <w:r w:rsidDel="00000000" w:rsidR="00000000" w:rsidRPr="00000000">
        <w:rPr>
          <w:i w:val="1"/>
          <w:vertAlign w:val="subscript"/>
          <w:rtl w:val="0"/>
        </w:rPr>
        <w:t xml:space="preserve">r</w:t>
      </w:r>
      <w:r w:rsidDel="00000000" w:rsidR="00000000" w:rsidRPr="00000000">
        <w:rPr>
          <w:rtl w:val="0"/>
        </w:rPr>
        <w:t xml:space="preserve"> reaches its mode value, which also is the limit of the maximum ground motion being predictable at the considered time.</w:t>
      </w:r>
    </w:p>
    <w:p w:rsidR="00000000" w:rsidDel="00000000" w:rsidP="00000000" w:rsidRDefault="00000000" w:rsidRPr="00000000" w14:paraId="00000007">
      <w:pPr>
        <w:ind w:left="0" w:firstLine="0"/>
        <w:rPr/>
      </w:pPr>
      <w:r w:rsidDel="00000000" w:rsidR="00000000" w:rsidRPr="00000000">
        <w:rPr>
          <w:rtl w:val="0"/>
        </w:rPr>
        <w:t xml:space="preserve">Thus we define the </w:t>
      </w:r>
      <w:r w:rsidDel="00000000" w:rsidR="00000000" w:rsidRPr="00000000">
        <w:rPr>
          <w:i w:val="1"/>
          <w:rtl w:val="0"/>
        </w:rPr>
        <w:t xml:space="preserve">maximum predicted intensity (MPI)</w:t>
      </w:r>
      <w:r w:rsidDel="00000000" w:rsidR="00000000" w:rsidRPr="00000000">
        <w:rPr>
          <w:rtl w:val="0"/>
        </w:rPr>
        <w:t xml:space="preserve"> as our term for comparing </w:t>
      </w:r>
      <w:r w:rsidDel="00000000" w:rsidR="00000000" w:rsidRPr="00000000">
        <w:rPr>
          <w:i w:val="1"/>
          <w:rtl w:val="0"/>
        </w:rPr>
        <w:t xml:space="preserve">PG</w:t>
      </w:r>
      <w:r w:rsidDel="00000000" w:rsidR="00000000" w:rsidRPr="00000000">
        <w:rPr>
          <w:i w:val="1"/>
          <w:vertAlign w:val="subscript"/>
          <w:rtl w:val="0"/>
        </w:rPr>
        <w:t xml:space="preserve">m</w:t>
      </w:r>
      <w:r w:rsidDel="00000000" w:rsidR="00000000" w:rsidRPr="00000000">
        <w:rPr>
          <w:rtl w:val="0"/>
        </w:rPr>
        <w:t xml:space="preserve"> to </w:t>
      </w:r>
      <w:r w:rsidDel="00000000" w:rsidR="00000000" w:rsidRPr="00000000">
        <w:rPr>
          <w:i w:val="1"/>
          <w:rtl w:val="0"/>
        </w:rPr>
        <w:t xml:space="preserve">PG</w:t>
      </w:r>
      <w:r w:rsidDel="00000000" w:rsidR="00000000" w:rsidRPr="00000000">
        <w:rPr>
          <w:i w:val="1"/>
          <w:vertAlign w:val="subscript"/>
          <w:rtl w:val="0"/>
        </w:rPr>
        <w:t xml:space="preserve">r</w:t>
      </w:r>
      <w:r w:rsidDel="00000000" w:rsidR="00000000" w:rsidRPr="00000000">
        <w:rPr>
          <w:rtl w:val="0"/>
        </w:rPr>
        <w:t xml:space="preserve"> at the edge of </w:t>
      </w:r>
      <w:r w:rsidDel="00000000" w:rsidR="00000000" w:rsidRPr="00000000">
        <w:rPr>
          <w:i w:val="1"/>
          <w:rtl w:val="0"/>
        </w:rPr>
        <w:t xml:space="preserve">R</w:t>
      </w:r>
      <w:r w:rsidDel="00000000" w:rsidR="00000000" w:rsidRPr="00000000">
        <w:rPr>
          <w:i w:val="1"/>
          <w:vertAlign w:val="subscript"/>
          <w:rtl w:val="0"/>
        </w:rPr>
        <w:t xml:space="preserve">PG</w:t>
      </w:r>
      <w:r w:rsidDel="00000000" w:rsidR="00000000" w:rsidRPr="00000000">
        <w:rPr>
          <w:rtl w:val="0"/>
        </w:rPr>
        <w:t xml:space="preserve">, using the generic Allen et al. (2012) IPE, the distance to the fault-line provided by EEW, and the iasp91 velocity model. We note that, although </w:t>
      </w:r>
      <w:r w:rsidDel="00000000" w:rsidR="00000000" w:rsidRPr="00000000">
        <w:rPr>
          <w:i w:val="1"/>
          <w:rtl w:val="0"/>
        </w:rPr>
        <w:t xml:space="preserve">MPI</w:t>
      </w:r>
      <w:r w:rsidDel="00000000" w:rsidR="00000000" w:rsidRPr="00000000">
        <w:rPr>
          <w:rtl w:val="0"/>
        </w:rPr>
        <w:t xml:space="preserve"> is only relevant to EEW methods performance comparison, it might also present consistency with recorded ground motion.</w:t>
      </w:r>
    </w:p>
    <w:p w:rsidR="00000000" w:rsidDel="00000000" w:rsidP="00000000" w:rsidRDefault="00000000" w:rsidRPr="00000000" w14:paraId="00000008">
      <w:pPr>
        <w:pStyle w:val="Heading2"/>
        <w:spacing w:after="0" w:before="144" w:lineRule="auto"/>
        <w:ind w:left="0" w:firstLine="0"/>
        <w:rPr/>
      </w:pPr>
      <w:bookmarkStart w:colFirst="0" w:colLast="0" w:name="_heading=h.sa8xfuhbn0vh" w:id="1"/>
      <w:bookmarkEnd w:id="1"/>
      <w:r w:rsidDel="00000000" w:rsidR="00000000" w:rsidRPr="00000000">
        <w:rPr>
          <w:rtl w:val="0"/>
        </w:rPr>
        <w:t xml:space="preserve">Captions for supplementary table and figures</w:t>
      </w:r>
    </w:p>
    <w:p w:rsidR="00000000" w:rsidDel="00000000" w:rsidP="00000000" w:rsidRDefault="00000000" w:rsidRPr="00000000" w14:paraId="00000009">
      <w:pPr>
        <w:spacing w:line="360" w:lineRule="auto"/>
        <w:ind w:left="0" w:firstLine="0"/>
        <w:jc w:val="both"/>
        <w:rPr>
          <w:color w:val="222222"/>
        </w:rPr>
      </w:pPr>
      <w:r w:rsidDel="00000000" w:rsidR="00000000" w:rsidRPr="00000000">
        <w:rPr>
          <w:b w:val="1"/>
          <w:color w:val="222222"/>
          <w:rtl w:val="0"/>
        </w:rPr>
        <w:t xml:space="preserve">Table</w:t>
      </w:r>
      <w:r w:rsidDel="00000000" w:rsidR="00000000" w:rsidRPr="00000000">
        <w:rPr>
          <w:b w:val="1"/>
          <w:rtl w:val="0"/>
        </w:rPr>
        <w:t xml:space="preserve"> A1</w:t>
      </w:r>
      <w:r w:rsidDel="00000000" w:rsidR="00000000" w:rsidRPr="00000000">
        <w:rPr>
          <w:b w:val="1"/>
          <w:color w:val="222222"/>
          <w:rtl w:val="0"/>
        </w:rPr>
        <w:t xml:space="preserve">.</w:t>
      </w:r>
      <w:r w:rsidDel="00000000" w:rsidR="00000000" w:rsidRPr="00000000">
        <w:rPr>
          <w:color w:val="222222"/>
          <w:rtl w:val="0"/>
        </w:rPr>
        <w:t xml:space="preserve"> The 100 largest earthquakes, over magnitude 2.7, within Switzerland since 2009.</w:t>
      </w:r>
      <w:r w:rsidDel="00000000" w:rsidR="00000000" w:rsidRPr="00000000">
        <w:rPr>
          <w:rtl w:val="0"/>
        </w:rPr>
      </w:r>
    </w:p>
    <w:p w:rsidR="00000000" w:rsidDel="00000000" w:rsidP="00000000" w:rsidRDefault="00000000" w:rsidRPr="00000000" w14:paraId="0000000A">
      <w:pPr>
        <w:spacing w:line="360" w:lineRule="auto"/>
        <w:ind w:left="0" w:firstLine="0"/>
        <w:jc w:val="both"/>
        <w:rPr/>
      </w:pPr>
      <w:r w:rsidDel="00000000" w:rsidR="00000000" w:rsidRPr="00000000">
        <w:rPr>
          <w:b w:val="1"/>
          <w:color w:val="222222"/>
          <w:rtl w:val="0"/>
        </w:rPr>
        <w:t xml:space="preserve">F</w:t>
      </w:r>
      <w:r w:rsidDel="00000000" w:rsidR="00000000" w:rsidRPr="00000000">
        <w:rPr>
          <w:b w:val="1"/>
          <w:rtl w:val="0"/>
        </w:rPr>
        <w:t xml:space="preserve">igure A1</w:t>
      </w:r>
      <w:r w:rsidDel="00000000" w:rsidR="00000000" w:rsidRPr="00000000">
        <w:rPr>
          <w:b w:val="1"/>
          <w:color w:val="222222"/>
          <w:rtl w:val="0"/>
        </w:rPr>
        <w:t xml:space="preserve">.</w:t>
      </w:r>
      <w:r w:rsidDel="00000000" w:rsidR="00000000" w:rsidRPr="00000000">
        <w:rPr>
          <w:color w:val="222222"/>
          <w:rtl w:val="0"/>
        </w:rPr>
        <w:t xml:space="preserve"> Delays from seismic stations in the Switzerland region in 2021. a: Packet reception delays are the differences between packet receptions and end times with a </w:t>
      </w:r>
      <w:r w:rsidDel="00000000" w:rsidR="00000000" w:rsidRPr="00000000">
        <w:rPr>
          <w:rtl w:val="0"/>
        </w:rPr>
        <w:t xml:space="preserve">median of 0.4691s (+/-1.237192 / 0.116 s)</w:t>
      </w:r>
      <w:r w:rsidDel="00000000" w:rsidR="00000000" w:rsidRPr="00000000">
        <w:rPr>
          <w:color w:val="222222"/>
          <w:rtl w:val="0"/>
        </w:rPr>
        <w:t xml:space="preserve">.  b: Packet reception intervals are the differences in the reception times of consecutive packets, with </w:t>
      </w:r>
      <w:r w:rsidDel="00000000" w:rsidR="00000000" w:rsidRPr="00000000">
        <w:rPr>
          <w:rtl w:val="0"/>
        </w:rPr>
        <w:t xml:space="preserve">a median of 1.648s (+/-0.412 / 0.184 s)</w:t>
      </w:r>
      <w:r w:rsidDel="00000000" w:rsidR="00000000" w:rsidRPr="00000000">
        <w:rPr>
          <w:color w:val="222222"/>
          <w:rtl w:val="0"/>
        </w:rPr>
        <w:t xml:space="preserve">. c: Data delays is a proxy for the delays of the individual data sample, assumed as the sum of packet delays and half of the packet reception interval</w:t>
      </w:r>
      <w:r w:rsidDel="00000000" w:rsidR="00000000" w:rsidRPr="00000000">
        <w:rPr>
          <w:rtl w:val="0"/>
        </w:rPr>
        <w:t xml:space="preserve">, with a median of 1.4619 s (+/-1.171696 / 0.2952 s).</w:t>
      </w:r>
    </w:p>
    <w:p w:rsidR="00000000" w:rsidDel="00000000" w:rsidP="00000000" w:rsidRDefault="00000000" w:rsidRPr="00000000" w14:paraId="0000000B">
      <w:pPr>
        <w:spacing w:line="360" w:lineRule="auto"/>
        <w:ind w:left="0" w:firstLine="0"/>
        <w:jc w:val="both"/>
        <w:rPr>
          <w:color w:val="222222"/>
        </w:rPr>
      </w:pPr>
      <w:r w:rsidDel="00000000" w:rsidR="00000000" w:rsidRPr="00000000">
        <w:rPr>
          <w:b w:val="1"/>
          <w:color w:val="222222"/>
          <w:rtl w:val="0"/>
        </w:rPr>
        <w:t xml:space="preserve">F</w:t>
      </w:r>
      <w:r w:rsidDel="00000000" w:rsidR="00000000" w:rsidRPr="00000000">
        <w:rPr>
          <w:b w:val="1"/>
          <w:rtl w:val="0"/>
        </w:rPr>
        <w:t xml:space="preserve">igure A2</w:t>
      </w:r>
      <w:r w:rsidDel="00000000" w:rsidR="00000000" w:rsidRPr="00000000">
        <w:rPr>
          <w:b w:val="1"/>
          <w:color w:val="222222"/>
          <w:rtl w:val="0"/>
        </w:rPr>
        <w:t xml:space="preserve">.</w:t>
      </w:r>
      <w:r w:rsidDel="00000000" w:rsidR="00000000" w:rsidRPr="00000000">
        <w:rPr>
          <w:color w:val="222222"/>
          <w:rtl w:val="0"/>
        </w:rPr>
        <w:t xml:space="preserve"> Seismic stations in the Switzerland region in 2021. SM: strong-motion accelerograph. BB: broadband seismograph. SP: short-period seismograph. a: Station map with channel type distribution and map of the distance to the closest station. b: Station map with channel type distribution and P-wave delays for triggering the 1rst station (considering hypocentres at 5 km depth and seismic data delays). </w:t>
      </w:r>
    </w:p>
    <w:p w:rsidR="00000000" w:rsidDel="00000000" w:rsidP="00000000" w:rsidRDefault="00000000" w:rsidRPr="00000000" w14:paraId="0000000C">
      <w:pPr>
        <w:spacing w:line="360" w:lineRule="auto"/>
        <w:ind w:left="0" w:firstLine="0"/>
        <w:jc w:val="both"/>
        <w:rPr>
          <w:color w:val="222222"/>
        </w:rPr>
      </w:pPr>
      <w:r w:rsidDel="00000000" w:rsidR="00000000" w:rsidRPr="00000000">
        <w:rPr>
          <w:b w:val="1"/>
          <w:color w:val="222222"/>
          <w:rtl w:val="0"/>
        </w:rPr>
        <w:t xml:space="preserve">Figure A3. </w:t>
      </w:r>
      <w:r w:rsidDel="00000000" w:rsidR="00000000" w:rsidRPr="00000000">
        <w:rPr>
          <w:color w:val="222222"/>
          <w:rtl w:val="0"/>
        </w:rPr>
        <w:t xml:space="preserve">Temporal (a, c) and geographical (b, d) overview of the VS (green, 56 earthquakes online and 92 playbacks), FinDer (orange, 10 earthquakes online and 37 playbacks) performances for the 100 largest earthquakes over magnitude 2.7 in Switzerland since 2009. The plotting conventions are the same as in Figure 11. Further details on errors are provided in Supplemental Material Figure A4.</w:t>
      </w:r>
    </w:p>
    <w:p w:rsidR="00000000" w:rsidDel="00000000" w:rsidP="00000000" w:rsidRDefault="00000000" w:rsidRPr="00000000" w14:paraId="0000000D">
      <w:pPr>
        <w:spacing w:line="360" w:lineRule="auto"/>
        <w:ind w:left="0" w:firstLine="0"/>
        <w:jc w:val="both"/>
        <w:rPr>
          <w:color w:val="222222"/>
        </w:rPr>
      </w:pPr>
      <w:r w:rsidDel="00000000" w:rsidR="00000000" w:rsidRPr="00000000">
        <w:rPr>
          <w:b w:val="1"/>
          <w:color w:val="222222"/>
          <w:rtl w:val="0"/>
        </w:rPr>
        <w:t xml:space="preserve">Figure A4. </w:t>
      </w:r>
      <w:r w:rsidDel="00000000" w:rsidR="00000000" w:rsidRPr="00000000">
        <w:rPr>
          <w:color w:val="222222"/>
          <w:rtl w:val="0"/>
        </w:rPr>
        <w:t xml:space="preserve">Error (δ) cumulated distributions for the results from VS (green, 56 earthquakes online and 92 playbacks), and FinDer (orange, 10 earthquakes online and 37 playbacks) for the 100 largest earthquakes over magnitude 2.7 in Switzerland since 2009. We use the same plotting conventions as in Figure 12.</w:t>
      </w:r>
    </w:p>
    <w:p w:rsidR="00000000" w:rsidDel="00000000" w:rsidP="00000000" w:rsidRDefault="00000000" w:rsidRPr="00000000" w14:paraId="0000000E">
      <w:pPr>
        <w:spacing w:line="360" w:lineRule="auto"/>
        <w:ind w:left="0" w:firstLine="0"/>
        <w:jc w:val="both"/>
        <w:rPr>
          <w:color w:val="222222"/>
        </w:rPr>
      </w:pPr>
      <w:r w:rsidDel="00000000" w:rsidR="00000000" w:rsidRPr="00000000">
        <w:rPr>
          <w:b w:val="1"/>
          <w:color w:val="222222"/>
          <w:rtl w:val="0"/>
        </w:rPr>
        <w:t xml:space="preserve">Figure A5.</w:t>
      </w:r>
      <w:r w:rsidDel="00000000" w:rsidR="00000000" w:rsidRPr="00000000">
        <w:rPr>
          <w:color w:val="222222"/>
          <w:rtl w:val="0"/>
        </w:rPr>
        <w:t xml:space="preserve"> Delays of the fourth travel time (blue), first VS magnitude (green), and first FinDer magnitudes for the 100 largest earthquakes over magnitude 2.7 (solid lines), and the 8 largest earthquakes over magnitude 3.9 (dashed lines), in Switzerland since 2009. a: Delays for the online real-time ESE system. b: Delays for the playback ESE system. c: Hodochron plot for the 100 largest earthquakes showing all P and S travel times as a function of Epicentral distance and depth. Delay percentiles can be compared to the S-wave hodochrones in order to estimate the related minimum radius of the area with positive EEW.</w:t>
      </w:r>
    </w:p>
    <w:p w:rsidR="00000000" w:rsidDel="00000000" w:rsidP="00000000" w:rsidRDefault="00000000" w:rsidRPr="00000000" w14:paraId="0000000F">
      <w:pPr>
        <w:spacing w:line="360" w:lineRule="auto"/>
        <w:ind w:left="0" w:firstLine="0"/>
        <w:jc w:val="both"/>
        <w:rPr/>
      </w:pPr>
      <w:r w:rsidDel="00000000" w:rsidR="00000000" w:rsidRPr="00000000">
        <w:rPr>
          <w:b w:val="1"/>
          <w:color w:val="222222"/>
          <w:rtl w:val="0"/>
        </w:rPr>
        <w:t xml:space="preserve">Figure A6.  </w:t>
      </w:r>
      <w:r w:rsidDel="00000000" w:rsidR="00000000" w:rsidRPr="00000000">
        <w:rPr>
          <w:color w:val="222222"/>
          <w:rtl w:val="0"/>
        </w:rPr>
        <w:t xml:space="preserve">Delays of the fourth travel time (blue), first VS magnitude (green), and first FinDer magnitudes for the earthquakes with both VS and FinDer magnitudes (solid lines), and those over magnitude 3.9 (dashed lines), in Switzerland since 2017 (since ESE is configured for  4-stations location and FinDer). a: Delays for the online real-time ESE system (9 earthquakes). b: Delays for the playback ESE system (21 earthquakes). See supplementary material Figure A5 for complete results.</w:t>
      </w:r>
      <w:r w:rsidDel="00000000" w:rsidR="00000000" w:rsidRPr="00000000">
        <w:rPr>
          <w:rtl w:val="0"/>
        </w:rPr>
      </w:r>
    </w:p>
    <w:sectPr>
      <w:footerReference r:id="rId7" w:type="default"/>
      <w:pgSz w:h="15840" w:w="12240" w:orient="portrait"/>
      <w:pgMar w:bottom="1440" w:top="1440" w:left="139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before="288"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0" w:before="288" w:lineRule="auto"/>
      <w:ind w:left="0" w:firstLine="0"/>
    </w:pPr>
    <w:rPr>
      <w:b w:val="1"/>
      <w:sz w:val="24"/>
      <w:szCs w:val="24"/>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480" w:lineRule="auto"/>
      <w:ind w:left="0" w:firstLine="0"/>
    </w:pPr>
    <w:rPr>
      <w:b w:val="1"/>
      <w:sz w:val="24"/>
      <w:szCs w:val="24"/>
    </w:rPr>
  </w:style>
  <w:style w:type="paragraph" w:styleId="Heading2">
    <w:name w:val="heading 2"/>
    <w:basedOn w:val="Normal"/>
    <w:next w:val="Normal"/>
    <w:pPr>
      <w:keepNext w:val="1"/>
      <w:keepLines w:val="1"/>
      <w:spacing w:before="400" w:line="480" w:lineRule="auto"/>
      <w:ind w:left="0" w:firstLine="0"/>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bidi w:val="0"/>
      <w:spacing w:line="276" w:lineRule="auto"/>
      <w:jc w:val="left"/>
    </w:pPr>
    <w:rPr>
      <w:rFonts w:ascii="Arial" w:cs="Arial" w:eastAsia="Arial" w:hAnsi="Arial"/>
      <w:color w:val="auto"/>
      <w:kern w:val="0"/>
      <w:sz w:val="22"/>
      <w:szCs w:val="22"/>
      <w:lang w:bidi="ar-SA" w:eastAsia="en-GB" w:val="en-GB"/>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character" w:styleId="Linenumber">
    <w:name w:val="line number"/>
    <w:basedOn w:val="DefaultParagraphFont"/>
    <w:uiPriority w:val="99"/>
    <w:semiHidden w:val="1"/>
    <w:unhideWhenUsed w:val="1"/>
    <w:qFormat w:val="1"/>
    <w:rsid w:val="00901051"/>
    <w:rPr/>
  </w:style>
  <w:style w:type="character" w:styleId="BalloonTextChar" w:customStyle="1">
    <w:name w:val="Balloon Text Char"/>
    <w:basedOn w:val="DefaultParagraphFont"/>
    <w:link w:val="BalloonText"/>
    <w:uiPriority w:val="99"/>
    <w:semiHidden w:val="1"/>
    <w:qFormat w:val="1"/>
    <w:rsid w:val="00495CB3"/>
    <w:rPr>
      <w:rFonts w:ascii="Times New Roman" w:cs="Times New Roman" w:hAnsi="Times New Roman"/>
      <w:sz w:val="18"/>
      <w:szCs w:val="18"/>
    </w:rPr>
  </w:style>
  <w:style w:type="character" w:styleId="Appleconvertedspace" w:customStyle="1">
    <w:name w:val="apple-converted-space"/>
    <w:basedOn w:val="DefaultParagraphFont"/>
    <w:qFormat w:val="1"/>
    <w:rsid w:val="00312D81"/>
    <w:rPr/>
  </w:style>
  <w:style w:type="character" w:styleId="InternetLink">
    <w:name w:val="Internet Link"/>
    <w:basedOn w:val="DefaultParagraphFont"/>
    <w:uiPriority w:val="99"/>
    <w:semiHidden w:val="1"/>
    <w:unhideWhenUsed w:val="1"/>
    <w:rsid w:val="00312D81"/>
    <w:rPr>
      <w:color w:val="0000ff"/>
      <w:u w:val="single"/>
    </w:rPr>
  </w:style>
  <w:style w:type="character" w:styleId="PlaceholderText">
    <w:name w:val="Placeholder Text"/>
    <w:basedOn w:val="DefaultParagraphFont"/>
    <w:uiPriority w:val="99"/>
    <w:semiHidden w:val="1"/>
    <w:qFormat w:val="1"/>
    <w:rsid w:val="003017A6"/>
    <w:rPr>
      <w:color w:val="808080"/>
    </w:rPr>
  </w:style>
  <w:style w:type="character" w:styleId="Annotationreference">
    <w:name w:val="annotation reference"/>
    <w:basedOn w:val="DefaultParagraphFont"/>
    <w:uiPriority w:val="99"/>
    <w:semiHidden w:val="1"/>
    <w:unhideWhenUsed w:val="1"/>
    <w:qFormat w:val="1"/>
    <w:rsid w:val="0092368B"/>
    <w:rPr>
      <w:sz w:val="16"/>
      <w:szCs w:val="16"/>
    </w:rPr>
  </w:style>
  <w:style w:type="character" w:styleId="CommentTextChar" w:customStyle="1">
    <w:name w:val="Comment Text Char"/>
    <w:basedOn w:val="DefaultParagraphFont"/>
    <w:link w:val="CommentText"/>
    <w:uiPriority w:val="99"/>
    <w:semiHidden w:val="1"/>
    <w:qFormat w:val="1"/>
    <w:rsid w:val="0092368B"/>
    <w:rPr>
      <w:sz w:val="20"/>
      <w:szCs w:val="20"/>
    </w:rPr>
  </w:style>
  <w:style w:type="character" w:styleId="CommentSubjectChar" w:customStyle="1">
    <w:name w:val="Comment Subject Char"/>
    <w:basedOn w:val="CommentTextChar"/>
    <w:link w:val="CommentSubject"/>
    <w:uiPriority w:val="99"/>
    <w:semiHidden w:val="1"/>
    <w:qFormat w:val="1"/>
    <w:rsid w:val="0092368B"/>
    <w:rPr>
      <w:b w:val="1"/>
      <w:bCs w:val="1"/>
      <w:sz w:val="20"/>
      <w:szCs w:val="20"/>
    </w:rPr>
  </w:style>
  <w:style w:type="character" w:styleId="ListLabel1">
    <w:name w:val="ListLabel 1"/>
    <w:qFormat w:val="1"/>
    <w:rPr>
      <w:u w:val="none"/>
    </w:rPr>
  </w:style>
  <w:style w:type="character" w:styleId="ListLabel2">
    <w:name w:val="ListLabel 2"/>
    <w:qFormat w:val="1"/>
    <w:rPr>
      <w:u w:val="none"/>
    </w:rPr>
  </w:style>
  <w:style w:type="character" w:styleId="ListLabel3">
    <w:name w:val="ListLabel 3"/>
    <w:qFormat w:val="1"/>
    <w:rPr>
      <w:u w:val="none"/>
    </w:rPr>
  </w:style>
  <w:style w:type="character" w:styleId="ListLabel4">
    <w:name w:val="ListLabel 4"/>
    <w:qFormat w:val="1"/>
    <w:rPr>
      <w:u w:val="none"/>
    </w:rPr>
  </w:style>
  <w:style w:type="character" w:styleId="ListLabel5">
    <w:name w:val="ListLabel 5"/>
    <w:qFormat w:val="1"/>
    <w:rPr>
      <w:u w:val="none"/>
    </w:rPr>
  </w:style>
  <w:style w:type="character" w:styleId="ListLabel6">
    <w:name w:val="ListLabel 6"/>
    <w:qFormat w:val="1"/>
    <w:rPr>
      <w:u w:val="none"/>
    </w:rPr>
  </w:style>
  <w:style w:type="character" w:styleId="ListLabel7">
    <w:name w:val="ListLabel 7"/>
    <w:qFormat w:val="1"/>
    <w:rPr>
      <w:u w:val="none"/>
    </w:rPr>
  </w:style>
  <w:style w:type="character" w:styleId="ListLabel8">
    <w:name w:val="ListLabel 8"/>
    <w:qFormat w:val="1"/>
    <w:rPr>
      <w:u w:val="none"/>
    </w:rPr>
  </w:style>
  <w:style w:type="character" w:styleId="ListLabel9">
    <w:name w:val="ListLabel 9"/>
    <w:qFormat w:val="1"/>
    <w:rPr>
      <w:u w:val="none"/>
    </w:rPr>
  </w:style>
  <w:style w:type="character" w:styleId="ListLabel10">
    <w:name w:val="ListLabel 10"/>
    <w:qFormat w:val="1"/>
    <w:rPr>
      <w:rFonts w:cs="Arial" w:eastAsia="Arial"/>
      <w:b w:val="1"/>
      <w:u w:val="none"/>
    </w:rPr>
  </w:style>
  <w:style w:type="character" w:styleId="ListLabel11">
    <w:name w:val="ListLabel 11"/>
    <w:qFormat w:val="1"/>
    <w:rPr>
      <w:u w:val="none"/>
    </w:rPr>
  </w:style>
  <w:style w:type="character" w:styleId="ListLabel12">
    <w:name w:val="ListLabel 12"/>
    <w:qFormat w:val="1"/>
    <w:rPr>
      <w:u w:val="none"/>
    </w:rPr>
  </w:style>
  <w:style w:type="character" w:styleId="ListLabel13">
    <w:name w:val="ListLabel 13"/>
    <w:qFormat w:val="1"/>
    <w:rPr>
      <w:u w:val="none"/>
    </w:rPr>
  </w:style>
  <w:style w:type="character" w:styleId="ListLabel14">
    <w:name w:val="ListLabel 14"/>
    <w:qFormat w:val="1"/>
    <w:rPr>
      <w:u w:val="none"/>
    </w:rPr>
  </w:style>
  <w:style w:type="character" w:styleId="ListLabel15">
    <w:name w:val="ListLabel 15"/>
    <w:qFormat w:val="1"/>
    <w:rPr>
      <w:u w:val="none"/>
    </w:rPr>
  </w:style>
  <w:style w:type="character" w:styleId="ListLabel16">
    <w:name w:val="ListLabel 16"/>
    <w:qFormat w:val="1"/>
    <w:rPr>
      <w:u w:val="none"/>
    </w:rPr>
  </w:style>
  <w:style w:type="character" w:styleId="ListLabel17">
    <w:name w:val="ListLabel 17"/>
    <w:qFormat w:val="1"/>
    <w:rPr>
      <w:u w:val="none"/>
    </w:rPr>
  </w:style>
  <w:style w:type="character" w:styleId="ListLabel18">
    <w:name w:val="ListLabel 18"/>
    <w:qFormat w:val="1"/>
    <w:rPr>
      <w:u w:val="none"/>
    </w:rPr>
  </w:style>
  <w:style w:type="character" w:styleId="ListLabel19">
    <w:name w:val="ListLabel 19"/>
    <w:qFormat w:val="1"/>
    <w:rPr>
      <w:rFonts w:ascii="Arial" w:cs="Arial" w:eastAsia="" w:hAnsi="Arial"/>
      <w:sz w:val="22"/>
    </w:rPr>
  </w:style>
  <w:style w:type="character" w:styleId="ListLabel20">
    <w:name w:val="ListLabel 20"/>
    <w:qFormat w:val="1"/>
    <w:rPr>
      <w:rFonts w:cs="Courier New"/>
    </w:rPr>
  </w:style>
  <w:style w:type="character" w:styleId="ListLabel21">
    <w:name w:val="ListLabel 21"/>
    <w:qFormat w:val="1"/>
    <w:rPr>
      <w:rFonts w:cs="Courier New"/>
    </w:rPr>
  </w:style>
  <w:style w:type="character" w:styleId="ListLabel22">
    <w:name w:val="ListLabel 22"/>
    <w:qFormat w:val="1"/>
    <w:rPr>
      <w:rFonts w:cs="Courier New"/>
    </w:rPr>
  </w:style>
  <w:style w:type="character" w:styleId="ListLabel23">
    <w:name w:val="ListLabel 23"/>
    <w:qFormat w:val="1"/>
    <w:rPr>
      <w:color w:val="1155cc"/>
      <w:u w:val="single"/>
    </w:rPr>
  </w:style>
  <w:style w:type="character" w:styleId="ListLabel24">
    <w:name w:val="ListLabel 24"/>
    <w:qFormat w:val="1"/>
    <w:rPr>
      <w:color w:val="1155cc"/>
      <w:highlight w:val="yellow"/>
      <w:u w:val="single"/>
    </w:rPr>
  </w:style>
  <w:style w:type="character" w:styleId="ListLabel25">
    <w:name w:val="ListLabel 25"/>
    <w:qFormat w:val="1"/>
    <w:rPr>
      <w:color w:val="0563c1"/>
      <w:u w:val="single"/>
    </w:rPr>
  </w:style>
  <w:style w:type="character" w:styleId="ListLabel26">
    <w:name w:val="ListLabel 26"/>
    <w:qFormat w:val="1"/>
    <w:rPr>
      <w:color w:val="000000" w:themeColor="text1"/>
      <w:u w:val="single"/>
    </w:rPr>
  </w:style>
  <w:style w:type="character" w:styleId="ListLabel27">
    <w:name w:val="ListLabel 27"/>
    <w:qFormat w:val="1"/>
    <w:rPr>
      <w:rFonts w:eastAsia="Times New Roman"/>
      <w:color w:val="00436d"/>
      <w:u w:val="single"/>
      <w:lang w:val="en-CH"/>
    </w:rPr>
  </w:style>
  <w:style w:type="character" w:styleId="ListLabel28">
    <w:name w:val="ListLabel 28"/>
    <w:qFormat w:val="1"/>
    <w:rPr>
      <w:lang w:val="en-US"/>
    </w:rPr>
  </w:style>
  <w:style w:type="character" w:styleId="ListLabel29">
    <w:name w:val="ListLabel 29"/>
    <w:qFormat w:val="1"/>
    <w:rPr/>
  </w:style>
  <w:style w:type="character" w:styleId="ListLabel30">
    <w:name w:val="ListLabel 30"/>
    <w:qFormat w:val="1"/>
    <w:rPr>
      <w:color w:val="1155cc"/>
      <w:u w:val="single"/>
      <w:lang w:val="de-CH"/>
    </w:rPr>
  </w:style>
  <w:style w:type="character" w:styleId="LineNumbering">
    <w:name w:val="Line Numbering"/>
    <w:rPr/>
  </w:style>
  <w:style w:type="character" w:styleId="ListLabel31">
    <w:name w:val="ListLabel 31"/>
    <w:qFormat w:val="1"/>
    <w:rPr>
      <w:rFonts w:cs="Arial" w:eastAsia="Arial"/>
      <w:b w:val="1"/>
      <w:u w:val="none"/>
    </w:rPr>
  </w:style>
  <w:style w:type="character" w:styleId="ListLabel32">
    <w:name w:val="ListLabel 32"/>
    <w:qFormat w:val="1"/>
    <w:rPr>
      <w:u w:val="none"/>
    </w:rPr>
  </w:style>
  <w:style w:type="character" w:styleId="ListLabel33">
    <w:name w:val="ListLabel 33"/>
    <w:qFormat w:val="1"/>
    <w:rPr>
      <w:u w:val="none"/>
    </w:rPr>
  </w:style>
  <w:style w:type="character" w:styleId="ListLabel34">
    <w:name w:val="ListLabel 34"/>
    <w:qFormat w:val="1"/>
    <w:rPr>
      <w:u w:val="none"/>
    </w:rPr>
  </w:style>
  <w:style w:type="character" w:styleId="ListLabel35">
    <w:name w:val="ListLabel 35"/>
    <w:qFormat w:val="1"/>
    <w:rPr>
      <w:u w:val="none"/>
    </w:rPr>
  </w:style>
  <w:style w:type="character" w:styleId="ListLabel36">
    <w:name w:val="ListLabel 36"/>
    <w:qFormat w:val="1"/>
    <w:rPr>
      <w:u w:val="none"/>
    </w:rPr>
  </w:style>
  <w:style w:type="character" w:styleId="ListLabel37">
    <w:name w:val="ListLabel 37"/>
    <w:qFormat w:val="1"/>
    <w:rPr>
      <w:u w:val="none"/>
    </w:rPr>
  </w:style>
  <w:style w:type="character" w:styleId="ListLabel38">
    <w:name w:val="ListLabel 38"/>
    <w:qFormat w:val="1"/>
    <w:rPr>
      <w:u w:val="none"/>
    </w:rPr>
  </w:style>
  <w:style w:type="character" w:styleId="ListLabel39">
    <w:name w:val="ListLabel 39"/>
    <w:qFormat w:val="1"/>
    <w:rPr>
      <w:u w:val="none"/>
    </w:rPr>
  </w:style>
  <w:style w:type="character" w:styleId="ListLabel40">
    <w:name w:val="ListLabel 40"/>
    <w:qFormat w:val="1"/>
    <w:rPr>
      <w:rFonts w:cs="Arial"/>
      <w:sz w:val="22"/>
    </w:rPr>
  </w:style>
  <w:style w:type="character" w:styleId="ListLabel41">
    <w:name w:val="ListLabel 41"/>
    <w:qFormat w:val="1"/>
    <w:rPr>
      <w:rFonts w:cs="Courier New"/>
    </w:rPr>
  </w:style>
  <w:style w:type="character" w:styleId="ListLabel42">
    <w:name w:val="ListLabel 42"/>
    <w:qFormat w:val="1"/>
    <w:rPr>
      <w:rFonts w:cs="Wingdings"/>
    </w:rPr>
  </w:style>
  <w:style w:type="character" w:styleId="ListLabel43">
    <w:name w:val="ListLabel 43"/>
    <w:qFormat w:val="1"/>
    <w:rPr>
      <w:rFonts w:cs="Symbol"/>
    </w:rPr>
  </w:style>
  <w:style w:type="character" w:styleId="ListLabel44">
    <w:name w:val="ListLabel 44"/>
    <w:qFormat w:val="1"/>
    <w:rPr>
      <w:rFonts w:cs="Courier New"/>
    </w:rPr>
  </w:style>
  <w:style w:type="character" w:styleId="ListLabel45">
    <w:name w:val="ListLabel 45"/>
    <w:qFormat w:val="1"/>
    <w:rPr>
      <w:rFonts w:cs="Wingdings"/>
    </w:rPr>
  </w:style>
  <w:style w:type="character" w:styleId="ListLabel46">
    <w:name w:val="ListLabel 46"/>
    <w:qFormat w:val="1"/>
    <w:rPr>
      <w:rFonts w:cs="Symbol"/>
    </w:rPr>
  </w:style>
  <w:style w:type="character" w:styleId="ListLabel47">
    <w:name w:val="ListLabel 47"/>
    <w:qFormat w:val="1"/>
    <w:rPr>
      <w:rFonts w:cs="Courier New"/>
    </w:rPr>
  </w:style>
  <w:style w:type="character" w:styleId="ListLabel48">
    <w:name w:val="ListLabel 48"/>
    <w:qFormat w:val="1"/>
    <w:rPr>
      <w:rFonts w:cs="Wingdings"/>
    </w:rPr>
  </w:style>
  <w:style w:type="character" w:styleId="ListLabel49">
    <w:name w:val="ListLabel 49"/>
    <w:qFormat w:val="1"/>
    <w:rPr>
      <w:color w:val="1155cc"/>
      <w:u w:val="single"/>
    </w:rPr>
  </w:style>
  <w:style w:type="character" w:styleId="ListLabel50">
    <w:name w:val="ListLabel 50"/>
    <w:qFormat w:val="1"/>
    <w:rPr>
      <w:color w:val="1155cc"/>
      <w:highlight w:val="yellow"/>
      <w:u w:val="single"/>
    </w:rPr>
  </w:style>
  <w:style w:type="character" w:styleId="ListLabel51">
    <w:name w:val="ListLabel 51"/>
    <w:qFormat w:val="1"/>
    <w:rPr>
      <w:color w:val="0563c1"/>
      <w:u w:val="single"/>
    </w:rPr>
  </w:style>
  <w:style w:type="character" w:styleId="ListLabel52">
    <w:name w:val="ListLabel 52"/>
    <w:qFormat w:val="1"/>
    <w:rPr>
      <w:color w:val="000000" w:themeColor="text1"/>
      <w:u w:val="single"/>
    </w:rPr>
  </w:style>
  <w:style w:type="character" w:styleId="ListLabel53">
    <w:name w:val="ListLabel 53"/>
    <w:qFormat w:val="1"/>
    <w:rPr>
      <w:rFonts w:eastAsia="Times New Roman"/>
      <w:color w:val="00436d"/>
      <w:u w:val="single"/>
      <w:lang w:val="en-CH"/>
    </w:rPr>
  </w:style>
  <w:style w:type="character" w:styleId="ListLabel54">
    <w:name w:val="ListLabel 54"/>
    <w:qFormat w:val="1"/>
    <w:rPr>
      <w:lang w:val="en-US"/>
    </w:rPr>
  </w:style>
  <w:style w:type="character" w:styleId="ListLabel55">
    <w:name w:val="ListLabel 55"/>
    <w:qFormat w:val="1"/>
    <w:rPr/>
  </w:style>
  <w:style w:type="character" w:styleId="ListLabel56">
    <w:name w:val="ListLabel 56"/>
    <w:qFormat w:val="1"/>
    <w:rPr>
      <w:color w:val="1155cc"/>
      <w:u w:val="single"/>
      <w:lang w:val="de-CH"/>
    </w:rPr>
  </w:style>
  <w:style w:type="character" w:styleId="ListLabel57">
    <w:name w:val="ListLabel 57"/>
    <w:qFormat w:val="1"/>
    <w:rPr>
      <w:rFonts w:cs="Arial" w:eastAsia="Arial"/>
      <w:b w:val="1"/>
      <w:u w:val="none"/>
    </w:rPr>
  </w:style>
  <w:style w:type="character" w:styleId="ListLabel58">
    <w:name w:val="ListLabel 58"/>
    <w:qFormat w:val="1"/>
    <w:rPr>
      <w:u w:val="none"/>
    </w:rPr>
  </w:style>
  <w:style w:type="character" w:styleId="ListLabel59">
    <w:name w:val="ListLabel 59"/>
    <w:qFormat w:val="1"/>
    <w:rPr>
      <w:u w:val="none"/>
    </w:rPr>
  </w:style>
  <w:style w:type="character" w:styleId="ListLabel60">
    <w:name w:val="ListLabel 60"/>
    <w:qFormat w:val="1"/>
    <w:rPr>
      <w:u w:val="none"/>
    </w:rPr>
  </w:style>
  <w:style w:type="character" w:styleId="ListLabel61">
    <w:name w:val="ListLabel 61"/>
    <w:qFormat w:val="1"/>
    <w:rPr>
      <w:u w:val="none"/>
    </w:rPr>
  </w:style>
  <w:style w:type="character" w:styleId="ListLabel62">
    <w:name w:val="ListLabel 62"/>
    <w:qFormat w:val="1"/>
    <w:rPr>
      <w:u w:val="none"/>
    </w:rPr>
  </w:style>
  <w:style w:type="character" w:styleId="ListLabel63">
    <w:name w:val="ListLabel 63"/>
    <w:qFormat w:val="1"/>
    <w:rPr>
      <w:u w:val="none"/>
    </w:rPr>
  </w:style>
  <w:style w:type="character" w:styleId="ListLabel64">
    <w:name w:val="ListLabel 64"/>
    <w:qFormat w:val="1"/>
    <w:rPr>
      <w:u w:val="none"/>
    </w:rPr>
  </w:style>
  <w:style w:type="character" w:styleId="ListLabel65">
    <w:name w:val="ListLabel 65"/>
    <w:qFormat w:val="1"/>
    <w:rPr>
      <w:u w:val="none"/>
    </w:rPr>
  </w:style>
  <w:style w:type="character" w:styleId="ListLabel66">
    <w:name w:val="ListLabel 66"/>
    <w:qFormat w:val="1"/>
    <w:rPr>
      <w:color w:val="1155cc"/>
      <w:u w:val="single"/>
      <w:lang w:val="de-CH"/>
    </w:rPr>
  </w:style>
  <w:style w:type="character" w:styleId="ListLabel67">
    <w:name w:val="ListLabel 67"/>
    <w:qFormat w:val="1"/>
    <w:rPr>
      <w:rFonts w:cs="Arial" w:eastAsia="Arial"/>
      <w:b w:val="1"/>
      <w:u w:val="none"/>
    </w:rPr>
  </w:style>
  <w:style w:type="character" w:styleId="ListLabel68">
    <w:name w:val="ListLabel 68"/>
    <w:qFormat w:val="1"/>
    <w:rPr>
      <w:u w:val="none"/>
    </w:rPr>
  </w:style>
  <w:style w:type="character" w:styleId="ListLabel69">
    <w:name w:val="ListLabel 69"/>
    <w:qFormat w:val="1"/>
    <w:rPr>
      <w:u w:val="none"/>
    </w:rPr>
  </w:style>
  <w:style w:type="character" w:styleId="ListLabel70">
    <w:name w:val="ListLabel 70"/>
    <w:qFormat w:val="1"/>
    <w:rPr>
      <w:u w:val="none"/>
    </w:rPr>
  </w:style>
  <w:style w:type="character" w:styleId="ListLabel71">
    <w:name w:val="ListLabel 71"/>
    <w:qFormat w:val="1"/>
    <w:rPr>
      <w:u w:val="none"/>
    </w:rPr>
  </w:style>
  <w:style w:type="character" w:styleId="ListLabel72">
    <w:name w:val="ListLabel 72"/>
    <w:qFormat w:val="1"/>
    <w:rPr>
      <w:u w:val="none"/>
    </w:rPr>
  </w:style>
  <w:style w:type="character" w:styleId="ListLabel73">
    <w:name w:val="ListLabel 73"/>
    <w:qFormat w:val="1"/>
    <w:rPr>
      <w:u w:val="none"/>
    </w:rPr>
  </w:style>
  <w:style w:type="character" w:styleId="ListLabel74">
    <w:name w:val="ListLabel 74"/>
    <w:qFormat w:val="1"/>
    <w:rPr>
      <w:u w:val="none"/>
    </w:rPr>
  </w:style>
  <w:style w:type="character" w:styleId="ListLabel75">
    <w:name w:val="ListLabel 75"/>
    <w:qFormat w:val="1"/>
    <w:rPr>
      <w:u w:val="none"/>
    </w:rPr>
  </w:style>
  <w:style w:type="character" w:styleId="ListLabel76">
    <w:name w:val="ListLabel 76"/>
    <w:qFormat w:val="1"/>
    <w:rPr>
      <w:color w:val="1155cc"/>
      <w:u w:val="single"/>
      <w:lang w:val="de-CH"/>
    </w:rPr>
  </w:style>
  <w:style w:type="character" w:styleId="ListLabel77">
    <w:name w:val="ListLabel 77"/>
    <w:qFormat w:val="1"/>
    <w:rPr>
      <w:rFonts w:cs="Arial" w:eastAsia="Arial"/>
      <w:b w:val="1"/>
      <w:u w:val="none"/>
    </w:rPr>
  </w:style>
  <w:style w:type="character" w:styleId="ListLabel78">
    <w:name w:val="ListLabel 78"/>
    <w:qFormat w:val="1"/>
    <w:rPr>
      <w:u w:val="none"/>
    </w:rPr>
  </w:style>
  <w:style w:type="character" w:styleId="ListLabel79">
    <w:name w:val="ListLabel 79"/>
    <w:qFormat w:val="1"/>
    <w:rPr>
      <w:u w:val="none"/>
    </w:rPr>
  </w:style>
  <w:style w:type="character" w:styleId="ListLabel80">
    <w:name w:val="ListLabel 80"/>
    <w:qFormat w:val="1"/>
    <w:rPr>
      <w:u w:val="none"/>
    </w:rPr>
  </w:style>
  <w:style w:type="character" w:styleId="ListLabel81">
    <w:name w:val="ListLabel 81"/>
    <w:qFormat w:val="1"/>
    <w:rPr>
      <w:u w:val="none"/>
    </w:rPr>
  </w:style>
  <w:style w:type="character" w:styleId="ListLabel82">
    <w:name w:val="ListLabel 82"/>
    <w:qFormat w:val="1"/>
    <w:rPr>
      <w:u w:val="none"/>
    </w:rPr>
  </w:style>
  <w:style w:type="character" w:styleId="ListLabel83">
    <w:name w:val="ListLabel 83"/>
    <w:qFormat w:val="1"/>
    <w:rPr>
      <w:u w:val="none"/>
    </w:rPr>
  </w:style>
  <w:style w:type="character" w:styleId="ListLabel84">
    <w:name w:val="ListLabel 84"/>
    <w:qFormat w:val="1"/>
    <w:rPr>
      <w:u w:val="none"/>
    </w:rPr>
  </w:style>
  <w:style w:type="character" w:styleId="ListLabel85">
    <w:name w:val="ListLabel 85"/>
    <w:qFormat w:val="1"/>
    <w:rPr>
      <w:u w:val="none"/>
    </w:rPr>
  </w:style>
  <w:style w:type="character" w:styleId="ListLabel86">
    <w:name w:val="ListLabel 86"/>
    <w:qFormat w:val="1"/>
    <w:rPr>
      <w:color w:val="1155cc"/>
      <w:u w:val="single"/>
      <w:lang w:val="de-CH"/>
    </w:rPr>
  </w:style>
  <w:style w:type="character" w:styleId="ListLabel87">
    <w:name w:val="ListLabel 87"/>
    <w:qFormat w:val="1"/>
    <w:rPr>
      <w:rFonts w:cs="Arial" w:eastAsia="Arial"/>
      <w:b w:val="1"/>
      <w:u w:val="none"/>
    </w:rPr>
  </w:style>
  <w:style w:type="character" w:styleId="ListLabel88">
    <w:name w:val="ListLabel 88"/>
    <w:qFormat w:val="1"/>
    <w:rPr>
      <w:u w:val="none"/>
    </w:rPr>
  </w:style>
  <w:style w:type="character" w:styleId="ListLabel89">
    <w:name w:val="ListLabel 89"/>
    <w:qFormat w:val="1"/>
    <w:rPr>
      <w:u w:val="none"/>
    </w:rPr>
  </w:style>
  <w:style w:type="character" w:styleId="ListLabel90">
    <w:name w:val="ListLabel 90"/>
    <w:qFormat w:val="1"/>
    <w:rPr>
      <w:u w:val="none"/>
    </w:rPr>
  </w:style>
  <w:style w:type="character" w:styleId="ListLabel91">
    <w:name w:val="ListLabel 91"/>
    <w:qFormat w:val="1"/>
    <w:rPr>
      <w:u w:val="none"/>
    </w:rPr>
  </w:style>
  <w:style w:type="character" w:styleId="ListLabel92">
    <w:name w:val="ListLabel 92"/>
    <w:qFormat w:val="1"/>
    <w:rPr>
      <w:u w:val="none"/>
    </w:rPr>
  </w:style>
  <w:style w:type="character" w:styleId="ListLabel93">
    <w:name w:val="ListLabel 93"/>
    <w:qFormat w:val="1"/>
    <w:rPr>
      <w:u w:val="none"/>
    </w:rPr>
  </w:style>
  <w:style w:type="character" w:styleId="ListLabel94">
    <w:name w:val="ListLabel 94"/>
    <w:qFormat w:val="1"/>
    <w:rPr>
      <w:u w:val="none"/>
    </w:rPr>
  </w:style>
  <w:style w:type="character" w:styleId="ListLabel95">
    <w:name w:val="ListLabel 95"/>
    <w:qFormat w:val="1"/>
    <w:rPr>
      <w:u w:val="none"/>
    </w:rPr>
  </w:style>
  <w:style w:type="character" w:styleId="ListLabel96">
    <w:name w:val="ListLabel 96"/>
    <w:qFormat w:val="1"/>
    <w:rPr>
      <w:color w:val="1155cc"/>
      <w:u w:val="single"/>
      <w:lang w:val="de-CH"/>
    </w:rPr>
  </w:style>
  <w:style w:type="character" w:styleId="ListLabel97">
    <w:name w:val="ListLabel 97"/>
    <w:qFormat w:val="1"/>
    <w:rPr>
      <w:rFonts w:cs="Arial" w:eastAsia="Arial"/>
      <w:b w:val="1"/>
      <w:u w:val="none"/>
    </w:rPr>
  </w:style>
  <w:style w:type="character" w:styleId="ListLabel98">
    <w:name w:val="ListLabel 98"/>
    <w:qFormat w:val="1"/>
    <w:rPr>
      <w:u w:val="none"/>
    </w:rPr>
  </w:style>
  <w:style w:type="character" w:styleId="ListLabel99">
    <w:name w:val="ListLabel 99"/>
    <w:qFormat w:val="1"/>
    <w:rPr>
      <w:u w:val="none"/>
    </w:rPr>
  </w:style>
  <w:style w:type="character" w:styleId="ListLabel100">
    <w:name w:val="ListLabel 100"/>
    <w:qFormat w:val="1"/>
    <w:rPr>
      <w:u w:val="none"/>
    </w:rPr>
  </w:style>
  <w:style w:type="character" w:styleId="ListLabel101">
    <w:name w:val="ListLabel 101"/>
    <w:qFormat w:val="1"/>
    <w:rPr>
      <w:u w:val="none"/>
    </w:rPr>
  </w:style>
  <w:style w:type="character" w:styleId="ListLabel102">
    <w:name w:val="ListLabel 102"/>
    <w:qFormat w:val="1"/>
    <w:rPr>
      <w:u w:val="none"/>
    </w:rPr>
  </w:style>
  <w:style w:type="character" w:styleId="ListLabel103">
    <w:name w:val="ListLabel 103"/>
    <w:qFormat w:val="1"/>
    <w:rPr>
      <w:u w:val="none"/>
    </w:rPr>
  </w:style>
  <w:style w:type="character" w:styleId="ListLabel104">
    <w:name w:val="ListLabel 104"/>
    <w:qFormat w:val="1"/>
    <w:rPr>
      <w:u w:val="none"/>
    </w:rPr>
  </w:style>
  <w:style w:type="character" w:styleId="ListLabel105">
    <w:name w:val="ListLabel 105"/>
    <w:qFormat w:val="1"/>
    <w:rPr>
      <w:u w:val="none"/>
    </w:rPr>
  </w:style>
  <w:style w:type="character" w:styleId="ListLabel106">
    <w:name w:val="ListLabel 106"/>
    <w:qFormat w:val="1"/>
    <w:rPr>
      <w:color w:val="1155cc"/>
      <w:u w:val="single"/>
      <w:lang w:val="de-CH"/>
    </w:rPr>
  </w:style>
  <w:style w:type="character" w:styleId="ListLabel107">
    <w:name w:val="ListLabel 107"/>
    <w:qFormat w:val="1"/>
    <w:rPr>
      <w:rFonts w:cs="Arial" w:eastAsia="Arial"/>
      <w:b w:val="1"/>
      <w:u w:val="none"/>
    </w:rPr>
  </w:style>
  <w:style w:type="character" w:styleId="ListLabel108">
    <w:name w:val="ListLabel 108"/>
    <w:qFormat w:val="1"/>
    <w:rPr>
      <w:u w:val="none"/>
    </w:rPr>
  </w:style>
  <w:style w:type="character" w:styleId="ListLabel109">
    <w:name w:val="ListLabel 109"/>
    <w:qFormat w:val="1"/>
    <w:rPr>
      <w:u w:val="none"/>
    </w:rPr>
  </w:style>
  <w:style w:type="character" w:styleId="ListLabel110">
    <w:name w:val="ListLabel 110"/>
    <w:qFormat w:val="1"/>
    <w:rPr>
      <w:u w:val="none"/>
    </w:rPr>
  </w:style>
  <w:style w:type="character" w:styleId="ListLabel111">
    <w:name w:val="ListLabel 111"/>
    <w:qFormat w:val="1"/>
    <w:rPr>
      <w:u w:val="none"/>
    </w:rPr>
  </w:style>
  <w:style w:type="character" w:styleId="ListLabel112">
    <w:name w:val="ListLabel 112"/>
    <w:qFormat w:val="1"/>
    <w:rPr>
      <w:u w:val="none"/>
    </w:rPr>
  </w:style>
  <w:style w:type="character" w:styleId="ListLabel113">
    <w:name w:val="ListLabel 113"/>
    <w:qFormat w:val="1"/>
    <w:rPr>
      <w:u w:val="none"/>
    </w:rPr>
  </w:style>
  <w:style w:type="character" w:styleId="ListLabel114">
    <w:name w:val="ListLabel 114"/>
    <w:qFormat w:val="1"/>
    <w:rPr>
      <w:u w:val="none"/>
    </w:rPr>
  </w:style>
  <w:style w:type="character" w:styleId="ListLabel115">
    <w:name w:val="ListLabel 115"/>
    <w:qFormat w:val="1"/>
    <w:rPr>
      <w:u w:val="none"/>
    </w:rPr>
  </w:style>
  <w:style w:type="character" w:styleId="ListLabel116">
    <w:name w:val="ListLabel 116"/>
    <w:qFormat w:val="1"/>
    <w:rPr>
      <w:color w:val="1155cc"/>
      <w:u w:val="single"/>
      <w:lang w:val="de-CH"/>
    </w:rPr>
  </w:style>
  <w:style w:type="character" w:styleId="ListLabel117">
    <w:name w:val="ListLabel 117"/>
    <w:qFormat w:val="1"/>
    <w:rPr>
      <w:rFonts w:cs="Arial" w:eastAsia="Arial"/>
      <w:b w:val="1"/>
      <w:u w:val="none"/>
    </w:rPr>
  </w:style>
  <w:style w:type="character" w:styleId="ListLabel118">
    <w:name w:val="ListLabel 118"/>
    <w:qFormat w:val="1"/>
    <w:rPr>
      <w:u w:val="none"/>
    </w:rPr>
  </w:style>
  <w:style w:type="character" w:styleId="ListLabel119">
    <w:name w:val="ListLabel 119"/>
    <w:qFormat w:val="1"/>
    <w:rPr>
      <w:u w:val="none"/>
    </w:rPr>
  </w:style>
  <w:style w:type="character" w:styleId="ListLabel120">
    <w:name w:val="ListLabel 120"/>
    <w:qFormat w:val="1"/>
    <w:rPr>
      <w:u w:val="none"/>
    </w:rPr>
  </w:style>
  <w:style w:type="character" w:styleId="ListLabel121">
    <w:name w:val="ListLabel 121"/>
    <w:qFormat w:val="1"/>
    <w:rPr>
      <w:u w:val="none"/>
    </w:rPr>
  </w:style>
  <w:style w:type="character" w:styleId="ListLabel122">
    <w:name w:val="ListLabel 122"/>
    <w:qFormat w:val="1"/>
    <w:rPr>
      <w:u w:val="none"/>
    </w:rPr>
  </w:style>
  <w:style w:type="character" w:styleId="ListLabel123">
    <w:name w:val="ListLabel 123"/>
    <w:qFormat w:val="1"/>
    <w:rPr>
      <w:u w:val="none"/>
    </w:rPr>
  </w:style>
  <w:style w:type="character" w:styleId="ListLabel124">
    <w:name w:val="ListLabel 124"/>
    <w:qFormat w:val="1"/>
    <w:rPr>
      <w:u w:val="none"/>
    </w:rPr>
  </w:style>
  <w:style w:type="character" w:styleId="ListLabel125">
    <w:name w:val="ListLabel 125"/>
    <w:qFormat w:val="1"/>
    <w:rPr>
      <w:u w:val="none"/>
    </w:rPr>
  </w:style>
  <w:style w:type="character" w:styleId="ListLabel126">
    <w:name w:val="ListLabel 126"/>
    <w:qFormat w:val="1"/>
    <w:rPr>
      <w:color w:val="1155cc"/>
      <w:u w:val="single"/>
      <w:lang w:val="de-CH"/>
    </w:rPr>
  </w:style>
  <w:style w:type="character" w:styleId="ListLabel127">
    <w:name w:val="ListLabel 127"/>
    <w:qFormat w:val="1"/>
    <w:rPr>
      <w:rFonts w:cs="Arial" w:eastAsia="Arial"/>
      <w:b w:val="1"/>
      <w:u w:val="none"/>
    </w:rPr>
  </w:style>
  <w:style w:type="character" w:styleId="ListLabel128">
    <w:name w:val="ListLabel 128"/>
    <w:qFormat w:val="1"/>
    <w:rPr>
      <w:u w:val="none"/>
    </w:rPr>
  </w:style>
  <w:style w:type="character" w:styleId="ListLabel129">
    <w:name w:val="ListLabel 129"/>
    <w:qFormat w:val="1"/>
    <w:rPr>
      <w:u w:val="none"/>
    </w:rPr>
  </w:style>
  <w:style w:type="character" w:styleId="ListLabel130">
    <w:name w:val="ListLabel 130"/>
    <w:qFormat w:val="1"/>
    <w:rPr>
      <w:u w:val="none"/>
    </w:rPr>
  </w:style>
  <w:style w:type="character" w:styleId="ListLabel131">
    <w:name w:val="ListLabel 131"/>
    <w:qFormat w:val="1"/>
    <w:rPr>
      <w:u w:val="none"/>
    </w:rPr>
  </w:style>
  <w:style w:type="character" w:styleId="ListLabel132">
    <w:name w:val="ListLabel 132"/>
    <w:qFormat w:val="1"/>
    <w:rPr>
      <w:u w:val="none"/>
    </w:rPr>
  </w:style>
  <w:style w:type="character" w:styleId="ListLabel133">
    <w:name w:val="ListLabel 133"/>
    <w:qFormat w:val="1"/>
    <w:rPr>
      <w:u w:val="none"/>
    </w:rPr>
  </w:style>
  <w:style w:type="character" w:styleId="ListLabel134">
    <w:name w:val="ListLabel 134"/>
    <w:qFormat w:val="1"/>
    <w:rPr>
      <w:u w:val="none"/>
    </w:rPr>
  </w:style>
  <w:style w:type="character" w:styleId="ListLabel135">
    <w:name w:val="ListLabel 135"/>
    <w:qFormat w:val="1"/>
    <w:rPr>
      <w:u w:val="none"/>
    </w:rPr>
  </w:style>
  <w:style w:type="character" w:styleId="ListLabel136">
    <w:name w:val="ListLabel 136"/>
    <w:qFormat w:val="1"/>
    <w:rPr>
      <w:color w:val="1155cc"/>
      <w:u w:val="single"/>
      <w:lang w:val="de-CH"/>
    </w:rPr>
  </w:style>
  <w:style w:type="paragraph" w:styleId="Heading">
    <w:name w:val="Heading"/>
    <w:basedOn w:val="Normal"/>
    <w:next w:val="TextBody"/>
    <w:qFormat w:val="1"/>
    <w:pPr>
      <w:keepNext w:val="1"/>
      <w:spacing w:after="120" w:before="240"/>
    </w:pPr>
    <w:rPr>
      <w:rFonts w:ascii="Liberation Sans" w:cs="Noto Sans Devanagari" w:eastAsia="Noto Sans SC Regular"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Noto Sans Devanagari"/>
    </w:rPr>
  </w:style>
  <w:style w:type="paragraph" w:styleId="Caption">
    <w:name w:val="Caption"/>
    <w:basedOn w:val="Normal"/>
    <w:qFormat w:val="1"/>
    <w:pPr>
      <w:suppressLineNumbers w:val="1"/>
      <w:spacing w:after="120" w:before="120"/>
    </w:pPr>
    <w:rPr>
      <w:rFonts w:cs="Noto Sans Devanagari"/>
      <w:i w:val="1"/>
      <w:iCs w:val="1"/>
      <w:sz w:val="24"/>
      <w:szCs w:val="24"/>
    </w:rPr>
  </w:style>
  <w:style w:type="paragraph" w:styleId="Index">
    <w:name w:val="Index"/>
    <w:basedOn w:val="Normal"/>
    <w:qFormat w:val="1"/>
    <w:pPr>
      <w:suppressLineNumbers w:val="1"/>
    </w:pPr>
    <w:rPr>
      <w:rFonts w:cs="Noto Sans Devanagari"/>
    </w:rPr>
  </w:style>
  <w:style w:type="paragraph" w:styleId="Title">
    <w:name w:val="Title"/>
    <w:basedOn w:val="Normal"/>
    <w:next w:val="Normal"/>
    <w:uiPriority w:val="10"/>
    <w:qFormat w:val="1"/>
    <w:pPr>
      <w:keepNext w:val="1"/>
      <w:keepLines w:val="1"/>
      <w:spacing w:after="60" w:before="0"/>
    </w:pPr>
    <w:rPr>
      <w:sz w:val="52"/>
      <w:szCs w:val="52"/>
    </w:rPr>
  </w:style>
  <w:style w:type="paragraph" w:styleId="Subtitle">
    <w:name w:val="Subtitle"/>
    <w:basedOn w:val="Normal"/>
    <w:next w:val="Normal"/>
    <w:uiPriority w:val="11"/>
    <w:qFormat w:val="1"/>
    <w:pPr>
      <w:keepNext w:val="1"/>
      <w:keepLines w:val="1"/>
      <w:spacing w:after="320" w:before="0"/>
    </w:pPr>
    <w:rPr>
      <w:color w:val="666666"/>
      <w:sz w:val="30"/>
      <w:szCs w:val="30"/>
    </w:rPr>
  </w:style>
  <w:style w:type="paragraph" w:styleId="BalloonText">
    <w:name w:val="Balloon Text"/>
    <w:basedOn w:val="Normal"/>
    <w:link w:val="BalloonTextChar"/>
    <w:uiPriority w:val="99"/>
    <w:semiHidden w:val="1"/>
    <w:unhideWhenUsed w:val="1"/>
    <w:qFormat w:val="1"/>
    <w:rsid w:val="00495CB3"/>
    <w:pPr>
      <w:spacing w:line="240" w:lineRule="auto"/>
    </w:pPr>
    <w:rPr>
      <w:rFonts w:ascii="Times New Roman" w:cs="Times New Roman" w:hAnsi="Times New Roman"/>
      <w:sz w:val="18"/>
      <w:szCs w:val="18"/>
    </w:rPr>
  </w:style>
  <w:style w:type="paragraph" w:styleId="NormalWeb">
    <w:name w:val="Normal (Web)"/>
    <w:basedOn w:val="Normal"/>
    <w:uiPriority w:val="99"/>
    <w:unhideWhenUsed w:val="1"/>
    <w:qFormat w:val="1"/>
    <w:rsid w:val="00312D81"/>
    <w:pPr>
      <w:spacing w:afterAutospacing="1" w:beforeAutospacing="1" w:line="240" w:lineRule="auto"/>
    </w:pPr>
    <w:rPr>
      <w:rFonts w:ascii="Times New Roman" w:cs="Times New Roman" w:eastAsia="Times New Roman" w:hAnsi="Times New Roman"/>
      <w:sz w:val="24"/>
      <w:szCs w:val="24"/>
      <w:lang w:val="en-CH"/>
    </w:rPr>
  </w:style>
  <w:style w:type="paragraph" w:styleId="Default" w:customStyle="1">
    <w:name w:val="Default"/>
    <w:qFormat w:val="1"/>
    <w:rsid w:val="00DA63BE"/>
    <w:pPr>
      <w:widowControl w:val="1"/>
      <w:bidi w:val="0"/>
      <w:spacing w:line="240" w:lineRule="auto"/>
      <w:jc w:val="left"/>
    </w:pPr>
    <w:rPr>
      <w:rFonts w:ascii="Times New Roman" w:cs="Times New Roman" w:eastAsia="Cambria" w:hAnsi="Times New Roman" w:eastAsiaTheme="minorHAnsi"/>
      <w:color w:val="000000"/>
      <w:kern w:val="0"/>
      <w:sz w:val="24"/>
      <w:szCs w:val="24"/>
      <w:lang w:bidi="ar-SA" w:eastAsia="en-US" w:val="en-GB"/>
    </w:rPr>
  </w:style>
  <w:style w:type="paragraph" w:styleId="Annotationtext">
    <w:name w:val="annotation text"/>
    <w:basedOn w:val="Normal"/>
    <w:link w:val="CommentTextChar"/>
    <w:uiPriority w:val="99"/>
    <w:semiHidden w:val="1"/>
    <w:unhideWhenUsed w:val="1"/>
    <w:qFormat w:val="1"/>
    <w:rsid w:val="0092368B"/>
    <w:pPr>
      <w:spacing w:line="240" w:lineRule="auto"/>
    </w:pPr>
    <w:rPr>
      <w:sz w:val="20"/>
      <w:szCs w:val="20"/>
    </w:rPr>
  </w:style>
  <w:style w:type="paragraph" w:styleId="Annotationsubject">
    <w:name w:val="annotation subject"/>
    <w:basedOn w:val="Annotationtext"/>
    <w:next w:val="Annotationtext"/>
    <w:link w:val="CommentSubjectChar"/>
    <w:uiPriority w:val="99"/>
    <w:semiHidden w:val="1"/>
    <w:unhideWhenUsed w:val="1"/>
    <w:qFormat w:val="1"/>
    <w:rsid w:val="0092368B"/>
    <w:pPr/>
    <w:rPr>
      <w:b w:val="1"/>
      <w:bCs w:val="1"/>
    </w:rPr>
  </w:style>
  <w:style w:type="paragraph" w:styleId="ListParagraph">
    <w:name w:val="List Paragraph"/>
    <w:basedOn w:val="Normal"/>
    <w:uiPriority w:val="34"/>
    <w:qFormat w:val="1"/>
    <w:rsid w:val="00823712"/>
    <w:pPr>
      <w:spacing w:after="0" w:before="0" w:line="240" w:lineRule="auto"/>
      <w:ind w:left="720" w:hanging="0"/>
      <w:contextualSpacing w:val="1"/>
    </w:pPr>
    <w:rPr>
      <w:rFonts w:ascii="Cambria" w:cs="" w:eastAsia="" w:hAnsi="Cambria" w:asciiTheme="minorHAnsi" w:cstheme="minorBidi" w:eastAsiaTheme="minorEastAsia" w:hAnsiTheme="minorHAnsi"/>
      <w:sz w:val="24"/>
      <w:szCs w:val="24"/>
      <w:lang w:eastAsia="en-US" w:val="en-US"/>
    </w:rPr>
  </w:style>
  <w:style w:type="paragraph" w:styleId="Header">
    <w:name w:val="Header"/>
    <w:basedOn w:val="Normal"/>
    <w:pPr>
      <w:suppressLineNumbers w:val="1"/>
    </w:pPr>
    <w:rPr/>
  </w:style>
  <w:style w:type="paragraph" w:styleId="Footer">
    <w:name w:val="Footer"/>
    <w:basedOn w:val="Normal"/>
    <w:pPr>
      <w:suppressLineNumbers w:val="1"/>
    </w:pPr>
    <w:rPr/>
  </w:style>
  <w:style w:type="paragraph" w:styleId="PreformattedText">
    <w:name w:val="Preformatted Text"/>
    <w:basedOn w:val="Normal"/>
    <w:qFormat w:val="1"/>
    <w:pPr>
      <w:spacing w:after="0" w:before="0"/>
    </w:pPr>
    <w:rPr>
      <w:rFonts w:ascii="Liberation Mono" w:cs="Liberation Mono" w:eastAsia="Liberation Mono" w:hAnsi="Liberation Mono"/>
      <w:sz w:val="20"/>
      <w:szCs w:val="20"/>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6T8H6Rv+cXZ6UDMlca5uxgeHzw==">AMUW2mUMcOFGl0cOI7ZIxfR+vPkdUe5caGegJ+kDYBT88tKezUVDPcQgO3afL06e5hoxgVmQQkq/hRVg0fXFEpFiVNBixHWOStnlAt4B/e6ii36UEbs6W5kMRoFldchgv50QXVkbuqKDI4BxwBG2hI8KLq4/41u2VA==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2020-07-16T11:30:00Z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