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ACF2" w14:textId="4ED278A4" w:rsidR="00AB4134" w:rsidRPr="00AB4134" w:rsidRDefault="00AB4134" w:rsidP="00BF5C5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134">
        <w:rPr>
          <w:rFonts w:ascii="Trebuchet MS" w:hAnsi="Trebuchet MS"/>
          <w:b/>
          <w:bCs/>
          <w:color w:val="3E3D40"/>
          <w:sz w:val="24"/>
          <w:szCs w:val="24"/>
          <w:shd w:val="clear" w:color="auto" w:fill="FFFFFF"/>
        </w:rPr>
        <w:t>supplementary data</w:t>
      </w:r>
    </w:p>
    <w:p w14:paraId="0DB81EAD" w14:textId="77777777" w:rsidR="00F71FE3" w:rsidRDefault="00F71FE3" w:rsidP="00BF5C5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0D5CE" w14:textId="30642A50" w:rsidR="001F191B" w:rsidRPr="00BF5C56" w:rsidRDefault="001F191B" w:rsidP="00BF5C5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C56">
        <w:rPr>
          <w:rFonts w:ascii="Times New Roman" w:hAnsi="Times New Roman" w:cs="Times New Roman"/>
          <w:b/>
          <w:bCs/>
          <w:sz w:val="24"/>
          <w:szCs w:val="24"/>
        </w:rPr>
        <w:t>Expression of SOX9 and subtype of gastric cancer</w:t>
      </w:r>
    </w:p>
    <w:p w14:paraId="2285A30F" w14:textId="0EAEB014" w:rsidR="0046011D" w:rsidRDefault="001F191B" w:rsidP="00BF5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C56">
        <w:rPr>
          <w:rFonts w:ascii="Times New Roman" w:hAnsi="Times New Roman" w:cs="Times New Roman"/>
          <w:sz w:val="24"/>
          <w:szCs w:val="24"/>
        </w:rPr>
        <w:t>A total of 1105 patients in six studies were included to detect the</w:t>
      </w:r>
      <w:r w:rsidR="00BF5C56" w:rsidRPr="00BF5C56">
        <w:rPr>
          <w:rFonts w:ascii="Times New Roman" w:hAnsi="Times New Roman" w:cs="Times New Roman"/>
          <w:sz w:val="24"/>
          <w:szCs w:val="24"/>
        </w:rPr>
        <w:t xml:space="preserve"> </w:t>
      </w:r>
      <w:r w:rsidRPr="00BF5C56">
        <w:rPr>
          <w:rFonts w:ascii="Times New Roman" w:hAnsi="Times New Roman" w:cs="Times New Roman"/>
          <w:sz w:val="24"/>
          <w:szCs w:val="24"/>
        </w:rPr>
        <w:t>relationship between subtype of gastric cancer (</w:t>
      </w:r>
      <w:r w:rsidR="00BF5C56" w:rsidRPr="00BF5C56">
        <w:rPr>
          <w:rFonts w:ascii="Times New Roman" w:hAnsi="Times New Roman" w:cs="Times New Roman"/>
          <w:sz w:val="24"/>
          <w:szCs w:val="24"/>
        </w:rPr>
        <w:t>i</w:t>
      </w:r>
      <w:r w:rsidRPr="00BF5C56">
        <w:rPr>
          <w:rFonts w:ascii="Times New Roman" w:hAnsi="Times New Roman" w:cs="Times New Roman"/>
          <w:sz w:val="24"/>
          <w:szCs w:val="24"/>
        </w:rPr>
        <w:t xml:space="preserve">ntestinal type and </w:t>
      </w:r>
      <w:r w:rsidR="00BF5C56" w:rsidRPr="00BF5C56">
        <w:rPr>
          <w:rFonts w:ascii="Times New Roman" w:hAnsi="Times New Roman" w:cs="Times New Roman"/>
          <w:sz w:val="24"/>
          <w:szCs w:val="24"/>
        </w:rPr>
        <w:t>d</w:t>
      </w:r>
      <w:r w:rsidRPr="00BF5C56">
        <w:rPr>
          <w:rFonts w:ascii="Times New Roman" w:hAnsi="Times New Roman" w:cs="Times New Roman"/>
          <w:sz w:val="24"/>
          <w:szCs w:val="24"/>
        </w:rPr>
        <w:t>iffuse type)</w:t>
      </w:r>
      <w:r w:rsidR="00BF5C56" w:rsidRPr="00BF5C56">
        <w:rPr>
          <w:rFonts w:ascii="Times New Roman" w:hAnsi="Times New Roman" w:cs="Times New Roman"/>
          <w:sz w:val="24"/>
          <w:szCs w:val="24"/>
        </w:rPr>
        <w:t xml:space="preserve"> </w:t>
      </w:r>
      <w:r w:rsidRPr="00BF5C56">
        <w:rPr>
          <w:rFonts w:ascii="Times New Roman" w:hAnsi="Times New Roman" w:cs="Times New Roman"/>
          <w:sz w:val="24"/>
          <w:szCs w:val="24"/>
        </w:rPr>
        <w:t>and expression of SOX9 in this meta-analysis. We found an association</w:t>
      </w:r>
      <w:r w:rsidR="00BF5C56" w:rsidRPr="00BF5C56">
        <w:rPr>
          <w:rFonts w:ascii="Times New Roman" w:hAnsi="Times New Roman" w:cs="Times New Roman"/>
          <w:sz w:val="24"/>
          <w:szCs w:val="24"/>
        </w:rPr>
        <w:t xml:space="preserve"> </w:t>
      </w:r>
      <w:r w:rsidRPr="00BF5C56">
        <w:rPr>
          <w:rFonts w:ascii="Times New Roman" w:hAnsi="Times New Roman" w:cs="Times New Roman"/>
          <w:sz w:val="24"/>
          <w:szCs w:val="24"/>
        </w:rPr>
        <w:t>between subtype of gastric cancer and expression of SOX9</w:t>
      </w:r>
      <w:r w:rsidR="00BF5C56" w:rsidRPr="00BF5C56">
        <w:rPr>
          <w:rFonts w:ascii="Times New Roman" w:hAnsi="Times New Roman" w:cs="Times New Roman"/>
          <w:sz w:val="24"/>
          <w:szCs w:val="24"/>
        </w:rPr>
        <w:t>, and OS of patients with intestinal type</w:t>
      </w:r>
      <w:r w:rsidRPr="00BF5C56">
        <w:rPr>
          <w:rFonts w:ascii="Times New Roman" w:hAnsi="Times New Roman" w:cs="Times New Roman"/>
          <w:sz w:val="24"/>
          <w:szCs w:val="24"/>
        </w:rPr>
        <w:t xml:space="preserve"> </w:t>
      </w:r>
      <w:r w:rsidR="00BF5C56" w:rsidRPr="00BF5C56">
        <w:rPr>
          <w:rFonts w:ascii="Times New Roman" w:hAnsi="Times New Roman" w:cs="Times New Roman"/>
          <w:sz w:val="24"/>
          <w:szCs w:val="24"/>
        </w:rPr>
        <w:t xml:space="preserve">is much better than diffuse type patients </w:t>
      </w:r>
      <w:r w:rsidRPr="00BF5C56">
        <w:rPr>
          <w:rFonts w:ascii="Times New Roman" w:hAnsi="Times New Roman" w:cs="Times New Roman"/>
          <w:sz w:val="24"/>
          <w:szCs w:val="24"/>
        </w:rPr>
        <w:t>(OR: 1.810, 95%CI:</w:t>
      </w:r>
      <w:r w:rsidR="00BF5C56" w:rsidRPr="00BF5C56">
        <w:rPr>
          <w:rFonts w:ascii="Times New Roman" w:hAnsi="Times New Roman" w:cs="Times New Roman"/>
          <w:sz w:val="24"/>
          <w:szCs w:val="24"/>
        </w:rPr>
        <w:t xml:space="preserve"> </w:t>
      </w:r>
      <w:r w:rsidRPr="00BF5C56">
        <w:rPr>
          <w:rFonts w:ascii="Times New Roman" w:hAnsi="Times New Roman" w:cs="Times New Roman"/>
          <w:sz w:val="24"/>
          <w:szCs w:val="24"/>
        </w:rPr>
        <w:t>1.391-2.356, P = 0.000) (</w:t>
      </w:r>
      <w:r w:rsidR="00BF5C56">
        <w:rPr>
          <w:rFonts w:ascii="Times New Roman" w:hAnsi="Times New Roman" w:cs="Times New Roman"/>
          <w:sz w:val="24"/>
          <w:szCs w:val="24"/>
        </w:rPr>
        <w:t>S</w:t>
      </w:r>
      <w:r w:rsidR="00BF5C56" w:rsidRPr="00BF5C56">
        <w:rPr>
          <w:rFonts w:ascii="Times New Roman" w:hAnsi="Times New Roman" w:cs="Times New Roman"/>
          <w:sz w:val="24"/>
          <w:szCs w:val="24"/>
        </w:rPr>
        <w:t xml:space="preserve">upplementary </w:t>
      </w:r>
      <w:r w:rsidRPr="00BF5C56">
        <w:rPr>
          <w:rFonts w:ascii="Times New Roman" w:hAnsi="Times New Roman" w:cs="Times New Roman"/>
          <w:sz w:val="24"/>
          <w:szCs w:val="24"/>
        </w:rPr>
        <w:t xml:space="preserve">Fig. </w:t>
      </w:r>
      <w:r w:rsidR="00BF5C56">
        <w:rPr>
          <w:rFonts w:ascii="Times New Roman" w:hAnsi="Times New Roman" w:cs="Times New Roman"/>
          <w:sz w:val="24"/>
          <w:szCs w:val="24"/>
        </w:rPr>
        <w:t>1</w:t>
      </w:r>
      <w:r w:rsidRPr="00BF5C56">
        <w:rPr>
          <w:rFonts w:ascii="Times New Roman" w:hAnsi="Times New Roman" w:cs="Times New Roman"/>
          <w:sz w:val="24"/>
          <w:szCs w:val="24"/>
        </w:rPr>
        <w:t>).</w:t>
      </w:r>
    </w:p>
    <w:p w14:paraId="1422256E" w14:textId="7F1003F1" w:rsidR="00BF5C56" w:rsidRDefault="00BF5C56" w:rsidP="00BF5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CFBBE9" wp14:editId="63809C28">
            <wp:extent cx="2560320" cy="17718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94" cy="17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B8053C" wp14:editId="6746B0AB">
            <wp:extent cx="2440240" cy="177685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65" cy="178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42984" w14:textId="561B261E" w:rsidR="00BF5C56" w:rsidRDefault="00BF5C56" w:rsidP="00BF5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922B15" w14:textId="0A7B9221" w:rsidR="00BF5C56" w:rsidRPr="00BF5C56" w:rsidRDefault="00BF5C56" w:rsidP="00BF5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F5C56">
        <w:rPr>
          <w:rFonts w:ascii="Times New Roman" w:hAnsi="Times New Roman" w:cs="Times New Roman"/>
          <w:sz w:val="24"/>
          <w:szCs w:val="24"/>
        </w:rPr>
        <w:t xml:space="preserve">upplementary Fig.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F5C56">
        <w:rPr>
          <w:rFonts w:ascii="Times New Roman" w:hAnsi="Times New Roman" w:cs="Times New Roman"/>
          <w:sz w:val="24"/>
          <w:szCs w:val="24"/>
        </w:rPr>
        <w:t>Forest plots showed that the association between SOX9 expression and subtype of gastric cancer (intestinal type and diffuse type). a: forest plots, b: funnel plots.</w:t>
      </w:r>
    </w:p>
    <w:sectPr w:rsidR="00BF5C56" w:rsidRPr="00BF5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A2C4" w14:textId="77777777" w:rsidR="006426E2" w:rsidRDefault="006426E2" w:rsidP="001F191B">
      <w:r>
        <w:separator/>
      </w:r>
    </w:p>
  </w:endnote>
  <w:endnote w:type="continuationSeparator" w:id="0">
    <w:p w14:paraId="46B22FF1" w14:textId="77777777" w:rsidR="006426E2" w:rsidRDefault="006426E2" w:rsidP="001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332C" w14:textId="77777777" w:rsidR="006426E2" w:rsidRDefault="006426E2" w:rsidP="001F191B">
      <w:r>
        <w:separator/>
      </w:r>
    </w:p>
  </w:footnote>
  <w:footnote w:type="continuationSeparator" w:id="0">
    <w:p w14:paraId="1D3EA663" w14:textId="77777777" w:rsidR="006426E2" w:rsidRDefault="006426E2" w:rsidP="001F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74"/>
    <w:rsid w:val="000A41AF"/>
    <w:rsid w:val="001F191B"/>
    <w:rsid w:val="00454435"/>
    <w:rsid w:val="0046011D"/>
    <w:rsid w:val="006426E2"/>
    <w:rsid w:val="00AB4134"/>
    <w:rsid w:val="00BF5C56"/>
    <w:rsid w:val="00CC0A74"/>
    <w:rsid w:val="00E0287F"/>
    <w:rsid w:val="00F7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5AF01"/>
  <w15:chartTrackingRefBased/>
  <w15:docId w15:val="{14ACC265-DF9C-469A-B10A-DA55A405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9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9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 国</dc:creator>
  <cp:keywords/>
  <dc:description/>
  <cp:lastModifiedBy>祖 国</cp:lastModifiedBy>
  <cp:revision>5</cp:revision>
  <dcterms:created xsi:type="dcterms:W3CDTF">2021-05-30T14:01:00Z</dcterms:created>
  <dcterms:modified xsi:type="dcterms:W3CDTF">2021-05-31T13:20:00Z</dcterms:modified>
</cp:coreProperties>
</file>