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BE27E" w14:textId="77777777" w:rsidR="00AE2E2F" w:rsidRPr="00610012" w:rsidRDefault="00C65CE5">
      <w:pPr>
        <w:pStyle w:val="SupplementaryMaterial"/>
        <w:rPr>
          <w:color w:val="000000" w:themeColor="text1"/>
        </w:rPr>
      </w:pPr>
      <w:r w:rsidRPr="00610012">
        <w:rPr>
          <w:color w:val="000000" w:themeColor="text1"/>
        </w:rPr>
        <w:t>Supplementary Material</w:t>
      </w:r>
    </w:p>
    <w:p w14:paraId="31CCED37" w14:textId="31CA1CEA" w:rsidR="00AE2E2F" w:rsidRPr="00610012" w:rsidRDefault="00C65CE5">
      <w:pPr>
        <w:tabs>
          <w:tab w:val="left" w:pos="3686"/>
        </w:tabs>
        <w:jc w:val="both"/>
        <w:rPr>
          <w:rFonts w:cs="Times New Roman"/>
          <w:color w:val="000000" w:themeColor="text1"/>
          <w:szCs w:val="24"/>
          <w:lang w:val="en-DE"/>
        </w:rPr>
      </w:pPr>
      <w:r w:rsidRPr="00610012">
        <w:rPr>
          <w:rFonts w:eastAsia="Times New Roman" w:cs="Times New Roman"/>
          <w:b/>
          <w:bCs/>
          <w:color w:val="000000" w:themeColor="text1"/>
          <w:szCs w:val="24"/>
        </w:rPr>
        <w:t xml:space="preserve">Supplementary </w:t>
      </w:r>
      <w:r w:rsidRPr="00610012">
        <w:rPr>
          <w:rFonts w:cs="Times New Roman"/>
          <w:b/>
          <w:color w:val="000000" w:themeColor="text1"/>
          <w:szCs w:val="24"/>
        </w:rPr>
        <w:t xml:space="preserve">Table 1. </w:t>
      </w:r>
      <w:r w:rsidRPr="00610012">
        <w:rPr>
          <w:rFonts w:cs="Times New Roman"/>
          <w:color w:val="000000" w:themeColor="text1"/>
          <w:szCs w:val="24"/>
        </w:rPr>
        <w:t xml:space="preserve">Parameter values used for STN neurons. The maximum conductances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 xml:space="preserve">ion </m:t>
            </m:r>
          </m:sub>
        </m:sSub>
      </m:oMath>
      <w:r w:rsidRPr="00610012">
        <w:rPr>
          <w:rFonts w:cs="Times New Roman"/>
          <w:color w:val="000000" w:themeColor="text1"/>
          <w:szCs w:val="24"/>
        </w:rPr>
        <w:t xml:space="preserve">and reversal potentials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 xml:space="preserve">ion </m:t>
            </m:r>
          </m:sub>
        </m:sSub>
      </m:oMath>
      <w:r w:rsidRPr="00610012">
        <w:rPr>
          <w:rFonts w:cs="Times New Roman"/>
          <w:color w:val="000000" w:themeColor="text1"/>
          <w:szCs w:val="24"/>
        </w:rPr>
        <w:t>were Gaussian distributed with a standard deviation of 5</w:t>
      </w:r>
      <m:oMath>
        <m:r>
          <w:rPr>
            <w:rFonts w:ascii="Cambria Math" w:hAnsi="Cambria Math" w:cs="Times New Roman"/>
            <w:color w:val="000000" w:themeColor="text1"/>
            <w:szCs w:val="24"/>
          </w:rPr>
          <m:t>%</m:t>
        </m:r>
      </m:oMath>
      <w:r w:rsidRPr="00610012">
        <w:rPr>
          <w:rFonts w:cs="Times New Roman"/>
          <w:color w:val="000000" w:themeColor="text1"/>
          <w:szCs w:val="24"/>
        </w:rPr>
        <w:t xml:space="preserve"> around the respective mean values given is this table.</w:t>
      </w:r>
    </w:p>
    <w:tbl>
      <w:tblPr>
        <w:tblStyle w:val="TableGrid"/>
        <w:tblW w:w="0" w:type="auto"/>
        <w:tblLook w:val="04A0" w:firstRow="1" w:lastRow="0" w:firstColumn="1" w:lastColumn="0" w:noHBand="0" w:noVBand="1"/>
      </w:tblPr>
      <w:tblGrid>
        <w:gridCol w:w="2407"/>
        <w:gridCol w:w="2407"/>
        <w:gridCol w:w="2407"/>
        <w:gridCol w:w="2408"/>
      </w:tblGrid>
      <w:tr w:rsidR="00610012" w:rsidRPr="00610012" w14:paraId="15A9059F" w14:textId="77777777">
        <w:tc>
          <w:tcPr>
            <w:tcW w:w="2407" w:type="dxa"/>
          </w:tcPr>
          <w:p w14:paraId="1DB5311F"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w:rPr>
                        <w:rFonts w:ascii="Cambria Math" w:hAnsi="Cambria Math" w:cs="Times New Roman"/>
                        <w:color w:val="000000" w:themeColor="text1"/>
                        <w:szCs w:val="24"/>
                      </w:rPr>
                      <m:t>L</m:t>
                    </m:r>
                  </m:sub>
                </m:sSub>
              </m:oMath>
            </m:oMathPara>
          </w:p>
        </w:tc>
        <w:tc>
          <w:tcPr>
            <w:tcW w:w="2407" w:type="dxa"/>
          </w:tcPr>
          <w:p w14:paraId="4B2A3971"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2.25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2DEA9352"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L</m:t>
                    </m:r>
                  </m:sub>
                </m:sSub>
              </m:oMath>
            </m:oMathPara>
          </w:p>
        </w:tc>
        <w:tc>
          <w:tcPr>
            <w:tcW w:w="2408" w:type="dxa"/>
          </w:tcPr>
          <w:p w14:paraId="1B228084"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-60.0 mV</w:t>
            </w:r>
          </w:p>
        </w:tc>
      </w:tr>
      <w:tr w:rsidR="00610012" w:rsidRPr="00610012" w14:paraId="4C890D31" w14:textId="77777777">
        <w:tc>
          <w:tcPr>
            <w:tcW w:w="2407" w:type="dxa"/>
          </w:tcPr>
          <w:p w14:paraId="10496B0C"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K</m:t>
                    </m:r>
                  </m:sub>
                </m:sSub>
              </m:oMath>
            </m:oMathPara>
          </w:p>
        </w:tc>
        <w:tc>
          <w:tcPr>
            <w:tcW w:w="2407" w:type="dxa"/>
          </w:tcPr>
          <w:p w14:paraId="6B9C6D5E"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45.0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6B1CB053"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K</m:t>
                    </m:r>
                  </m:sub>
                </m:sSub>
              </m:oMath>
            </m:oMathPara>
          </w:p>
        </w:tc>
        <w:tc>
          <w:tcPr>
            <w:tcW w:w="2408" w:type="dxa"/>
          </w:tcPr>
          <w:p w14:paraId="46A53FB0"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-80.0 mV</w:t>
            </w:r>
          </w:p>
        </w:tc>
      </w:tr>
      <w:tr w:rsidR="00610012" w:rsidRPr="00610012" w14:paraId="2C9960B2" w14:textId="77777777">
        <w:tc>
          <w:tcPr>
            <w:tcW w:w="2407" w:type="dxa"/>
          </w:tcPr>
          <w:p w14:paraId="40CBEADD"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Na</m:t>
                    </m:r>
                  </m:sub>
                </m:sSub>
              </m:oMath>
            </m:oMathPara>
          </w:p>
        </w:tc>
        <w:tc>
          <w:tcPr>
            <w:tcW w:w="2407" w:type="dxa"/>
          </w:tcPr>
          <w:p w14:paraId="69FE06DC"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37.5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515A1950"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Na</m:t>
                    </m:r>
                  </m:sub>
                </m:sSub>
              </m:oMath>
            </m:oMathPara>
          </w:p>
        </w:tc>
        <w:tc>
          <w:tcPr>
            <w:tcW w:w="2408" w:type="dxa"/>
          </w:tcPr>
          <w:p w14:paraId="0889E16A"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55.0 mV</w:t>
            </w:r>
          </w:p>
        </w:tc>
      </w:tr>
      <w:tr w:rsidR="00610012" w:rsidRPr="00610012" w14:paraId="64A0AC2E" w14:textId="77777777">
        <w:tc>
          <w:tcPr>
            <w:tcW w:w="2407" w:type="dxa"/>
          </w:tcPr>
          <w:p w14:paraId="131F678E"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Ca</m:t>
                    </m:r>
                  </m:sub>
                </m:sSub>
              </m:oMath>
            </m:oMathPara>
          </w:p>
        </w:tc>
        <w:tc>
          <w:tcPr>
            <w:tcW w:w="2407" w:type="dxa"/>
          </w:tcPr>
          <w:p w14:paraId="36D472BA"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0.5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0F420FA2"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Ca</m:t>
                    </m:r>
                  </m:sub>
                </m:sSub>
              </m:oMath>
            </m:oMathPara>
          </w:p>
        </w:tc>
        <w:tc>
          <w:tcPr>
            <w:tcW w:w="2408" w:type="dxa"/>
          </w:tcPr>
          <w:p w14:paraId="745E66F5"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140.0 mV</w:t>
            </w:r>
          </w:p>
        </w:tc>
      </w:tr>
      <w:tr w:rsidR="00610012" w:rsidRPr="00610012" w14:paraId="2AB377FD" w14:textId="77777777">
        <w:tc>
          <w:tcPr>
            <w:tcW w:w="2407" w:type="dxa"/>
          </w:tcPr>
          <w:p w14:paraId="02FA3F33"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ahp</m:t>
                    </m:r>
                  </m:sub>
                </m:sSub>
              </m:oMath>
            </m:oMathPara>
          </w:p>
        </w:tc>
        <w:tc>
          <w:tcPr>
            <w:tcW w:w="2407" w:type="dxa"/>
          </w:tcPr>
          <w:p w14:paraId="55573CE0"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9.0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0EC743CF"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ss</m:t>
                    </m:r>
                  </m:sub>
                </m:sSub>
              </m:oMath>
            </m:oMathPara>
          </w:p>
        </w:tc>
        <w:tc>
          <w:tcPr>
            <w:tcW w:w="2408" w:type="dxa"/>
          </w:tcPr>
          <w:p w14:paraId="0D810BEF"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0.0 mV</w:t>
            </w:r>
          </w:p>
        </w:tc>
      </w:tr>
      <w:tr w:rsidR="00610012" w:rsidRPr="00610012" w14:paraId="50FD986B" w14:textId="77777777">
        <w:tc>
          <w:tcPr>
            <w:tcW w:w="2407" w:type="dxa"/>
          </w:tcPr>
          <w:p w14:paraId="420EE62C"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T</m:t>
                    </m:r>
                  </m:sub>
                </m:sSub>
              </m:oMath>
            </m:oMathPara>
          </w:p>
        </w:tc>
        <w:tc>
          <w:tcPr>
            <w:tcW w:w="2407" w:type="dxa"/>
          </w:tcPr>
          <w:p w14:paraId="50A107D7"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0.5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4CB6A57C"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sg</m:t>
                    </m:r>
                  </m:sub>
                </m:sSub>
              </m:oMath>
            </m:oMathPara>
          </w:p>
        </w:tc>
        <w:tc>
          <w:tcPr>
            <w:tcW w:w="2408" w:type="dxa"/>
          </w:tcPr>
          <w:p w14:paraId="15F772D8"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0.0 mV</w:t>
            </w:r>
          </w:p>
        </w:tc>
      </w:tr>
      <w:tr w:rsidR="00610012" w:rsidRPr="00610012" w14:paraId="2754BC7E" w14:textId="77777777">
        <w:tc>
          <w:tcPr>
            <w:tcW w:w="2407" w:type="dxa"/>
          </w:tcPr>
          <w:p w14:paraId="2BCD1372" w14:textId="7C785066"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τ</m:t>
                    </m:r>
                  </m:e>
                  <m:sub>
                    <m:r>
                      <w:rPr>
                        <w:rFonts w:ascii="Cambria Math" w:hAnsi="Cambria Math" w:cs="Times New Roman"/>
                        <w:color w:val="000000" w:themeColor="text1"/>
                        <w:szCs w:val="24"/>
                      </w:rPr>
                      <m:t>h</m:t>
                    </m:r>
                  </m:sub>
                  <m:sup>
                    <m:r>
                      <w:rPr>
                        <w:rFonts w:ascii="Cambria Math" w:hAnsi="Cambria Math" w:cs="Times New Roman"/>
                        <w:color w:val="000000" w:themeColor="text1"/>
                        <w:szCs w:val="24"/>
                      </w:rPr>
                      <m:t>1</m:t>
                    </m:r>
                  </m:sup>
                </m:sSubSup>
              </m:oMath>
            </m:oMathPara>
          </w:p>
        </w:tc>
        <w:tc>
          <w:tcPr>
            <w:tcW w:w="2407" w:type="dxa"/>
          </w:tcPr>
          <w:p w14:paraId="756FB655"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500.0 </w:t>
            </w:r>
            <w:proofErr w:type="spellStart"/>
            <w:r w:rsidRPr="00610012">
              <w:rPr>
                <w:rFonts w:cs="Times New Roman"/>
                <w:color w:val="000000" w:themeColor="text1"/>
                <w:szCs w:val="24"/>
              </w:rPr>
              <w:t>ms</w:t>
            </w:r>
            <w:proofErr w:type="spellEnd"/>
          </w:p>
        </w:tc>
        <w:tc>
          <w:tcPr>
            <w:tcW w:w="2407" w:type="dxa"/>
          </w:tcPr>
          <w:p w14:paraId="59B2C460" w14:textId="4F2572EB"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τ</m:t>
                    </m:r>
                  </m:e>
                  <m:sub>
                    <m:r>
                      <w:rPr>
                        <w:rFonts w:ascii="Cambria Math" w:hAnsi="Cambria Math" w:cs="Times New Roman"/>
                        <w:color w:val="000000" w:themeColor="text1"/>
                        <w:szCs w:val="24"/>
                      </w:rPr>
                      <m:t>h</m:t>
                    </m:r>
                  </m:sub>
                  <m:sup>
                    <m:r>
                      <w:rPr>
                        <w:rFonts w:ascii="Cambria Math" w:hAnsi="Cambria Math" w:cs="Times New Roman"/>
                        <w:color w:val="000000" w:themeColor="text1"/>
                        <w:szCs w:val="24"/>
                      </w:rPr>
                      <m:t>0</m:t>
                    </m:r>
                  </m:sup>
                </m:sSubSup>
              </m:oMath>
            </m:oMathPara>
          </w:p>
        </w:tc>
        <w:tc>
          <w:tcPr>
            <w:tcW w:w="2408" w:type="dxa"/>
          </w:tcPr>
          <w:p w14:paraId="3A248D7D"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1.0 </w:t>
            </w:r>
            <w:proofErr w:type="spellStart"/>
            <w:r w:rsidRPr="00610012">
              <w:rPr>
                <w:rFonts w:cs="Times New Roman"/>
                <w:color w:val="000000" w:themeColor="text1"/>
                <w:szCs w:val="24"/>
              </w:rPr>
              <w:t>ms</w:t>
            </w:r>
            <w:proofErr w:type="spellEnd"/>
          </w:p>
        </w:tc>
      </w:tr>
      <w:tr w:rsidR="00610012" w:rsidRPr="00610012" w14:paraId="7729F56D" w14:textId="77777777">
        <w:tc>
          <w:tcPr>
            <w:tcW w:w="2407" w:type="dxa"/>
          </w:tcPr>
          <w:p w14:paraId="78CFFD92" w14:textId="0F234873"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τ</m:t>
                    </m:r>
                  </m:e>
                  <m:sub>
                    <m:r>
                      <w:rPr>
                        <w:rFonts w:ascii="Cambria Math" w:hAnsi="Cambria Math" w:cs="Times New Roman"/>
                        <w:color w:val="000000" w:themeColor="text1"/>
                        <w:szCs w:val="24"/>
                      </w:rPr>
                      <m:t>n</m:t>
                    </m:r>
                  </m:sub>
                  <m:sup>
                    <m:r>
                      <w:rPr>
                        <w:rFonts w:ascii="Cambria Math" w:hAnsi="Cambria Math" w:cs="Times New Roman"/>
                        <w:color w:val="000000" w:themeColor="text1"/>
                        <w:szCs w:val="24"/>
                      </w:rPr>
                      <m:t>1</m:t>
                    </m:r>
                  </m:sup>
                </m:sSubSup>
              </m:oMath>
            </m:oMathPara>
          </w:p>
        </w:tc>
        <w:tc>
          <w:tcPr>
            <w:tcW w:w="2407" w:type="dxa"/>
          </w:tcPr>
          <w:p w14:paraId="5E3FB509"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100.0 </w:t>
            </w:r>
            <w:proofErr w:type="spellStart"/>
            <w:r w:rsidRPr="00610012">
              <w:rPr>
                <w:rFonts w:cs="Times New Roman"/>
                <w:color w:val="000000" w:themeColor="text1"/>
                <w:szCs w:val="24"/>
              </w:rPr>
              <w:t>ms</w:t>
            </w:r>
            <w:proofErr w:type="spellEnd"/>
          </w:p>
        </w:tc>
        <w:tc>
          <w:tcPr>
            <w:tcW w:w="2407" w:type="dxa"/>
          </w:tcPr>
          <w:p w14:paraId="4D1102CB" w14:textId="1B6DEF1D"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τ</m:t>
                    </m:r>
                  </m:e>
                  <m:sub>
                    <m:r>
                      <w:rPr>
                        <w:rFonts w:ascii="Cambria Math" w:hAnsi="Cambria Math" w:cs="Times New Roman"/>
                        <w:color w:val="000000" w:themeColor="text1"/>
                        <w:szCs w:val="24"/>
                      </w:rPr>
                      <m:t>n</m:t>
                    </m:r>
                  </m:sub>
                  <m:sup>
                    <m:r>
                      <w:rPr>
                        <w:rFonts w:ascii="Cambria Math" w:hAnsi="Cambria Math" w:cs="Times New Roman"/>
                        <w:color w:val="000000" w:themeColor="text1"/>
                        <w:szCs w:val="24"/>
                      </w:rPr>
                      <m:t>0</m:t>
                    </m:r>
                  </m:sup>
                </m:sSubSup>
              </m:oMath>
            </m:oMathPara>
          </w:p>
        </w:tc>
        <w:tc>
          <w:tcPr>
            <w:tcW w:w="2408" w:type="dxa"/>
          </w:tcPr>
          <w:p w14:paraId="20A50E80"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1.0 </w:t>
            </w:r>
            <w:proofErr w:type="spellStart"/>
            <w:r w:rsidRPr="00610012">
              <w:rPr>
                <w:rFonts w:cs="Times New Roman"/>
                <w:color w:val="000000" w:themeColor="text1"/>
                <w:szCs w:val="24"/>
              </w:rPr>
              <w:t>ms</w:t>
            </w:r>
            <w:proofErr w:type="spellEnd"/>
          </w:p>
        </w:tc>
      </w:tr>
      <w:tr w:rsidR="00610012" w:rsidRPr="00610012" w14:paraId="69A93CA1" w14:textId="77777777">
        <w:tc>
          <w:tcPr>
            <w:tcW w:w="2407" w:type="dxa"/>
          </w:tcPr>
          <w:p w14:paraId="1FB947E4" w14:textId="63973B0F"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τ</m:t>
                    </m:r>
                  </m:e>
                  <m:sub>
                    <m:r>
                      <w:rPr>
                        <w:rFonts w:ascii="Cambria Math" w:hAnsi="Cambria Math" w:cs="Times New Roman"/>
                        <w:color w:val="000000" w:themeColor="text1"/>
                        <w:szCs w:val="24"/>
                      </w:rPr>
                      <m:t>r</m:t>
                    </m:r>
                  </m:sub>
                  <m:sup>
                    <m:r>
                      <w:rPr>
                        <w:rFonts w:ascii="Cambria Math" w:hAnsi="Cambria Math" w:cs="Times New Roman"/>
                        <w:color w:val="000000" w:themeColor="text1"/>
                        <w:szCs w:val="24"/>
                      </w:rPr>
                      <m:t>1</m:t>
                    </m:r>
                  </m:sup>
                </m:sSubSup>
              </m:oMath>
            </m:oMathPara>
          </w:p>
        </w:tc>
        <w:tc>
          <w:tcPr>
            <w:tcW w:w="2407" w:type="dxa"/>
          </w:tcPr>
          <w:p w14:paraId="2207C1E2"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17.5 </w:t>
            </w:r>
            <w:proofErr w:type="spellStart"/>
            <w:r w:rsidRPr="00610012">
              <w:rPr>
                <w:rFonts w:cs="Times New Roman"/>
                <w:color w:val="000000" w:themeColor="text1"/>
                <w:szCs w:val="24"/>
              </w:rPr>
              <w:t>ms</w:t>
            </w:r>
            <w:proofErr w:type="spellEnd"/>
          </w:p>
        </w:tc>
        <w:tc>
          <w:tcPr>
            <w:tcW w:w="2407" w:type="dxa"/>
          </w:tcPr>
          <w:p w14:paraId="1EA5BC97" w14:textId="7C476ACD"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τ</m:t>
                    </m:r>
                  </m:e>
                  <m:sub>
                    <m:r>
                      <w:rPr>
                        <w:rFonts w:ascii="Cambria Math" w:hAnsi="Cambria Math" w:cs="Times New Roman"/>
                        <w:color w:val="000000" w:themeColor="text1"/>
                        <w:szCs w:val="24"/>
                      </w:rPr>
                      <m:t>r</m:t>
                    </m:r>
                  </m:sub>
                  <m:sup>
                    <m:r>
                      <w:rPr>
                        <w:rFonts w:ascii="Cambria Math" w:hAnsi="Cambria Math" w:cs="Times New Roman"/>
                        <w:color w:val="000000" w:themeColor="text1"/>
                        <w:szCs w:val="24"/>
                      </w:rPr>
                      <m:t>0</m:t>
                    </m:r>
                  </m:sup>
                </m:sSubSup>
              </m:oMath>
            </m:oMathPara>
          </w:p>
        </w:tc>
        <w:tc>
          <w:tcPr>
            <w:tcW w:w="2408" w:type="dxa"/>
          </w:tcPr>
          <w:p w14:paraId="5740BD41"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40.0 </w:t>
            </w:r>
            <w:proofErr w:type="spellStart"/>
            <w:r w:rsidRPr="00610012">
              <w:rPr>
                <w:rFonts w:cs="Times New Roman"/>
                <w:color w:val="000000" w:themeColor="text1"/>
                <w:szCs w:val="24"/>
              </w:rPr>
              <w:t>ms</w:t>
            </w:r>
            <w:proofErr w:type="spellEnd"/>
          </w:p>
        </w:tc>
      </w:tr>
      <w:tr w:rsidR="00610012" w:rsidRPr="00610012" w14:paraId="50DA7C2B" w14:textId="77777777">
        <w:tc>
          <w:tcPr>
            <w:tcW w:w="2407" w:type="dxa"/>
          </w:tcPr>
          <w:p w14:paraId="1C87DA69" w14:textId="4E2A43E7"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eastAsia="Cambria Math" w:hAnsi="Cambria Math" w:cs="Times New Roman"/>
                        <w:color w:val="000000" w:themeColor="text1"/>
                        <w:szCs w:val="24"/>
                        <w:lang w:eastAsia="de-DE"/>
                      </w:rPr>
                      <m:t>φ</m:t>
                    </m:r>
                  </m:e>
                  <m:sub>
                    <m:r>
                      <w:rPr>
                        <w:rFonts w:ascii="Cambria Math" w:hAnsi="Cambria Math" w:cs="Times New Roman"/>
                        <w:color w:val="000000" w:themeColor="text1"/>
                        <w:szCs w:val="24"/>
                      </w:rPr>
                      <m:t>h</m:t>
                    </m:r>
                  </m:sub>
                </m:sSub>
              </m:oMath>
            </m:oMathPara>
          </w:p>
        </w:tc>
        <w:tc>
          <w:tcPr>
            <w:tcW w:w="2407" w:type="dxa"/>
          </w:tcPr>
          <w:p w14:paraId="22D2B388"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0.75</w:t>
            </w:r>
          </w:p>
        </w:tc>
        <w:tc>
          <w:tcPr>
            <w:tcW w:w="2407" w:type="dxa"/>
          </w:tcPr>
          <w:p w14:paraId="083E2387" w14:textId="7E96DE4A"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eastAsia="Cambria Math" w:hAnsi="Cambria Math" w:cs="Times New Roman"/>
                        <w:color w:val="000000" w:themeColor="text1"/>
                        <w:szCs w:val="24"/>
                        <w:lang w:eastAsia="de-DE"/>
                      </w:rPr>
                      <m:t>φ</m:t>
                    </m:r>
                  </m:e>
                  <m:sub>
                    <m:r>
                      <w:rPr>
                        <w:rFonts w:ascii="Cambria Math" w:hAnsi="Cambria Math" w:cs="Times New Roman"/>
                        <w:color w:val="000000" w:themeColor="text1"/>
                        <w:szCs w:val="24"/>
                      </w:rPr>
                      <m:t>n</m:t>
                    </m:r>
                  </m:sub>
                </m:sSub>
              </m:oMath>
            </m:oMathPara>
          </w:p>
        </w:tc>
        <w:tc>
          <w:tcPr>
            <w:tcW w:w="2408" w:type="dxa"/>
          </w:tcPr>
          <w:p w14:paraId="52E5B195"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0.75</w:t>
            </w:r>
          </w:p>
        </w:tc>
      </w:tr>
      <w:tr w:rsidR="00610012" w:rsidRPr="00610012" w14:paraId="3CE21B1A" w14:textId="77777777">
        <w:tc>
          <w:tcPr>
            <w:tcW w:w="2407" w:type="dxa"/>
          </w:tcPr>
          <w:p w14:paraId="68DA4BB2" w14:textId="06C43CF6"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eastAsia="Cambria Math" w:hAnsi="Cambria Math" w:cs="Times New Roman"/>
                        <w:color w:val="000000" w:themeColor="text1"/>
                        <w:szCs w:val="24"/>
                        <w:lang w:eastAsia="de-DE"/>
                      </w:rPr>
                      <m:t>φ</m:t>
                    </m:r>
                  </m:e>
                  <m:sub>
                    <m:r>
                      <w:rPr>
                        <w:rFonts w:ascii="Cambria Math" w:hAnsi="Cambria Math" w:cs="Times New Roman"/>
                        <w:color w:val="000000" w:themeColor="text1"/>
                        <w:szCs w:val="24"/>
                      </w:rPr>
                      <m:t>r</m:t>
                    </m:r>
                  </m:sub>
                </m:sSub>
              </m:oMath>
            </m:oMathPara>
          </w:p>
        </w:tc>
        <w:tc>
          <w:tcPr>
            <w:tcW w:w="2407" w:type="dxa"/>
          </w:tcPr>
          <w:p w14:paraId="1996CFD9"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0.2</w:t>
            </w:r>
          </w:p>
        </w:tc>
        <w:tc>
          <w:tcPr>
            <w:tcW w:w="2407" w:type="dxa"/>
          </w:tcPr>
          <w:p w14:paraId="49B065B0" w14:textId="77777777" w:rsidR="00AE2E2F" w:rsidRPr="00610012" w:rsidRDefault="00AE2E2F">
            <w:pPr>
              <w:tabs>
                <w:tab w:val="left" w:pos="3686"/>
              </w:tabs>
              <w:spacing w:before="0" w:after="0"/>
              <w:jc w:val="both"/>
              <w:rPr>
                <w:rFonts w:cs="Times New Roman"/>
                <w:i/>
                <w:color w:val="000000" w:themeColor="text1"/>
                <w:szCs w:val="24"/>
              </w:rPr>
            </w:pPr>
          </w:p>
        </w:tc>
        <w:tc>
          <w:tcPr>
            <w:tcW w:w="2408" w:type="dxa"/>
          </w:tcPr>
          <w:p w14:paraId="0F39F113" w14:textId="77777777" w:rsidR="00AE2E2F" w:rsidRPr="00610012" w:rsidRDefault="00AE2E2F">
            <w:pPr>
              <w:tabs>
                <w:tab w:val="left" w:pos="3686"/>
              </w:tabs>
              <w:spacing w:before="0" w:after="0"/>
              <w:jc w:val="right"/>
              <w:rPr>
                <w:rFonts w:cs="Times New Roman"/>
                <w:color w:val="000000" w:themeColor="text1"/>
                <w:szCs w:val="24"/>
              </w:rPr>
            </w:pPr>
          </w:p>
        </w:tc>
      </w:tr>
      <w:tr w:rsidR="00610012" w:rsidRPr="00610012" w14:paraId="276EB2CE" w14:textId="77777777">
        <w:tc>
          <w:tcPr>
            <w:tcW w:w="2407" w:type="dxa"/>
          </w:tcPr>
          <w:p w14:paraId="49368CEF" w14:textId="4E6C378F"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τ</m:t>
                    </m:r>
                  </m:e>
                  <m:sub>
                    <m:r>
                      <w:rPr>
                        <w:rFonts w:ascii="Cambria Math" w:hAnsi="Cambria Math" w:cs="Times New Roman"/>
                        <w:color w:val="000000" w:themeColor="text1"/>
                        <w:szCs w:val="24"/>
                      </w:rPr>
                      <m:t>ss</m:t>
                    </m:r>
                  </m:sub>
                </m:sSub>
              </m:oMath>
            </m:oMathPara>
          </w:p>
        </w:tc>
        <w:tc>
          <w:tcPr>
            <w:tcW w:w="2407" w:type="dxa"/>
          </w:tcPr>
          <w:p w14:paraId="4CC99A85" w14:textId="76E3E4FB" w:rsidR="00AE2E2F" w:rsidRPr="00610012" w:rsidRDefault="00C65CE5">
            <w:pPr>
              <w:tabs>
                <w:tab w:val="left" w:pos="3686"/>
              </w:tabs>
              <w:spacing w:before="0" w:after="0"/>
              <w:jc w:val="right"/>
              <w:rPr>
                <w:rFonts w:cs="Times New Roman"/>
                <w:color w:val="000000" w:themeColor="text1"/>
                <w:szCs w:val="24"/>
                <w:lang w:val="en-DE"/>
              </w:rPr>
            </w:pPr>
            <w:r w:rsidRPr="00610012">
              <w:rPr>
                <w:rFonts w:cs="Times New Roman"/>
                <w:color w:val="000000" w:themeColor="text1"/>
                <w:szCs w:val="24"/>
              </w:rPr>
              <w:t>1.0</w:t>
            </w:r>
            <w:r w:rsidR="00BD3BF0" w:rsidRPr="00610012">
              <w:rPr>
                <w:rFonts w:cs="Times New Roman"/>
                <w:color w:val="000000" w:themeColor="text1"/>
                <w:szCs w:val="24"/>
                <w:lang w:val="en-DE"/>
              </w:rPr>
              <w:t xml:space="preserve"> </w:t>
            </w:r>
            <w:proofErr w:type="spellStart"/>
            <w:r w:rsidR="00BD3BF0" w:rsidRPr="00610012">
              <w:rPr>
                <w:rFonts w:cs="Times New Roman"/>
                <w:color w:val="000000" w:themeColor="text1"/>
                <w:szCs w:val="24"/>
                <w:lang w:val="en-DE"/>
              </w:rPr>
              <w:t>ms</w:t>
            </w:r>
            <w:proofErr w:type="spellEnd"/>
          </w:p>
        </w:tc>
        <w:tc>
          <w:tcPr>
            <w:tcW w:w="2407" w:type="dxa"/>
          </w:tcPr>
          <w:p w14:paraId="6D39B728" w14:textId="6C7443BD"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τ</m:t>
                    </m:r>
                  </m:e>
                  <m:sub>
                    <m:r>
                      <w:rPr>
                        <w:rFonts w:ascii="Cambria Math" w:hAnsi="Cambria Math" w:cs="Times New Roman"/>
                        <w:color w:val="000000" w:themeColor="text1"/>
                        <w:szCs w:val="24"/>
                      </w:rPr>
                      <m:t>gs</m:t>
                    </m:r>
                  </m:sub>
                </m:sSub>
              </m:oMath>
            </m:oMathPara>
          </w:p>
        </w:tc>
        <w:tc>
          <w:tcPr>
            <w:tcW w:w="2408" w:type="dxa"/>
          </w:tcPr>
          <w:p w14:paraId="5A346760" w14:textId="577B6802" w:rsidR="00AE2E2F" w:rsidRPr="00610012" w:rsidRDefault="00C65CE5">
            <w:pPr>
              <w:tabs>
                <w:tab w:val="left" w:pos="3686"/>
              </w:tabs>
              <w:spacing w:before="0" w:after="0"/>
              <w:jc w:val="right"/>
              <w:rPr>
                <w:rFonts w:cs="Times New Roman"/>
                <w:color w:val="000000" w:themeColor="text1"/>
                <w:szCs w:val="24"/>
                <w:lang w:val="en-DE"/>
              </w:rPr>
            </w:pPr>
            <w:r w:rsidRPr="00610012">
              <w:rPr>
                <w:rFonts w:cs="Times New Roman"/>
                <w:color w:val="000000" w:themeColor="text1"/>
                <w:szCs w:val="24"/>
              </w:rPr>
              <w:t>3.3</w:t>
            </w:r>
            <w:r w:rsidR="00BD3BF0" w:rsidRPr="00610012">
              <w:rPr>
                <w:rFonts w:cs="Times New Roman"/>
                <w:color w:val="000000" w:themeColor="text1"/>
                <w:szCs w:val="24"/>
                <w:lang w:val="en-DE"/>
              </w:rPr>
              <w:t xml:space="preserve"> </w:t>
            </w:r>
            <w:proofErr w:type="spellStart"/>
            <w:r w:rsidR="00BD3BF0" w:rsidRPr="00610012">
              <w:rPr>
                <w:rFonts w:cs="Times New Roman"/>
                <w:color w:val="000000" w:themeColor="text1"/>
                <w:szCs w:val="24"/>
                <w:lang w:val="en-DE"/>
              </w:rPr>
              <w:t>ms</w:t>
            </w:r>
            <w:proofErr w:type="spellEnd"/>
          </w:p>
        </w:tc>
      </w:tr>
      <w:tr w:rsidR="00610012" w:rsidRPr="00610012" w14:paraId="72784B93" w14:textId="77777777">
        <w:tc>
          <w:tcPr>
            <w:tcW w:w="2407" w:type="dxa"/>
          </w:tcPr>
          <w:p w14:paraId="5CCE5603" w14:textId="3E839500"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m</m:t>
                    </m:r>
                  </m:sub>
                </m:sSub>
              </m:oMath>
            </m:oMathPara>
          </w:p>
        </w:tc>
        <w:tc>
          <w:tcPr>
            <w:tcW w:w="2407" w:type="dxa"/>
          </w:tcPr>
          <w:p w14:paraId="72C68E5F"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-30.0</w:t>
            </w:r>
          </w:p>
        </w:tc>
        <w:tc>
          <w:tcPr>
            <w:tcW w:w="2407" w:type="dxa"/>
          </w:tcPr>
          <w:p w14:paraId="4650D82F" w14:textId="01D72FAF"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w:rPr>
                        <w:rFonts w:ascii="Cambria Math" w:hAnsi="Cambria Math" w:cs="Times New Roman"/>
                        <w:color w:val="000000" w:themeColor="text1"/>
                        <w:szCs w:val="24"/>
                      </w:rPr>
                      <m:t>m</m:t>
                    </m:r>
                  </m:sub>
                </m:sSub>
              </m:oMath>
            </m:oMathPara>
          </w:p>
        </w:tc>
        <w:tc>
          <w:tcPr>
            <w:tcW w:w="2408" w:type="dxa"/>
          </w:tcPr>
          <w:p w14:paraId="26825EB7"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15.0</w:t>
            </w:r>
          </w:p>
        </w:tc>
      </w:tr>
      <w:tr w:rsidR="00610012" w:rsidRPr="00610012" w14:paraId="24DC8F02" w14:textId="77777777">
        <w:tc>
          <w:tcPr>
            <w:tcW w:w="2407" w:type="dxa"/>
          </w:tcPr>
          <w:p w14:paraId="0BF82FFB" w14:textId="0B69291D"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h</m:t>
                    </m:r>
                  </m:sub>
                </m:sSub>
              </m:oMath>
            </m:oMathPara>
          </w:p>
        </w:tc>
        <w:tc>
          <w:tcPr>
            <w:tcW w:w="2407" w:type="dxa"/>
          </w:tcPr>
          <w:p w14:paraId="4B55611D"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-39.0</w:t>
            </w:r>
          </w:p>
        </w:tc>
        <w:tc>
          <w:tcPr>
            <w:tcW w:w="2407" w:type="dxa"/>
          </w:tcPr>
          <w:p w14:paraId="257B6077" w14:textId="2E7C4BE8"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w:rPr>
                        <w:rFonts w:ascii="Cambria Math" w:hAnsi="Cambria Math" w:cs="Times New Roman"/>
                        <w:color w:val="000000" w:themeColor="text1"/>
                        <w:szCs w:val="24"/>
                      </w:rPr>
                      <m:t>h</m:t>
                    </m:r>
                  </m:sub>
                </m:sSub>
              </m:oMath>
            </m:oMathPara>
          </w:p>
        </w:tc>
        <w:tc>
          <w:tcPr>
            <w:tcW w:w="2408" w:type="dxa"/>
          </w:tcPr>
          <w:p w14:paraId="09308149"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-3.1</w:t>
            </w:r>
          </w:p>
        </w:tc>
      </w:tr>
      <w:tr w:rsidR="00610012" w:rsidRPr="00610012" w14:paraId="3B3F8496" w14:textId="77777777">
        <w:tc>
          <w:tcPr>
            <w:tcW w:w="2407" w:type="dxa"/>
          </w:tcPr>
          <w:p w14:paraId="3C671020" w14:textId="2B466E2A"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n</m:t>
                    </m:r>
                  </m:sub>
                </m:sSub>
              </m:oMath>
            </m:oMathPara>
          </w:p>
        </w:tc>
        <w:tc>
          <w:tcPr>
            <w:tcW w:w="2407" w:type="dxa"/>
          </w:tcPr>
          <w:p w14:paraId="58E271A4" w14:textId="33EF160F" w:rsidR="00AE2E2F" w:rsidRPr="00610012" w:rsidRDefault="00C65CE5">
            <w:pPr>
              <w:tabs>
                <w:tab w:val="left" w:pos="3686"/>
              </w:tabs>
              <w:spacing w:before="0" w:after="0"/>
              <w:jc w:val="right"/>
              <w:rPr>
                <w:rFonts w:cs="Times New Roman"/>
                <w:color w:val="000000" w:themeColor="text1"/>
                <w:szCs w:val="24"/>
                <w:lang w:val="en-DE"/>
              </w:rPr>
            </w:pPr>
            <w:r w:rsidRPr="00610012">
              <w:rPr>
                <w:rFonts w:cs="Times New Roman"/>
                <w:color w:val="000000" w:themeColor="text1"/>
                <w:szCs w:val="24"/>
              </w:rPr>
              <w:t>-32</w:t>
            </w:r>
            <w:r w:rsidR="00BD3BF0" w:rsidRPr="00610012">
              <w:rPr>
                <w:rFonts w:cs="Times New Roman"/>
                <w:color w:val="000000" w:themeColor="text1"/>
                <w:szCs w:val="24"/>
                <w:lang w:val="en-DE"/>
              </w:rPr>
              <w:t>.0</w:t>
            </w:r>
          </w:p>
        </w:tc>
        <w:tc>
          <w:tcPr>
            <w:tcW w:w="2407" w:type="dxa"/>
          </w:tcPr>
          <w:p w14:paraId="022E8E81" w14:textId="0E2E4CAD"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w:rPr>
                        <w:rFonts w:ascii="Cambria Math" w:hAnsi="Cambria Math" w:cs="Times New Roman"/>
                        <w:color w:val="000000" w:themeColor="text1"/>
                        <w:szCs w:val="24"/>
                      </w:rPr>
                      <m:t>n</m:t>
                    </m:r>
                  </m:sub>
                </m:sSub>
              </m:oMath>
            </m:oMathPara>
          </w:p>
        </w:tc>
        <w:tc>
          <w:tcPr>
            <w:tcW w:w="2408" w:type="dxa"/>
          </w:tcPr>
          <w:p w14:paraId="4F1D89E2"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8.0</w:t>
            </w:r>
          </w:p>
        </w:tc>
      </w:tr>
      <w:tr w:rsidR="00610012" w:rsidRPr="00610012" w14:paraId="3F528ADB" w14:textId="77777777">
        <w:tc>
          <w:tcPr>
            <w:tcW w:w="2407" w:type="dxa"/>
          </w:tcPr>
          <w:p w14:paraId="0ECE450A" w14:textId="6F60CAFD"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r</m:t>
                    </m:r>
                  </m:sub>
                </m:sSub>
              </m:oMath>
            </m:oMathPara>
          </w:p>
        </w:tc>
        <w:tc>
          <w:tcPr>
            <w:tcW w:w="2407" w:type="dxa"/>
          </w:tcPr>
          <w:p w14:paraId="1A3B3C3E"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-67.0</w:t>
            </w:r>
          </w:p>
        </w:tc>
        <w:tc>
          <w:tcPr>
            <w:tcW w:w="2407" w:type="dxa"/>
          </w:tcPr>
          <w:p w14:paraId="6D82E56C" w14:textId="30392D23"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w:rPr>
                        <w:rFonts w:ascii="Cambria Math" w:hAnsi="Cambria Math" w:cs="Times New Roman"/>
                        <w:color w:val="000000" w:themeColor="text1"/>
                        <w:szCs w:val="24"/>
                      </w:rPr>
                      <m:t>r</m:t>
                    </m:r>
                  </m:sub>
                </m:sSub>
              </m:oMath>
            </m:oMathPara>
          </w:p>
        </w:tc>
        <w:tc>
          <w:tcPr>
            <w:tcW w:w="2408" w:type="dxa"/>
          </w:tcPr>
          <w:p w14:paraId="51A84456"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-2.0</w:t>
            </w:r>
          </w:p>
        </w:tc>
      </w:tr>
      <w:tr w:rsidR="00610012" w:rsidRPr="00610012" w14:paraId="0269F944" w14:textId="77777777">
        <w:tc>
          <w:tcPr>
            <w:tcW w:w="2407" w:type="dxa"/>
          </w:tcPr>
          <w:p w14:paraId="5CA5D7D0" w14:textId="0FF476C5"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a</m:t>
                    </m:r>
                  </m:sub>
                </m:sSub>
              </m:oMath>
            </m:oMathPara>
          </w:p>
        </w:tc>
        <w:tc>
          <w:tcPr>
            <w:tcW w:w="2407" w:type="dxa"/>
          </w:tcPr>
          <w:p w14:paraId="615521C0"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-63.0</w:t>
            </w:r>
          </w:p>
        </w:tc>
        <w:tc>
          <w:tcPr>
            <w:tcW w:w="2407" w:type="dxa"/>
          </w:tcPr>
          <w:p w14:paraId="19FC9EC4" w14:textId="6274B4F8"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w:rPr>
                        <w:rFonts w:ascii="Cambria Math" w:hAnsi="Cambria Math" w:cs="Times New Roman"/>
                        <w:color w:val="000000" w:themeColor="text1"/>
                        <w:szCs w:val="24"/>
                      </w:rPr>
                      <m:t>a</m:t>
                    </m:r>
                  </m:sub>
                </m:sSub>
              </m:oMath>
            </m:oMathPara>
          </w:p>
        </w:tc>
        <w:tc>
          <w:tcPr>
            <w:tcW w:w="2408" w:type="dxa"/>
          </w:tcPr>
          <w:p w14:paraId="0B637AC8"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7.8</w:t>
            </w:r>
          </w:p>
        </w:tc>
      </w:tr>
      <w:tr w:rsidR="00610012" w:rsidRPr="00610012" w14:paraId="29B331FF" w14:textId="77777777">
        <w:tc>
          <w:tcPr>
            <w:tcW w:w="2407" w:type="dxa"/>
          </w:tcPr>
          <w:p w14:paraId="368C586E" w14:textId="696C0513"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b</m:t>
                    </m:r>
                  </m:sub>
                </m:sSub>
              </m:oMath>
            </m:oMathPara>
          </w:p>
        </w:tc>
        <w:tc>
          <w:tcPr>
            <w:tcW w:w="2407" w:type="dxa"/>
          </w:tcPr>
          <w:p w14:paraId="41294CAE"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0.4</w:t>
            </w:r>
          </w:p>
        </w:tc>
        <w:tc>
          <w:tcPr>
            <w:tcW w:w="2407" w:type="dxa"/>
          </w:tcPr>
          <w:p w14:paraId="686F7C16" w14:textId="745614C2"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w:rPr>
                        <w:rFonts w:ascii="Cambria Math" w:hAnsi="Cambria Math" w:cs="Times New Roman"/>
                        <w:color w:val="000000" w:themeColor="text1"/>
                        <w:szCs w:val="24"/>
                      </w:rPr>
                      <m:t>b</m:t>
                    </m:r>
                  </m:sub>
                </m:sSub>
              </m:oMath>
            </m:oMathPara>
          </w:p>
        </w:tc>
        <w:tc>
          <w:tcPr>
            <w:tcW w:w="2408" w:type="dxa"/>
          </w:tcPr>
          <w:p w14:paraId="17F83FC5"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-0.1</w:t>
            </w:r>
          </w:p>
        </w:tc>
      </w:tr>
      <w:tr w:rsidR="00610012" w:rsidRPr="00610012" w14:paraId="384992C7" w14:textId="77777777">
        <w:tc>
          <w:tcPr>
            <w:tcW w:w="2407" w:type="dxa"/>
          </w:tcPr>
          <w:p w14:paraId="5A91DDC6" w14:textId="3B783515"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s</m:t>
                    </m:r>
                  </m:sub>
                </m:sSub>
              </m:oMath>
            </m:oMathPara>
          </w:p>
        </w:tc>
        <w:tc>
          <w:tcPr>
            <w:tcW w:w="2407" w:type="dxa"/>
          </w:tcPr>
          <w:p w14:paraId="28F5E27A"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-39.0</w:t>
            </w:r>
          </w:p>
        </w:tc>
        <w:tc>
          <w:tcPr>
            <w:tcW w:w="2407" w:type="dxa"/>
          </w:tcPr>
          <w:p w14:paraId="7BFE2B39" w14:textId="05880474"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w:rPr>
                        <w:rFonts w:ascii="Cambria Math" w:hAnsi="Cambria Math" w:cs="Times New Roman"/>
                        <w:color w:val="000000" w:themeColor="text1"/>
                        <w:szCs w:val="24"/>
                      </w:rPr>
                      <m:t>s</m:t>
                    </m:r>
                  </m:sub>
                </m:sSub>
              </m:oMath>
            </m:oMathPara>
          </w:p>
        </w:tc>
        <w:tc>
          <w:tcPr>
            <w:tcW w:w="2408" w:type="dxa"/>
          </w:tcPr>
          <w:p w14:paraId="60CD1FCB"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8.0</w:t>
            </w:r>
          </w:p>
        </w:tc>
      </w:tr>
      <w:tr w:rsidR="00610012" w:rsidRPr="00610012" w14:paraId="4A4B850A" w14:textId="77777777">
        <w:tc>
          <w:tcPr>
            <w:tcW w:w="2407" w:type="dxa"/>
          </w:tcPr>
          <w:p w14:paraId="7990A293" w14:textId="33AFC381"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θ</m:t>
                    </m:r>
                  </m:e>
                  <m:sub>
                    <m:r>
                      <w:rPr>
                        <w:rFonts w:ascii="Cambria Math" w:hAnsi="Cambria Math" w:cs="Times New Roman"/>
                        <w:color w:val="000000" w:themeColor="text1"/>
                        <w:szCs w:val="24"/>
                      </w:rPr>
                      <m:t>h</m:t>
                    </m:r>
                  </m:sub>
                  <m:sup>
                    <m:r>
                      <w:rPr>
                        <w:rFonts w:ascii="Cambria Math" w:hAnsi="Cambria Math" w:cs="Times New Roman"/>
                        <w:color w:val="000000" w:themeColor="text1"/>
                        <w:szCs w:val="24"/>
                      </w:rPr>
                      <m:t>τ</m:t>
                    </m:r>
                  </m:sup>
                </m:sSubSup>
              </m:oMath>
            </m:oMathPara>
          </w:p>
        </w:tc>
        <w:tc>
          <w:tcPr>
            <w:tcW w:w="2407" w:type="dxa"/>
          </w:tcPr>
          <w:p w14:paraId="3CB9C9C7"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-57.0</w:t>
            </w:r>
          </w:p>
        </w:tc>
        <w:tc>
          <w:tcPr>
            <w:tcW w:w="2407" w:type="dxa"/>
          </w:tcPr>
          <w:p w14:paraId="3E7EB22E" w14:textId="346143D7"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ο</m:t>
                    </m:r>
                  </m:e>
                  <m:sub>
                    <m:r>
                      <w:rPr>
                        <w:rFonts w:ascii="Cambria Math" w:hAnsi="Cambria Math" w:cs="Times New Roman"/>
                        <w:color w:val="000000" w:themeColor="text1"/>
                        <w:szCs w:val="24"/>
                      </w:rPr>
                      <m:t>h</m:t>
                    </m:r>
                  </m:sub>
                  <m:sup>
                    <m:r>
                      <w:rPr>
                        <w:rFonts w:ascii="Cambria Math" w:hAnsi="Cambria Math" w:cs="Times New Roman"/>
                        <w:color w:val="000000" w:themeColor="text1"/>
                        <w:szCs w:val="24"/>
                      </w:rPr>
                      <m:t>τ</m:t>
                    </m:r>
                  </m:sup>
                </m:sSubSup>
              </m:oMath>
            </m:oMathPara>
          </w:p>
        </w:tc>
        <w:tc>
          <w:tcPr>
            <w:tcW w:w="2408" w:type="dxa"/>
          </w:tcPr>
          <w:p w14:paraId="1D867537"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-3.0</w:t>
            </w:r>
          </w:p>
        </w:tc>
      </w:tr>
      <w:tr w:rsidR="00610012" w:rsidRPr="00610012" w14:paraId="30D9A81F" w14:textId="77777777">
        <w:tc>
          <w:tcPr>
            <w:tcW w:w="2407" w:type="dxa"/>
          </w:tcPr>
          <w:p w14:paraId="4E3BA41A" w14:textId="4EC7C9E2"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θ</m:t>
                    </m:r>
                  </m:e>
                  <m:sub>
                    <m:r>
                      <w:rPr>
                        <w:rFonts w:ascii="Cambria Math" w:hAnsi="Cambria Math" w:cs="Times New Roman"/>
                        <w:color w:val="000000" w:themeColor="text1"/>
                        <w:szCs w:val="24"/>
                      </w:rPr>
                      <m:t>n</m:t>
                    </m:r>
                  </m:sub>
                  <m:sup>
                    <m:r>
                      <w:rPr>
                        <w:rFonts w:ascii="Cambria Math" w:hAnsi="Cambria Math" w:cs="Times New Roman"/>
                        <w:color w:val="000000" w:themeColor="text1"/>
                        <w:szCs w:val="24"/>
                      </w:rPr>
                      <m:t>τ</m:t>
                    </m:r>
                  </m:sup>
                </m:sSubSup>
              </m:oMath>
            </m:oMathPara>
          </w:p>
        </w:tc>
        <w:tc>
          <w:tcPr>
            <w:tcW w:w="2407" w:type="dxa"/>
          </w:tcPr>
          <w:p w14:paraId="6113609F"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-80.0</w:t>
            </w:r>
          </w:p>
        </w:tc>
        <w:tc>
          <w:tcPr>
            <w:tcW w:w="2407" w:type="dxa"/>
          </w:tcPr>
          <w:p w14:paraId="3F6E922C" w14:textId="1811F815"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ο</m:t>
                    </m:r>
                  </m:e>
                  <m:sub>
                    <m:r>
                      <w:rPr>
                        <w:rFonts w:ascii="Cambria Math" w:hAnsi="Cambria Math" w:cs="Times New Roman"/>
                        <w:color w:val="000000" w:themeColor="text1"/>
                        <w:szCs w:val="24"/>
                      </w:rPr>
                      <m:t>n</m:t>
                    </m:r>
                  </m:sub>
                  <m:sup>
                    <m:r>
                      <w:rPr>
                        <w:rFonts w:ascii="Cambria Math" w:hAnsi="Cambria Math" w:cs="Times New Roman"/>
                        <w:color w:val="000000" w:themeColor="text1"/>
                        <w:szCs w:val="24"/>
                      </w:rPr>
                      <m:t>τ</m:t>
                    </m:r>
                  </m:sup>
                </m:sSubSup>
              </m:oMath>
            </m:oMathPara>
          </w:p>
        </w:tc>
        <w:tc>
          <w:tcPr>
            <w:tcW w:w="2408" w:type="dxa"/>
          </w:tcPr>
          <w:p w14:paraId="0FEA76BB"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-26.0</w:t>
            </w:r>
          </w:p>
        </w:tc>
      </w:tr>
      <w:tr w:rsidR="00610012" w:rsidRPr="00610012" w14:paraId="0570855A" w14:textId="77777777">
        <w:tc>
          <w:tcPr>
            <w:tcW w:w="2407" w:type="dxa"/>
          </w:tcPr>
          <w:p w14:paraId="29136BFA" w14:textId="112B9F46"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θ</m:t>
                    </m:r>
                  </m:e>
                  <m:sub>
                    <m:r>
                      <w:rPr>
                        <w:rFonts w:ascii="Cambria Math" w:hAnsi="Cambria Math" w:cs="Times New Roman"/>
                        <w:color w:val="000000" w:themeColor="text1"/>
                        <w:szCs w:val="24"/>
                      </w:rPr>
                      <m:t>r</m:t>
                    </m:r>
                  </m:sub>
                  <m:sup>
                    <m:r>
                      <w:rPr>
                        <w:rFonts w:ascii="Cambria Math" w:hAnsi="Cambria Math" w:cs="Times New Roman"/>
                        <w:color w:val="000000" w:themeColor="text1"/>
                        <w:szCs w:val="24"/>
                      </w:rPr>
                      <m:t>τ</m:t>
                    </m:r>
                  </m:sup>
                </m:sSubSup>
              </m:oMath>
            </m:oMathPara>
          </w:p>
        </w:tc>
        <w:tc>
          <w:tcPr>
            <w:tcW w:w="2407" w:type="dxa"/>
          </w:tcPr>
          <w:p w14:paraId="692230EE"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68.0</w:t>
            </w:r>
          </w:p>
        </w:tc>
        <w:tc>
          <w:tcPr>
            <w:tcW w:w="2407" w:type="dxa"/>
          </w:tcPr>
          <w:p w14:paraId="5FBC15DE" w14:textId="004FDB8A" w:rsidR="00AE2E2F" w:rsidRPr="00610012" w:rsidRDefault="003A1902">
            <w:pPr>
              <w:tabs>
                <w:tab w:val="left" w:pos="3686"/>
              </w:tabs>
              <w:spacing w:before="0" w:after="0"/>
              <w:jc w:val="both"/>
              <w:rPr>
                <w:rFonts w:cs="Times New Roman"/>
                <w:i/>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ο</m:t>
                    </m:r>
                  </m:e>
                  <m:sub>
                    <m:r>
                      <w:rPr>
                        <w:rFonts w:ascii="Cambria Math" w:hAnsi="Cambria Math" w:cs="Times New Roman"/>
                        <w:color w:val="000000" w:themeColor="text1"/>
                        <w:szCs w:val="24"/>
                      </w:rPr>
                      <m:t>r</m:t>
                    </m:r>
                  </m:sub>
                  <m:sup>
                    <m:r>
                      <w:rPr>
                        <w:rFonts w:ascii="Cambria Math" w:hAnsi="Cambria Math" w:cs="Times New Roman"/>
                        <w:color w:val="000000" w:themeColor="text1"/>
                        <w:szCs w:val="24"/>
                      </w:rPr>
                      <m:t>τ</m:t>
                    </m:r>
                  </m:sup>
                </m:sSubSup>
              </m:oMath>
            </m:oMathPara>
          </w:p>
        </w:tc>
        <w:tc>
          <w:tcPr>
            <w:tcW w:w="2408" w:type="dxa"/>
          </w:tcPr>
          <w:p w14:paraId="4D9FC5B5"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-2.2</w:t>
            </w:r>
          </w:p>
        </w:tc>
      </w:tr>
      <w:tr w:rsidR="00610012" w:rsidRPr="00610012" w14:paraId="0BAD9847" w14:textId="77777777">
        <w:tc>
          <w:tcPr>
            <w:tcW w:w="2407" w:type="dxa"/>
          </w:tcPr>
          <w:p w14:paraId="48B883F1" w14:textId="2BE98565"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k</m:t>
                    </m:r>
                  </m:e>
                  <m:sub>
                    <m:r>
                      <w:rPr>
                        <w:rFonts w:ascii="Cambria Math" w:hAnsi="Cambria Math" w:cs="Times New Roman"/>
                        <w:color w:val="000000" w:themeColor="text1"/>
                        <w:szCs w:val="24"/>
                      </w:rPr>
                      <m:t>1</m:t>
                    </m:r>
                  </m:sub>
                </m:sSub>
              </m:oMath>
            </m:oMathPara>
          </w:p>
        </w:tc>
        <w:tc>
          <w:tcPr>
            <w:tcW w:w="2407" w:type="dxa"/>
          </w:tcPr>
          <w:p w14:paraId="69AAA1DE"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15.0</w:t>
            </w:r>
          </w:p>
        </w:tc>
        <w:tc>
          <w:tcPr>
            <w:tcW w:w="2407" w:type="dxa"/>
          </w:tcPr>
          <w:p w14:paraId="5210C260" w14:textId="221E9ED6"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k</m:t>
                    </m:r>
                  </m:e>
                  <m:sub>
                    <m:r>
                      <m:rPr>
                        <m:sty m:val="p"/>
                      </m:rPr>
                      <w:rPr>
                        <w:rFonts w:ascii="Cambria Math" w:hAnsi="Cambria Math" w:cs="Times New Roman"/>
                        <w:color w:val="000000" w:themeColor="text1"/>
                        <w:szCs w:val="24"/>
                      </w:rPr>
                      <m:t>Ca</m:t>
                    </m:r>
                  </m:sub>
                </m:sSub>
              </m:oMath>
            </m:oMathPara>
          </w:p>
        </w:tc>
        <w:tc>
          <w:tcPr>
            <w:tcW w:w="2408" w:type="dxa"/>
          </w:tcPr>
          <w:p w14:paraId="67FDB8F6"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22.5</w:t>
            </w:r>
          </w:p>
        </w:tc>
      </w:tr>
      <w:tr w:rsidR="00AE2E2F" w:rsidRPr="00610012" w14:paraId="259014C1" w14:textId="77777777">
        <w:tc>
          <w:tcPr>
            <w:tcW w:w="2407" w:type="dxa"/>
          </w:tcPr>
          <w:p w14:paraId="1DB78648" w14:textId="77777777" w:rsidR="00AE2E2F" w:rsidRPr="00610012" w:rsidRDefault="00C65CE5">
            <w:pPr>
              <w:tabs>
                <w:tab w:val="left" w:pos="3686"/>
              </w:tabs>
              <w:spacing w:before="0" w:after="0"/>
              <w:jc w:val="both"/>
              <w:rPr>
                <w:rFonts w:cs="Times New Roman"/>
                <w:color w:val="000000" w:themeColor="text1"/>
                <w:szCs w:val="24"/>
              </w:rPr>
            </w:pPr>
            <m:oMathPara>
              <m:oMath>
                <m:r>
                  <m:rPr>
                    <m:sty m:val="p"/>
                  </m:rPr>
                  <w:rPr>
                    <w:rFonts w:ascii="Cambria Math" w:hAnsi="Cambria Math" w:cs="Times New Roman"/>
                    <w:color w:val="000000" w:themeColor="text1"/>
                    <w:szCs w:val="24"/>
                  </w:rPr>
                  <m:t>Γ</m:t>
                </m:r>
              </m:oMath>
            </m:oMathPara>
          </w:p>
        </w:tc>
        <w:tc>
          <w:tcPr>
            <w:tcW w:w="2407" w:type="dxa"/>
          </w:tcPr>
          <w:p w14:paraId="24A72B42"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3.75 </w:t>
            </w:r>
            <m:oMath>
              <m:r>
                <w:rPr>
                  <w:rFonts w:ascii="Cambria Math" w:hAnsi="Cambria Math" w:cs="Times New Roman"/>
                  <w:color w:val="000000" w:themeColor="text1"/>
                  <w:szCs w:val="24"/>
                </w:rPr>
                <m:t>×</m:t>
              </m:r>
            </m:oMath>
            <w:r w:rsidRPr="00610012">
              <w:rPr>
                <w:rFonts w:cs="Times New Roman"/>
                <w:color w:val="000000" w:themeColor="text1"/>
                <w:szCs w:val="24"/>
              </w:rPr>
              <w:t>10</w:t>
            </w:r>
            <w:r w:rsidRPr="00610012">
              <w:rPr>
                <w:rFonts w:cs="Times New Roman"/>
                <w:color w:val="000000" w:themeColor="text1"/>
                <w:szCs w:val="24"/>
                <w:vertAlign w:val="superscript"/>
              </w:rPr>
              <w:t>-5</w:t>
            </w:r>
            <w:r w:rsidRPr="00610012">
              <w:rPr>
                <w:rFonts w:cs="Times New Roman"/>
                <w:bCs/>
                <w:color w:val="000000" w:themeColor="text1"/>
                <w:szCs w:val="24"/>
              </w:rPr>
              <w:t>ms</w:t>
            </w:r>
            <w:r w:rsidRPr="00610012">
              <w:rPr>
                <w:rFonts w:cs="Times New Roman"/>
                <w:bCs/>
                <w:color w:val="000000" w:themeColor="text1"/>
                <w:szCs w:val="24"/>
                <w:vertAlign w:val="superscript"/>
              </w:rPr>
              <w:t>-1</w:t>
            </w:r>
          </w:p>
        </w:tc>
        <w:tc>
          <w:tcPr>
            <w:tcW w:w="2407" w:type="dxa"/>
          </w:tcPr>
          <w:p w14:paraId="3C33582C"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m</m:t>
                    </m:r>
                  </m:sub>
                </m:sSub>
              </m:oMath>
            </m:oMathPara>
          </w:p>
        </w:tc>
        <w:tc>
          <w:tcPr>
            <w:tcW w:w="2408" w:type="dxa"/>
          </w:tcPr>
          <w:p w14:paraId="18CA579E"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1 </w:t>
            </w:r>
            <w:r w:rsidRPr="00610012">
              <w:rPr>
                <w:rFonts w:cs="Times New Roman"/>
                <w:bCs/>
                <w:color w:val="000000" w:themeColor="text1"/>
                <w:szCs w:val="24"/>
              </w:rPr>
              <w:t>pF/μm</w:t>
            </w:r>
            <w:r w:rsidRPr="00610012">
              <w:rPr>
                <w:rFonts w:cs="Times New Roman"/>
                <w:bCs/>
                <w:color w:val="000000" w:themeColor="text1"/>
                <w:szCs w:val="24"/>
                <w:vertAlign w:val="superscript"/>
              </w:rPr>
              <w:t>2</w:t>
            </w:r>
          </w:p>
        </w:tc>
      </w:tr>
    </w:tbl>
    <w:p w14:paraId="2378E71D" w14:textId="77777777" w:rsidR="00AE2E2F" w:rsidRPr="00610012" w:rsidRDefault="00AE2E2F">
      <w:pPr>
        <w:tabs>
          <w:tab w:val="left" w:pos="3686"/>
        </w:tabs>
        <w:jc w:val="both"/>
        <w:rPr>
          <w:rFonts w:cs="Times New Roman"/>
          <w:color w:val="000000" w:themeColor="text1"/>
          <w:szCs w:val="24"/>
        </w:rPr>
      </w:pPr>
    </w:p>
    <w:p w14:paraId="70470372" w14:textId="77777777" w:rsidR="00AE2E2F" w:rsidRPr="00610012" w:rsidRDefault="00AE2E2F">
      <w:pPr>
        <w:tabs>
          <w:tab w:val="left" w:pos="3686"/>
        </w:tabs>
        <w:jc w:val="both"/>
        <w:rPr>
          <w:rFonts w:cs="Times New Roman"/>
          <w:b/>
          <w:color w:val="000000" w:themeColor="text1"/>
          <w:szCs w:val="24"/>
        </w:rPr>
      </w:pPr>
    </w:p>
    <w:p w14:paraId="6F5C2A4B" w14:textId="77777777" w:rsidR="00AE2E2F" w:rsidRPr="00610012" w:rsidRDefault="00AE2E2F">
      <w:pPr>
        <w:tabs>
          <w:tab w:val="left" w:pos="3686"/>
        </w:tabs>
        <w:jc w:val="both"/>
        <w:rPr>
          <w:rFonts w:cs="Times New Roman"/>
          <w:b/>
          <w:color w:val="000000" w:themeColor="text1"/>
          <w:szCs w:val="24"/>
        </w:rPr>
      </w:pPr>
    </w:p>
    <w:p w14:paraId="3DCF5F14" w14:textId="77777777" w:rsidR="00AE2E2F" w:rsidRPr="00610012" w:rsidRDefault="00AE2E2F">
      <w:pPr>
        <w:tabs>
          <w:tab w:val="left" w:pos="3686"/>
        </w:tabs>
        <w:jc w:val="both"/>
        <w:rPr>
          <w:rFonts w:cs="Times New Roman"/>
          <w:b/>
          <w:color w:val="000000" w:themeColor="text1"/>
          <w:szCs w:val="24"/>
        </w:rPr>
      </w:pPr>
    </w:p>
    <w:p w14:paraId="577F6864" w14:textId="77777777" w:rsidR="00AE2E2F" w:rsidRPr="00610012" w:rsidRDefault="00AE2E2F">
      <w:pPr>
        <w:tabs>
          <w:tab w:val="left" w:pos="3686"/>
        </w:tabs>
        <w:jc w:val="both"/>
        <w:rPr>
          <w:rFonts w:cs="Times New Roman"/>
          <w:b/>
          <w:color w:val="000000" w:themeColor="text1"/>
          <w:szCs w:val="24"/>
        </w:rPr>
      </w:pPr>
    </w:p>
    <w:p w14:paraId="4DD4B445" w14:textId="77777777" w:rsidR="00AE2E2F" w:rsidRPr="00610012" w:rsidRDefault="00AE2E2F">
      <w:pPr>
        <w:tabs>
          <w:tab w:val="left" w:pos="3686"/>
        </w:tabs>
        <w:jc w:val="both"/>
        <w:rPr>
          <w:rFonts w:cs="Times New Roman"/>
          <w:b/>
          <w:color w:val="000000" w:themeColor="text1"/>
          <w:szCs w:val="24"/>
        </w:rPr>
      </w:pPr>
    </w:p>
    <w:p w14:paraId="7414A324" w14:textId="77777777" w:rsidR="00AE2E2F" w:rsidRPr="00610012" w:rsidRDefault="00C65CE5">
      <w:pPr>
        <w:tabs>
          <w:tab w:val="left" w:pos="3686"/>
        </w:tabs>
        <w:jc w:val="both"/>
        <w:rPr>
          <w:rFonts w:cs="Times New Roman"/>
          <w:color w:val="000000" w:themeColor="text1"/>
          <w:szCs w:val="24"/>
        </w:rPr>
      </w:pPr>
      <w:r w:rsidRPr="00610012">
        <w:rPr>
          <w:rFonts w:eastAsia="Times New Roman" w:cs="Times New Roman"/>
          <w:b/>
          <w:bCs/>
          <w:color w:val="000000" w:themeColor="text1"/>
          <w:szCs w:val="24"/>
        </w:rPr>
        <w:lastRenderedPageBreak/>
        <w:t xml:space="preserve">Supplementary </w:t>
      </w:r>
      <w:r w:rsidRPr="00610012">
        <w:rPr>
          <w:rFonts w:cs="Times New Roman"/>
          <w:b/>
          <w:color w:val="000000" w:themeColor="text1"/>
          <w:szCs w:val="24"/>
        </w:rPr>
        <w:t xml:space="preserve">Table 2. </w:t>
      </w:r>
      <w:r w:rsidRPr="00610012">
        <w:rPr>
          <w:rFonts w:cs="Times New Roman"/>
          <w:color w:val="000000" w:themeColor="text1"/>
          <w:szCs w:val="24"/>
        </w:rPr>
        <w:t xml:space="preserve">Parameter values used for </w:t>
      </w:r>
      <w:proofErr w:type="spellStart"/>
      <w:r w:rsidRPr="00610012">
        <w:rPr>
          <w:rFonts w:cs="Times New Roman"/>
          <w:color w:val="000000" w:themeColor="text1"/>
          <w:szCs w:val="24"/>
        </w:rPr>
        <w:t>GPe</w:t>
      </w:r>
      <w:proofErr w:type="spellEnd"/>
      <w:r w:rsidRPr="00610012">
        <w:rPr>
          <w:rFonts w:cs="Times New Roman"/>
          <w:color w:val="000000" w:themeColor="text1"/>
          <w:szCs w:val="24"/>
        </w:rPr>
        <w:t xml:space="preserve"> neurons. The maximum conductances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ion</m:t>
            </m:r>
          </m:sub>
        </m:sSub>
        <m:r>
          <w:rPr>
            <w:rFonts w:ascii="Cambria Math" w:hAnsi="Cambria Math" w:cs="Times New Roman"/>
            <w:color w:val="000000" w:themeColor="text1"/>
            <w:szCs w:val="24"/>
          </w:rPr>
          <m:t xml:space="preserve"> </m:t>
        </m:r>
      </m:oMath>
      <w:r w:rsidRPr="00610012">
        <w:rPr>
          <w:rFonts w:cs="Times New Roman"/>
          <w:color w:val="000000" w:themeColor="text1"/>
          <w:szCs w:val="24"/>
        </w:rPr>
        <w:t xml:space="preserve">and reversal potentials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 xml:space="preserve">ion </m:t>
            </m:r>
          </m:sub>
        </m:sSub>
      </m:oMath>
      <w:r w:rsidRPr="00610012">
        <w:rPr>
          <w:rFonts w:cs="Times New Roman"/>
          <w:color w:val="000000" w:themeColor="text1"/>
          <w:szCs w:val="24"/>
        </w:rPr>
        <w:t>were Gaussian distributed with a standard deviation of 5</w:t>
      </w:r>
      <m:oMath>
        <m:r>
          <w:rPr>
            <w:rFonts w:ascii="Cambria Math" w:hAnsi="Cambria Math" w:cs="Times New Roman"/>
            <w:color w:val="000000" w:themeColor="text1"/>
            <w:szCs w:val="24"/>
          </w:rPr>
          <m:t>%</m:t>
        </m:r>
      </m:oMath>
      <w:r w:rsidRPr="00610012">
        <w:rPr>
          <w:rFonts w:cs="Times New Roman"/>
          <w:color w:val="000000" w:themeColor="text1"/>
          <w:szCs w:val="24"/>
        </w:rPr>
        <w:t xml:space="preserve"> around the respective mean values given is this table.</w:t>
      </w:r>
    </w:p>
    <w:tbl>
      <w:tblPr>
        <w:tblStyle w:val="TableGrid"/>
        <w:tblW w:w="0" w:type="auto"/>
        <w:tblLook w:val="04A0" w:firstRow="1" w:lastRow="0" w:firstColumn="1" w:lastColumn="0" w:noHBand="0" w:noVBand="1"/>
      </w:tblPr>
      <w:tblGrid>
        <w:gridCol w:w="2407"/>
        <w:gridCol w:w="2407"/>
        <w:gridCol w:w="2407"/>
        <w:gridCol w:w="2408"/>
      </w:tblGrid>
      <w:tr w:rsidR="00610012" w:rsidRPr="00610012" w14:paraId="4B59D802" w14:textId="77777777">
        <w:tc>
          <w:tcPr>
            <w:tcW w:w="2407" w:type="dxa"/>
          </w:tcPr>
          <w:p w14:paraId="56C38161"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L</m:t>
                    </m:r>
                  </m:sub>
                </m:sSub>
              </m:oMath>
            </m:oMathPara>
          </w:p>
        </w:tc>
        <w:tc>
          <w:tcPr>
            <w:tcW w:w="2407" w:type="dxa"/>
          </w:tcPr>
          <w:p w14:paraId="25475642"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0.1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3CC4EAA8"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L</m:t>
                    </m:r>
                  </m:sub>
                </m:sSub>
              </m:oMath>
            </m:oMathPara>
          </w:p>
        </w:tc>
        <w:tc>
          <w:tcPr>
            <w:tcW w:w="2408" w:type="dxa"/>
          </w:tcPr>
          <w:p w14:paraId="696B1036"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-55.0 mV</w:t>
            </w:r>
          </w:p>
        </w:tc>
      </w:tr>
      <w:tr w:rsidR="00610012" w:rsidRPr="00610012" w14:paraId="5C48A529" w14:textId="77777777">
        <w:tc>
          <w:tcPr>
            <w:tcW w:w="2407" w:type="dxa"/>
          </w:tcPr>
          <w:p w14:paraId="50C0B03F"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K</m:t>
                    </m:r>
                  </m:sub>
                </m:sSub>
              </m:oMath>
            </m:oMathPara>
          </w:p>
        </w:tc>
        <w:tc>
          <w:tcPr>
            <w:tcW w:w="2407" w:type="dxa"/>
          </w:tcPr>
          <w:p w14:paraId="0B3653D5"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30.0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3E3AB7EB"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K</m:t>
                    </m:r>
                  </m:sub>
                </m:sSub>
              </m:oMath>
            </m:oMathPara>
          </w:p>
        </w:tc>
        <w:tc>
          <w:tcPr>
            <w:tcW w:w="2408" w:type="dxa"/>
          </w:tcPr>
          <w:p w14:paraId="6DAE8C48"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-80.0 mV</w:t>
            </w:r>
          </w:p>
        </w:tc>
      </w:tr>
      <w:tr w:rsidR="00610012" w:rsidRPr="00610012" w14:paraId="159110EB" w14:textId="77777777">
        <w:tc>
          <w:tcPr>
            <w:tcW w:w="2407" w:type="dxa"/>
          </w:tcPr>
          <w:p w14:paraId="69F4EB3C"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Na</m:t>
                    </m:r>
                  </m:sub>
                </m:sSub>
              </m:oMath>
            </m:oMathPara>
          </w:p>
        </w:tc>
        <w:tc>
          <w:tcPr>
            <w:tcW w:w="2407" w:type="dxa"/>
          </w:tcPr>
          <w:p w14:paraId="73F158BA"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120.0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0CE5C20C"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Na</m:t>
                    </m:r>
                  </m:sub>
                </m:sSub>
              </m:oMath>
            </m:oMathPara>
          </w:p>
        </w:tc>
        <w:tc>
          <w:tcPr>
            <w:tcW w:w="2408" w:type="dxa"/>
          </w:tcPr>
          <w:p w14:paraId="6551FE2E"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55.0 mV</w:t>
            </w:r>
          </w:p>
        </w:tc>
      </w:tr>
      <w:tr w:rsidR="00610012" w:rsidRPr="00610012" w14:paraId="3F40AAE2" w14:textId="77777777">
        <w:tc>
          <w:tcPr>
            <w:tcW w:w="2407" w:type="dxa"/>
          </w:tcPr>
          <w:p w14:paraId="7942B18D"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Ca</m:t>
                    </m:r>
                  </m:sub>
                </m:sSub>
              </m:oMath>
            </m:oMathPara>
          </w:p>
        </w:tc>
        <w:tc>
          <w:tcPr>
            <w:tcW w:w="2407" w:type="dxa"/>
          </w:tcPr>
          <w:p w14:paraId="0EA2788B"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0.15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09F72BF7"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Ca</m:t>
                    </m:r>
                  </m:sub>
                </m:sSub>
              </m:oMath>
            </m:oMathPara>
          </w:p>
        </w:tc>
        <w:tc>
          <w:tcPr>
            <w:tcW w:w="2408" w:type="dxa"/>
          </w:tcPr>
          <w:p w14:paraId="6A5E506F"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120.0 mV</w:t>
            </w:r>
          </w:p>
        </w:tc>
      </w:tr>
      <w:tr w:rsidR="00610012" w:rsidRPr="00610012" w14:paraId="355FB787" w14:textId="77777777">
        <w:tc>
          <w:tcPr>
            <w:tcW w:w="2407" w:type="dxa"/>
          </w:tcPr>
          <w:p w14:paraId="2EE883E8"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ahp</m:t>
                    </m:r>
                  </m:sub>
                </m:sSub>
              </m:oMath>
            </m:oMathPara>
          </w:p>
        </w:tc>
        <w:tc>
          <w:tcPr>
            <w:tcW w:w="2407" w:type="dxa"/>
          </w:tcPr>
          <w:p w14:paraId="29193306"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30.0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46C73B8E"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gg</m:t>
                    </m:r>
                  </m:sub>
                </m:sSub>
              </m:oMath>
            </m:oMathPara>
          </w:p>
        </w:tc>
        <w:tc>
          <w:tcPr>
            <w:tcW w:w="2408" w:type="dxa"/>
          </w:tcPr>
          <w:p w14:paraId="64449046"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-80.0 mV</w:t>
            </w:r>
          </w:p>
        </w:tc>
      </w:tr>
      <w:tr w:rsidR="00610012" w:rsidRPr="00610012" w14:paraId="1A581275" w14:textId="77777777">
        <w:tc>
          <w:tcPr>
            <w:tcW w:w="2407" w:type="dxa"/>
          </w:tcPr>
          <w:p w14:paraId="341097AD"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m:rPr>
                        <m:sty m:val="p"/>
                      </m:rPr>
                      <w:rPr>
                        <w:rFonts w:ascii="Cambria Math" w:hAnsi="Cambria Math" w:cs="Times New Roman"/>
                        <w:color w:val="000000" w:themeColor="text1"/>
                        <w:szCs w:val="24"/>
                      </w:rPr>
                      <m:t>T</m:t>
                    </m:r>
                  </m:sub>
                </m:sSub>
              </m:oMath>
            </m:oMathPara>
          </w:p>
        </w:tc>
        <w:tc>
          <w:tcPr>
            <w:tcW w:w="2407" w:type="dxa"/>
          </w:tcPr>
          <w:p w14:paraId="7B979552"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0.5 </w:t>
            </w:r>
            <w:proofErr w:type="spellStart"/>
            <w:r w:rsidRPr="00610012">
              <w:rPr>
                <w:rFonts w:cs="Times New Roman"/>
                <w:color w:val="000000" w:themeColor="text1"/>
                <w:szCs w:val="24"/>
              </w:rPr>
              <w:t>nS</w:t>
            </w:r>
            <w:proofErr w:type="spellEnd"/>
            <w:r w:rsidRPr="00610012">
              <w:rPr>
                <w:rFonts w:cs="Times New Roman"/>
                <w:color w:val="000000" w:themeColor="text1"/>
                <w:szCs w:val="24"/>
              </w:rPr>
              <w:t>/</w:t>
            </w:r>
            <w:r w:rsidRPr="00610012">
              <w:rPr>
                <w:rFonts w:cs="Times New Roman"/>
                <w:i/>
                <w:color w:val="000000" w:themeColor="text1"/>
                <w:szCs w:val="24"/>
              </w:rPr>
              <w:t>μ</w:t>
            </w:r>
            <w:r w:rsidRPr="00610012">
              <w:rPr>
                <w:rFonts w:cs="Times New Roman"/>
                <w:color w:val="000000" w:themeColor="text1"/>
                <w:szCs w:val="24"/>
              </w:rPr>
              <w:t>m</w:t>
            </w:r>
            <w:r w:rsidRPr="00610012">
              <w:rPr>
                <w:rFonts w:cs="Times New Roman"/>
                <w:color w:val="000000" w:themeColor="text1"/>
                <w:szCs w:val="24"/>
                <w:vertAlign w:val="superscript"/>
              </w:rPr>
              <w:t>2</w:t>
            </w:r>
          </w:p>
        </w:tc>
        <w:tc>
          <w:tcPr>
            <w:tcW w:w="2407" w:type="dxa"/>
          </w:tcPr>
          <w:p w14:paraId="014863F4"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gs</m:t>
                    </m:r>
                  </m:sub>
                </m:sSub>
              </m:oMath>
            </m:oMathPara>
          </w:p>
        </w:tc>
        <w:tc>
          <w:tcPr>
            <w:tcW w:w="2408" w:type="dxa"/>
          </w:tcPr>
          <w:p w14:paraId="512F302D"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-100.0 mV</w:t>
            </w:r>
          </w:p>
        </w:tc>
      </w:tr>
      <w:tr w:rsidR="00610012" w:rsidRPr="00610012" w14:paraId="5C594F14" w14:textId="77777777">
        <w:tc>
          <w:tcPr>
            <w:tcW w:w="2407" w:type="dxa"/>
          </w:tcPr>
          <w:p w14:paraId="3FC8C4DB" w14:textId="0A5C7AD2" w:rsidR="00AE2E2F" w:rsidRPr="00610012" w:rsidRDefault="003A1902">
            <w:pPr>
              <w:tabs>
                <w:tab w:val="left" w:pos="3686"/>
              </w:tabs>
              <w:spacing w:before="0" w:after="0"/>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τ</m:t>
                    </m:r>
                  </m:e>
                  <m:sub>
                    <m:r>
                      <w:rPr>
                        <w:rFonts w:ascii="Cambria Math" w:hAnsi="Cambria Math" w:cs="Times New Roman"/>
                        <w:color w:val="000000" w:themeColor="text1"/>
                        <w:szCs w:val="24"/>
                      </w:rPr>
                      <m:t>h</m:t>
                    </m:r>
                  </m:sub>
                  <m:sup>
                    <m:r>
                      <w:rPr>
                        <w:rFonts w:ascii="Cambria Math" w:hAnsi="Cambria Math" w:cs="Times New Roman"/>
                        <w:color w:val="000000" w:themeColor="text1"/>
                        <w:szCs w:val="24"/>
                      </w:rPr>
                      <m:t>1</m:t>
                    </m:r>
                  </m:sup>
                </m:sSubSup>
              </m:oMath>
            </m:oMathPara>
          </w:p>
        </w:tc>
        <w:tc>
          <w:tcPr>
            <w:tcW w:w="2407" w:type="dxa"/>
          </w:tcPr>
          <w:p w14:paraId="1434E1CC"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0.27 </w:t>
            </w:r>
            <w:proofErr w:type="spellStart"/>
            <w:r w:rsidRPr="00610012">
              <w:rPr>
                <w:rFonts w:cs="Times New Roman"/>
                <w:color w:val="000000" w:themeColor="text1"/>
                <w:szCs w:val="24"/>
              </w:rPr>
              <w:t>ms</w:t>
            </w:r>
            <w:proofErr w:type="spellEnd"/>
          </w:p>
        </w:tc>
        <w:tc>
          <w:tcPr>
            <w:tcW w:w="2407" w:type="dxa"/>
          </w:tcPr>
          <w:p w14:paraId="4BC71996" w14:textId="28198C33" w:rsidR="00AE2E2F" w:rsidRPr="00610012" w:rsidRDefault="003A1902">
            <w:pPr>
              <w:tabs>
                <w:tab w:val="left" w:pos="3686"/>
              </w:tabs>
              <w:spacing w:before="0" w:after="0"/>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τ</m:t>
                    </m:r>
                  </m:e>
                  <m:sub>
                    <m:r>
                      <w:rPr>
                        <w:rFonts w:ascii="Cambria Math" w:hAnsi="Cambria Math" w:cs="Times New Roman"/>
                        <w:color w:val="000000" w:themeColor="text1"/>
                        <w:szCs w:val="24"/>
                      </w:rPr>
                      <m:t>h</m:t>
                    </m:r>
                  </m:sub>
                  <m:sup>
                    <m:r>
                      <w:rPr>
                        <w:rFonts w:ascii="Cambria Math" w:hAnsi="Cambria Math" w:cs="Times New Roman"/>
                        <w:color w:val="000000" w:themeColor="text1"/>
                        <w:szCs w:val="24"/>
                      </w:rPr>
                      <m:t>0</m:t>
                    </m:r>
                  </m:sup>
                </m:sSubSup>
              </m:oMath>
            </m:oMathPara>
          </w:p>
        </w:tc>
        <w:tc>
          <w:tcPr>
            <w:tcW w:w="2408" w:type="dxa"/>
          </w:tcPr>
          <w:p w14:paraId="302D7E76"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0.05 </w:t>
            </w:r>
            <w:proofErr w:type="spellStart"/>
            <w:r w:rsidRPr="00610012">
              <w:rPr>
                <w:rFonts w:cs="Times New Roman"/>
                <w:color w:val="000000" w:themeColor="text1"/>
                <w:szCs w:val="24"/>
              </w:rPr>
              <w:t>ms</w:t>
            </w:r>
            <w:proofErr w:type="spellEnd"/>
          </w:p>
        </w:tc>
      </w:tr>
      <w:tr w:rsidR="00610012" w:rsidRPr="00610012" w14:paraId="4FDC0D1A" w14:textId="77777777">
        <w:tc>
          <w:tcPr>
            <w:tcW w:w="2407" w:type="dxa"/>
          </w:tcPr>
          <w:p w14:paraId="693BA6C7" w14:textId="76D85EC9" w:rsidR="00AE2E2F" w:rsidRPr="00610012" w:rsidRDefault="003A1902">
            <w:pPr>
              <w:tabs>
                <w:tab w:val="left" w:pos="3686"/>
              </w:tabs>
              <w:spacing w:before="0" w:after="0"/>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τ</m:t>
                    </m:r>
                  </m:e>
                  <m:sub>
                    <m:r>
                      <w:rPr>
                        <w:rFonts w:ascii="Cambria Math" w:hAnsi="Cambria Math" w:cs="Times New Roman"/>
                        <w:color w:val="000000" w:themeColor="text1"/>
                        <w:szCs w:val="24"/>
                      </w:rPr>
                      <m:t>n</m:t>
                    </m:r>
                  </m:sub>
                  <m:sup>
                    <m:r>
                      <w:rPr>
                        <w:rFonts w:ascii="Cambria Math" w:hAnsi="Cambria Math" w:cs="Times New Roman"/>
                        <w:color w:val="000000" w:themeColor="text1"/>
                        <w:szCs w:val="24"/>
                      </w:rPr>
                      <m:t>1</m:t>
                    </m:r>
                  </m:sup>
                </m:sSubSup>
              </m:oMath>
            </m:oMathPara>
          </w:p>
        </w:tc>
        <w:tc>
          <w:tcPr>
            <w:tcW w:w="2407" w:type="dxa"/>
          </w:tcPr>
          <w:p w14:paraId="307A0B71"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0.27 </w:t>
            </w:r>
            <w:proofErr w:type="spellStart"/>
            <w:r w:rsidRPr="00610012">
              <w:rPr>
                <w:rFonts w:cs="Times New Roman"/>
                <w:color w:val="000000" w:themeColor="text1"/>
                <w:szCs w:val="24"/>
              </w:rPr>
              <w:t>ms</w:t>
            </w:r>
            <w:proofErr w:type="spellEnd"/>
          </w:p>
        </w:tc>
        <w:tc>
          <w:tcPr>
            <w:tcW w:w="2407" w:type="dxa"/>
          </w:tcPr>
          <w:p w14:paraId="5515BE26" w14:textId="4A9349F2" w:rsidR="00AE2E2F" w:rsidRPr="00610012" w:rsidRDefault="003A1902">
            <w:pPr>
              <w:tabs>
                <w:tab w:val="left" w:pos="3686"/>
              </w:tabs>
              <w:spacing w:before="0" w:after="0"/>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τ</m:t>
                    </m:r>
                  </m:e>
                  <m:sub>
                    <m:r>
                      <w:rPr>
                        <w:rFonts w:ascii="Cambria Math" w:hAnsi="Cambria Math" w:cs="Times New Roman"/>
                        <w:color w:val="000000" w:themeColor="text1"/>
                        <w:szCs w:val="24"/>
                      </w:rPr>
                      <m:t>n</m:t>
                    </m:r>
                  </m:sub>
                  <m:sup>
                    <m:r>
                      <w:rPr>
                        <w:rFonts w:ascii="Cambria Math" w:hAnsi="Cambria Math" w:cs="Times New Roman"/>
                        <w:color w:val="000000" w:themeColor="text1"/>
                        <w:szCs w:val="24"/>
                      </w:rPr>
                      <m:t>0</m:t>
                    </m:r>
                  </m:sup>
                </m:sSubSup>
              </m:oMath>
            </m:oMathPara>
          </w:p>
        </w:tc>
        <w:tc>
          <w:tcPr>
            <w:tcW w:w="2408" w:type="dxa"/>
          </w:tcPr>
          <w:p w14:paraId="3E2C9850"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0.1 </w:t>
            </w:r>
            <w:proofErr w:type="spellStart"/>
            <w:r w:rsidRPr="00610012">
              <w:rPr>
                <w:rFonts w:cs="Times New Roman"/>
                <w:color w:val="000000" w:themeColor="text1"/>
                <w:szCs w:val="24"/>
              </w:rPr>
              <w:t>ms</w:t>
            </w:r>
            <w:proofErr w:type="spellEnd"/>
          </w:p>
        </w:tc>
      </w:tr>
      <w:tr w:rsidR="00610012" w:rsidRPr="00610012" w14:paraId="65731F1B" w14:textId="77777777">
        <w:tc>
          <w:tcPr>
            <w:tcW w:w="2407" w:type="dxa"/>
          </w:tcPr>
          <w:p w14:paraId="47EF88B2" w14:textId="00348DE4"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τ</m:t>
                    </m:r>
                  </m:e>
                  <m:sub>
                    <m:r>
                      <w:rPr>
                        <w:rFonts w:ascii="Cambria Math" w:hAnsi="Cambria Math" w:cs="Times New Roman"/>
                        <w:color w:val="000000" w:themeColor="text1"/>
                        <w:szCs w:val="24"/>
                      </w:rPr>
                      <m:t>r</m:t>
                    </m:r>
                  </m:sub>
                </m:sSub>
              </m:oMath>
            </m:oMathPara>
          </w:p>
        </w:tc>
        <w:tc>
          <w:tcPr>
            <w:tcW w:w="2407" w:type="dxa"/>
          </w:tcPr>
          <w:p w14:paraId="4B5BDDDE"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30.0 </w:t>
            </w:r>
            <w:proofErr w:type="spellStart"/>
            <w:r w:rsidRPr="00610012">
              <w:rPr>
                <w:rFonts w:cs="Times New Roman"/>
                <w:color w:val="000000" w:themeColor="text1"/>
                <w:szCs w:val="24"/>
              </w:rPr>
              <w:t>ms</w:t>
            </w:r>
            <w:proofErr w:type="spellEnd"/>
          </w:p>
        </w:tc>
        <w:tc>
          <w:tcPr>
            <w:tcW w:w="2407" w:type="dxa"/>
          </w:tcPr>
          <w:p w14:paraId="1E5B793F" w14:textId="77777777" w:rsidR="00AE2E2F" w:rsidRPr="00610012" w:rsidRDefault="00AE2E2F">
            <w:pPr>
              <w:tabs>
                <w:tab w:val="left" w:pos="3686"/>
              </w:tabs>
              <w:spacing w:before="0" w:after="0"/>
              <w:jc w:val="both"/>
              <w:rPr>
                <w:rFonts w:cs="Times New Roman"/>
                <w:color w:val="000000" w:themeColor="text1"/>
                <w:szCs w:val="24"/>
              </w:rPr>
            </w:pPr>
          </w:p>
        </w:tc>
        <w:tc>
          <w:tcPr>
            <w:tcW w:w="2408" w:type="dxa"/>
          </w:tcPr>
          <w:p w14:paraId="3647396F" w14:textId="77777777" w:rsidR="00AE2E2F" w:rsidRPr="00610012" w:rsidRDefault="00AE2E2F">
            <w:pPr>
              <w:tabs>
                <w:tab w:val="left" w:pos="3686"/>
              </w:tabs>
              <w:spacing w:before="0" w:after="0"/>
              <w:jc w:val="right"/>
              <w:rPr>
                <w:rFonts w:cs="Times New Roman"/>
                <w:color w:val="000000" w:themeColor="text1"/>
                <w:szCs w:val="24"/>
              </w:rPr>
            </w:pPr>
          </w:p>
        </w:tc>
      </w:tr>
      <w:tr w:rsidR="00610012" w:rsidRPr="00610012" w14:paraId="4D62546F" w14:textId="77777777">
        <w:tc>
          <w:tcPr>
            <w:tcW w:w="2407" w:type="dxa"/>
          </w:tcPr>
          <w:p w14:paraId="0C7D291A" w14:textId="7D2862D9" w:rsidR="00AE2E2F" w:rsidRPr="00610012" w:rsidRDefault="003A1902">
            <w:pPr>
              <w:tabs>
                <w:tab w:val="left" w:pos="3686"/>
              </w:tabs>
              <w:spacing w:before="0" w:after="0"/>
              <w:jc w:val="both"/>
              <w:rPr>
                <w:rFonts w:cs="Times New Roman"/>
                <w:i/>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eastAsia="Cambria Math" w:hAnsi="Cambria Math" w:cs="Times New Roman"/>
                        <w:color w:val="000000" w:themeColor="text1"/>
                        <w:szCs w:val="24"/>
                        <w:lang w:eastAsia="de-DE"/>
                      </w:rPr>
                      <m:t>φ</m:t>
                    </m:r>
                  </m:e>
                  <m:sub>
                    <m:r>
                      <w:rPr>
                        <w:rFonts w:ascii="Cambria Math" w:hAnsi="Cambria Math" w:cs="Times New Roman"/>
                        <w:color w:val="000000" w:themeColor="text1"/>
                        <w:szCs w:val="24"/>
                      </w:rPr>
                      <m:t>h</m:t>
                    </m:r>
                  </m:sub>
                </m:sSub>
              </m:oMath>
            </m:oMathPara>
          </w:p>
        </w:tc>
        <w:tc>
          <w:tcPr>
            <w:tcW w:w="2407" w:type="dxa"/>
          </w:tcPr>
          <w:p w14:paraId="389E7934"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0.05</w:t>
            </w:r>
          </w:p>
        </w:tc>
        <w:tc>
          <w:tcPr>
            <w:tcW w:w="2407" w:type="dxa"/>
          </w:tcPr>
          <w:p w14:paraId="329C808E" w14:textId="4CEB593B"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eastAsia="Cambria Math" w:hAnsi="Cambria Math" w:cs="Times New Roman"/>
                        <w:color w:val="000000" w:themeColor="text1"/>
                        <w:szCs w:val="24"/>
                        <w:lang w:eastAsia="de-DE"/>
                      </w:rPr>
                      <m:t>φ</m:t>
                    </m:r>
                  </m:e>
                  <m:sub>
                    <m:r>
                      <w:rPr>
                        <w:rFonts w:ascii="Cambria Math" w:hAnsi="Cambria Math" w:cs="Times New Roman"/>
                        <w:color w:val="000000" w:themeColor="text1"/>
                        <w:szCs w:val="24"/>
                      </w:rPr>
                      <m:t>n</m:t>
                    </m:r>
                  </m:sub>
                </m:sSub>
              </m:oMath>
            </m:oMathPara>
          </w:p>
        </w:tc>
        <w:tc>
          <w:tcPr>
            <w:tcW w:w="2408" w:type="dxa"/>
          </w:tcPr>
          <w:p w14:paraId="38FC980F"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0.05</w:t>
            </w:r>
          </w:p>
        </w:tc>
      </w:tr>
      <w:tr w:rsidR="00610012" w:rsidRPr="00610012" w14:paraId="20268896" w14:textId="77777777">
        <w:tc>
          <w:tcPr>
            <w:tcW w:w="2407" w:type="dxa"/>
          </w:tcPr>
          <w:p w14:paraId="504E101F" w14:textId="1F06C7FC"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eastAsia="Cambria Math" w:hAnsi="Cambria Math" w:cs="Times New Roman"/>
                        <w:color w:val="000000" w:themeColor="text1"/>
                        <w:szCs w:val="24"/>
                        <w:lang w:eastAsia="de-DE"/>
                      </w:rPr>
                      <m:t>φ</m:t>
                    </m:r>
                  </m:e>
                  <m:sub>
                    <m:r>
                      <w:rPr>
                        <w:rFonts w:ascii="Cambria Math" w:hAnsi="Cambria Math" w:cs="Times New Roman"/>
                        <w:color w:val="000000" w:themeColor="text1"/>
                        <w:szCs w:val="24"/>
                      </w:rPr>
                      <m:t>r</m:t>
                    </m:r>
                  </m:sub>
                </m:sSub>
              </m:oMath>
            </m:oMathPara>
          </w:p>
        </w:tc>
        <w:tc>
          <w:tcPr>
            <w:tcW w:w="2407" w:type="dxa"/>
          </w:tcPr>
          <w:p w14:paraId="5DCD6162" w14:textId="77777777" w:rsidR="00AE2E2F" w:rsidRPr="00610012" w:rsidRDefault="00C65CE5">
            <w:pPr>
              <w:tabs>
                <w:tab w:val="left" w:pos="3686"/>
              </w:tabs>
              <w:spacing w:before="0" w:after="0"/>
              <w:jc w:val="right"/>
              <w:rPr>
                <w:rFonts w:cs="Times New Roman"/>
                <w:color w:val="000000" w:themeColor="text1"/>
                <w:szCs w:val="24"/>
              </w:rPr>
            </w:pPr>
            <m:oMath>
              <m:r>
                <w:rPr>
                  <w:rFonts w:ascii="Cambria Math" w:hAnsi="Cambria Math" w:cs="Times New Roman"/>
                  <w:color w:val="000000" w:themeColor="text1"/>
                  <w:szCs w:val="24"/>
                </w:rPr>
                <m:t>1.0</m:t>
              </m:r>
            </m:oMath>
            <w:r w:rsidRPr="00610012">
              <w:rPr>
                <w:rFonts w:cs="Times New Roman"/>
                <w:color w:val="000000" w:themeColor="text1"/>
                <w:szCs w:val="24"/>
              </w:rPr>
              <w:t xml:space="preserve"> </w:t>
            </w:r>
          </w:p>
        </w:tc>
        <w:tc>
          <w:tcPr>
            <w:tcW w:w="2407" w:type="dxa"/>
          </w:tcPr>
          <w:p w14:paraId="2B1DCA90" w14:textId="77777777" w:rsidR="00AE2E2F" w:rsidRPr="00610012" w:rsidRDefault="00AE2E2F">
            <w:pPr>
              <w:tabs>
                <w:tab w:val="left" w:pos="3686"/>
              </w:tabs>
              <w:spacing w:before="0" w:after="0"/>
              <w:jc w:val="both"/>
              <w:rPr>
                <w:rFonts w:cs="Times New Roman"/>
                <w:color w:val="000000" w:themeColor="text1"/>
                <w:szCs w:val="24"/>
              </w:rPr>
            </w:pPr>
          </w:p>
        </w:tc>
        <w:tc>
          <w:tcPr>
            <w:tcW w:w="2408" w:type="dxa"/>
          </w:tcPr>
          <w:p w14:paraId="30F0C79C" w14:textId="77777777" w:rsidR="00AE2E2F" w:rsidRPr="00610012" w:rsidRDefault="00AE2E2F">
            <w:pPr>
              <w:tabs>
                <w:tab w:val="left" w:pos="3686"/>
              </w:tabs>
              <w:spacing w:before="0" w:after="0"/>
              <w:jc w:val="right"/>
              <w:rPr>
                <w:rFonts w:cs="Times New Roman"/>
                <w:color w:val="000000" w:themeColor="text1"/>
                <w:szCs w:val="24"/>
              </w:rPr>
            </w:pPr>
          </w:p>
        </w:tc>
      </w:tr>
      <w:tr w:rsidR="00610012" w:rsidRPr="00610012" w14:paraId="073446AA" w14:textId="77777777">
        <w:tc>
          <w:tcPr>
            <w:tcW w:w="2407" w:type="dxa"/>
          </w:tcPr>
          <w:p w14:paraId="01529EF7"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τ</m:t>
                    </m:r>
                  </m:e>
                  <m:sub>
                    <m:r>
                      <m:rPr>
                        <m:sty m:val="p"/>
                      </m:rPr>
                      <w:rPr>
                        <w:rFonts w:ascii="Cambria Math" w:hAnsi="Cambria Math" w:cs="Times New Roman"/>
                        <w:color w:val="000000" w:themeColor="text1"/>
                        <w:szCs w:val="24"/>
                      </w:rPr>
                      <m:t>gg</m:t>
                    </m:r>
                  </m:sub>
                </m:sSub>
              </m:oMath>
            </m:oMathPara>
          </w:p>
        </w:tc>
        <w:tc>
          <w:tcPr>
            <w:tcW w:w="2407" w:type="dxa"/>
          </w:tcPr>
          <w:p w14:paraId="59A90D3F" w14:textId="40D7BF90" w:rsidR="00AE2E2F" w:rsidRPr="00610012" w:rsidRDefault="00C65CE5">
            <w:pPr>
              <w:tabs>
                <w:tab w:val="left" w:pos="3686"/>
              </w:tabs>
              <w:spacing w:before="0" w:after="0"/>
              <w:jc w:val="right"/>
              <w:rPr>
                <w:rFonts w:cs="Times New Roman"/>
                <w:color w:val="000000" w:themeColor="text1"/>
                <w:szCs w:val="24"/>
                <w:lang w:val="en-DE"/>
              </w:rPr>
            </w:pPr>
            <w:r w:rsidRPr="00610012">
              <w:rPr>
                <w:rFonts w:cs="Times New Roman"/>
                <w:color w:val="000000" w:themeColor="text1"/>
                <w:szCs w:val="24"/>
              </w:rPr>
              <w:t>3.3</w:t>
            </w:r>
            <w:r w:rsidR="004E7039" w:rsidRPr="00610012">
              <w:rPr>
                <w:rFonts w:cs="Times New Roman"/>
                <w:color w:val="000000" w:themeColor="text1"/>
                <w:szCs w:val="24"/>
                <w:lang w:val="en-DE"/>
              </w:rPr>
              <w:t xml:space="preserve"> </w:t>
            </w:r>
            <w:proofErr w:type="spellStart"/>
            <w:r w:rsidR="004E7039" w:rsidRPr="00610012">
              <w:rPr>
                <w:rFonts w:cs="Times New Roman"/>
                <w:color w:val="000000" w:themeColor="text1"/>
                <w:szCs w:val="24"/>
                <w:lang w:val="en-DE"/>
              </w:rPr>
              <w:t>ms</w:t>
            </w:r>
            <w:proofErr w:type="spellEnd"/>
          </w:p>
        </w:tc>
        <w:tc>
          <w:tcPr>
            <w:tcW w:w="2407" w:type="dxa"/>
          </w:tcPr>
          <w:p w14:paraId="456E0779"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τ</m:t>
                    </m:r>
                  </m:e>
                  <m:sub>
                    <m:r>
                      <m:rPr>
                        <m:sty m:val="p"/>
                      </m:rPr>
                      <w:rPr>
                        <w:rFonts w:ascii="Cambria Math" w:hAnsi="Cambria Math" w:cs="Times New Roman"/>
                        <w:color w:val="000000" w:themeColor="text1"/>
                        <w:szCs w:val="24"/>
                      </w:rPr>
                      <m:t>sg</m:t>
                    </m:r>
                  </m:sub>
                </m:sSub>
              </m:oMath>
            </m:oMathPara>
          </w:p>
        </w:tc>
        <w:tc>
          <w:tcPr>
            <w:tcW w:w="2408" w:type="dxa"/>
          </w:tcPr>
          <w:p w14:paraId="29218D3E" w14:textId="537726C6" w:rsidR="00AE2E2F" w:rsidRPr="00610012" w:rsidRDefault="00C65CE5">
            <w:pPr>
              <w:tabs>
                <w:tab w:val="left" w:pos="3686"/>
              </w:tabs>
              <w:spacing w:before="0" w:after="0"/>
              <w:jc w:val="right"/>
              <w:rPr>
                <w:rFonts w:cs="Times New Roman"/>
                <w:color w:val="000000" w:themeColor="text1"/>
                <w:szCs w:val="24"/>
                <w:lang w:val="en-DE"/>
              </w:rPr>
            </w:pPr>
            <w:r w:rsidRPr="00610012">
              <w:rPr>
                <w:rFonts w:cs="Times New Roman"/>
                <w:color w:val="000000" w:themeColor="text1"/>
                <w:szCs w:val="24"/>
              </w:rPr>
              <w:t>1.0</w:t>
            </w:r>
            <w:r w:rsidR="004E7039" w:rsidRPr="00610012">
              <w:rPr>
                <w:rFonts w:cs="Times New Roman"/>
                <w:color w:val="000000" w:themeColor="text1"/>
                <w:szCs w:val="24"/>
                <w:lang w:val="en-DE"/>
              </w:rPr>
              <w:t xml:space="preserve"> </w:t>
            </w:r>
            <w:proofErr w:type="spellStart"/>
            <w:r w:rsidR="004E7039" w:rsidRPr="00610012">
              <w:rPr>
                <w:rFonts w:cs="Times New Roman"/>
                <w:color w:val="000000" w:themeColor="text1"/>
                <w:szCs w:val="24"/>
                <w:lang w:val="en-DE"/>
              </w:rPr>
              <w:t>ms</w:t>
            </w:r>
            <w:proofErr w:type="spellEnd"/>
          </w:p>
        </w:tc>
      </w:tr>
      <w:tr w:rsidR="00610012" w:rsidRPr="00610012" w14:paraId="3B20533C" w14:textId="77777777">
        <w:tc>
          <w:tcPr>
            <w:tcW w:w="2407" w:type="dxa"/>
          </w:tcPr>
          <w:p w14:paraId="7B8791A4"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m:rPr>
                        <m:sty m:val="p"/>
                      </m:rPr>
                      <w:rPr>
                        <w:rFonts w:ascii="Cambria Math" w:hAnsi="Cambria Math" w:cs="Times New Roman"/>
                        <w:color w:val="000000" w:themeColor="text1"/>
                        <w:szCs w:val="24"/>
                      </w:rPr>
                      <m:t>m</m:t>
                    </m:r>
                  </m:sub>
                </m:sSub>
              </m:oMath>
            </m:oMathPara>
          </w:p>
        </w:tc>
        <w:tc>
          <w:tcPr>
            <w:tcW w:w="2407" w:type="dxa"/>
          </w:tcPr>
          <w:p w14:paraId="1AEB2F06"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-37.0</w:t>
            </w:r>
          </w:p>
        </w:tc>
        <w:tc>
          <w:tcPr>
            <w:tcW w:w="2407" w:type="dxa"/>
          </w:tcPr>
          <w:p w14:paraId="4B77C921"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m:rPr>
                        <m:sty m:val="p"/>
                      </m:rPr>
                      <w:rPr>
                        <w:rFonts w:ascii="Cambria Math" w:hAnsi="Cambria Math" w:cs="Times New Roman"/>
                        <w:color w:val="000000" w:themeColor="text1"/>
                        <w:szCs w:val="24"/>
                      </w:rPr>
                      <m:t>m</m:t>
                    </m:r>
                  </m:sub>
                </m:sSub>
              </m:oMath>
            </m:oMathPara>
          </w:p>
        </w:tc>
        <w:tc>
          <w:tcPr>
            <w:tcW w:w="2408" w:type="dxa"/>
          </w:tcPr>
          <w:p w14:paraId="4D6BC98F"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10.0</w:t>
            </w:r>
          </w:p>
        </w:tc>
      </w:tr>
      <w:tr w:rsidR="00610012" w:rsidRPr="00610012" w14:paraId="204DDDF8" w14:textId="77777777">
        <w:tc>
          <w:tcPr>
            <w:tcW w:w="2407" w:type="dxa"/>
          </w:tcPr>
          <w:p w14:paraId="6225E7EE"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m:rPr>
                        <m:sty m:val="p"/>
                      </m:rPr>
                      <w:rPr>
                        <w:rFonts w:ascii="Cambria Math" w:hAnsi="Cambria Math" w:cs="Times New Roman"/>
                        <w:color w:val="000000" w:themeColor="text1"/>
                        <w:szCs w:val="24"/>
                      </w:rPr>
                      <m:t>h</m:t>
                    </m:r>
                  </m:sub>
                </m:sSub>
              </m:oMath>
            </m:oMathPara>
          </w:p>
        </w:tc>
        <w:tc>
          <w:tcPr>
            <w:tcW w:w="2407" w:type="dxa"/>
          </w:tcPr>
          <w:p w14:paraId="633F8C12"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-58.0</w:t>
            </w:r>
          </w:p>
        </w:tc>
        <w:tc>
          <w:tcPr>
            <w:tcW w:w="2407" w:type="dxa"/>
          </w:tcPr>
          <w:p w14:paraId="17ED7CFC"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m:rPr>
                        <m:sty m:val="p"/>
                      </m:rPr>
                      <w:rPr>
                        <w:rFonts w:ascii="Cambria Math" w:hAnsi="Cambria Math" w:cs="Times New Roman"/>
                        <w:color w:val="000000" w:themeColor="text1"/>
                        <w:szCs w:val="24"/>
                      </w:rPr>
                      <m:t>h</m:t>
                    </m:r>
                  </m:sub>
                </m:sSub>
              </m:oMath>
            </m:oMathPara>
          </w:p>
        </w:tc>
        <w:tc>
          <w:tcPr>
            <w:tcW w:w="2408" w:type="dxa"/>
          </w:tcPr>
          <w:p w14:paraId="0CE09F59"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-12.0</w:t>
            </w:r>
          </w:p>
        </w:tc>
      </w:tr>
      <w:tr w:rsidR="00610012" w:rsidRPr="00610012" w14:paraId="6EF66E37" w14:textId="77777777">
        <w:tc>
          <w:tcPr>
            <w:tcW w:w="2407" w:type="dxa"/>
          </w:tcPr>
          <w:p w14:paraId="66493541"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m:rPr>
                        <m:sty m:val="p"/>
                      </m:rPr>
                      <w:rPr>
                        <w:rFonts w:ascii="Cambria Math" w:hAnsi="Cambria Math" w:cs="Times New Roman"/>
                        <w:color w:val="000000" w:themeColor="text1"/>
                        <w:szCs w:val="24"/>
                      </w:rPr>
                      <m:t>n</m:t>
                    </m:r>
                  </m:sub>
                </m:sSub>
              </m:oMath>
            </m:oMathPara>
          </w:p>
        </w:tc>
        <w:tc>
          <w:tcPr>
            <w:tcW w:w="2407" w:type="dxa"/>
          </w:tcPr>
          <w:p w14:paraId="218CE75D"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-50.0</w:t>
            </w:r>
          </w:p>
        </w:tc>
        <w:tc>
          <w:tcPr>
            <w:tcW w:w="2407" w:type="dxa"/>
          </w:tcPr>
          <w:p w14:paraId="3594B214"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m:rPr>
                        <m:sty m:val="p"/>
                      </m:rPr>
                      <w:rPr>
                        <w:rFonts w:ascii="Cambria Math" w:hAnsi="Cambria Math" w:cs="Times New Roman"/>
                        <w:color w:val="000000" w:themeColor="text1"/>
                        <w:szCs w:val="24"/>
                      </w:rPr>
                      <m:t>n</m:t>
                    </m:r>
                  </m:sub>
                </m:sSub>
              </m:oMath>
            </m:oMathPara>
          </w:p>
        </w:tc>
        <w:tc>
          <w:tcPr>
            <w:tcW w:w="2408" w:type="dxa"/>
          </w:tcPr>
          <w:p w14:paraId="24807432"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14.0</w:t>
            </w:r>
          </w:p>
        </w:tc>
      </w:tr>
      <w:tr w:rsidR="00610012" w:rsidRPr="00610012" w14:paraId="0FAA7198" w14:textId="77777777">
        <w:tc>
          <w:tcPr>
            <w:tcW w:w="2407" w:type="dxa"/>
          </w:tcPr>
          <w:p w14:paraId="7EEF1BD4"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m:rPr>
                        <m:sty m:val="p"/>
                      </m:rPr>
                      <w:rPr>
                        <w:rFonts w:ascii="Cambria Math" w:hAnsi="Cambria Math" w:cs="Times New Roman"/>
                        <w:color w:val="000000" w:themeColor="text1"/>
                        <w:szCs w:val="24"/>
                      </w:rPr>
                      <m:t>r</m:t>
                    </m:r>
                  </m:sub>
                </m:sSub>
              </m:oMath>
            </m:oMathPara>
          </w:p>
        </w:tc>
        <w:tc>
          <w:tcPr>
            <w:tcW w:w="2407" w:type="dxa"/>
          </w:tcPr>
          <w:p w14:paraId="360B8AEE"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-70.0</w:t>
            </w:r>
          </w:p>
        </w:tc>
        <w:tc>
          <w:tcPr>
            <w:tcW w:w="2407" w:type="dxa"/>
          </w:tcPr>
          <w:p w14:paraId="73DD8A20"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m:rPr>
                        <m:sty m:val="p"/>
                      </m:rPr>
                      <w:rPr>
                        <w:rFonts w:ascii="Cambria Math" w:hAnsi="Cambria Math" w:cs="Times New Roman"/>
                        <w:color w:val="000000" w:themeColor="text1"/>
                        <w:szCs w:val="24"/>
                      </w:rPr>
                      <m:t>r</m:t>
                    </m:r>
                  </m:sub>
                </m:sSub>
              </m:oMath>
            </m:oMathPara>
          </w:p>
        </w:tc>
        <w:tc>
          <w:tcPr>
            <w:tcW w:w="2408" w:type="dxa"/>
          </w:tcPr>
          <w:p w14:paraId="1508DA46"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-2.0</w:t>
            </w:r>
          </w:p>
        </w:tc>
      </w:tr>
      <w:tr w:rsidR="00610012" w:rsidRPr="00610012" w14:paraId="0EB71F74" w14:textId="77777777">
        <w:tc>
          <w:tcPr>
            <w:tcW w:w="2407" w:type="dxa"/>
          </w:tcPr>
          <w:p w14:paraId="18D4969C"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m:rPr>
                        <m:sty m:val="p"/>
                      </m:rPr>
                      <w:rPr>
                        <w:rFonts w:ascii="Cambria Math" w:hAnsi="Cambria Math" w:cs="Times New Roman"/>
                        <w:color w:val="000000" w:themeColor="text1"/>
                        <w:szCs w:val="24"/>
                      </w:rPr>
                      <m:t>a</m:t>
                    </m:r>
                  </m:sub>
                </m:sSub>
              </m:oMath>
            </m:oMathPara>
          </w:p>
        </w:tc>
        <w:tc>
          <w:tcPr>
            <w:tcW w:w="2407" w:type="dxa"/>
          </w:tcPr>
          <w:p w14:paraId="2EA28F9A"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-57.0</w:t>
            </w:r>
          </w:p>
        </w:tc>
        <w:tc>
          <w:tcPr>
            <w:tcW w:w="2407" w:type="dxa"/>
          </w:tcPr>
          <w:p w14:paraId="2D6BD1E0"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m:rPr>
                        <m:sty m:val="p"/>
                      </m:rPr>
                      <w:rPr>
                        <w:rFonts w:ascii="Cambria Math" w:hAnsi="Cambria Math" w:cs="Times New Roman"/>
                        <w:color w:val="000000" w:themeColor="text1"/>
                        <w:szCs w:val="24"/>
                      </w:rPr>
                      <m:t>a</m:t>
                    </m:r>
                  </m:sub>
                </m:sSub>
              </m:oMath>
            </m:oMathPara>
          </w:p>
        </w:tc>
        <w:tc>
          <w:tcPr>
            <w:tcW w:w="2408" w:type="dxa"/>
          </w:tcPr>
          <w:p w14:paraId="1C5F4A6E"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2.0</w:t>
            </w:r>
          </w:p>
        </w:tc>
      </w:tr>
      <w:tr w:rsidR="00610012" w:rsidRPr="00610012" w14:paraId="1A783933" w14:textId="77777777">
        <w:tc>
          <w:tcPr>
            <w:tcW w:w="2407" w:type="dxa"/>
          </w:tcPr>
          <w:p w14:paraId="223E4F2D"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m:rPr>
                        <m:sty m:val="p"/>
                      </m:rPr>
                      <w:rPr>
                        <w:rFonts w:ascii="Cambria Math" w:hAnsi="Cambria Math" w:cs="Times New Roman"/>
                        <w:color w:val="000000" w:themeColor="text1"/>
                        <w:szCs w:val="24"/>
                      </w:rPr>
                      <m:t>s</m:t>
                    </m:r>
                  </m:sub>
                </m:sSub>
              </m:oMath>
            </m:oMathPara>
          </w:p>
        </w:tc>
        <w:tc>
          <w:tcPr>
            <w:tcW w:w="2407" w:type="dxa"/>
          </w:tcPr>
          <w:p w14:paraId="4B70475D"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-35.0</w:t>
            </w:r>
          </w:p>
        </w:tc>
        <w:tc>
          <w:tcPr>
            <w:tcW w:w="2407" w:type="dxa"/>
          </w:tcPr>
          <w:p w14:paraId="2D6EA8B5"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o</m:t>
                    </m:r>
                  </m:e>
                  <m:sub>
                    <m:r>
                      <m:rPr>
                        <m:sty m:val="p"/>
                      </m:rPr>
                      <w:rPr>
                        <w:rFonts w:ascii="Cambria Math" w:hAnsi="Cambria Math" w:cs="Times New Roman"/>
                        <w:color w:val="000000" w:themeColor="text1"/>
                        <w:szCs w:val="24"/>
                      </w:rPr>
                      <m:t>s</m:t>
                    </m:r>
                  </m:sub>
                </m:sSub>
              </m:oMath>
            </m:oMathPara>
          </w:p>
        </w:tc>
        <w:tc>
          <w:tcPr>
            <w:tcW w:w="2408" w:type="dxa"/>
          </w:tcPr>
          <w:p w14:paraId="094AED24"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2.0</w:t>
            </w:r>
          </w:p>
        </w:tc>
      </w:tr>
      <w:tr w:rsidR="00610012" w:rsidRPr="00610012" w14:paraId="3848C5EC" w14:textId="77777777">
        <w:tc>
          <w:tcPr>
            <w:tcW w:w="2407" w:type="dxa"/>
          </w:tcPr>
          <w:p w14:paraId="11371912" w14:textId="1327A06C" w:rsidR="00AE2E2F" w:rsidRPr="00610012" w:rsidRDefault="003A1902">
            <w:pPr>
              <w:tabs>
                <w:tab w:val="left" w:pos="3686"/>
              </w:tabs>
              <w:spacing w:before="0" w:after="0"/>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θ</m:t>
                    </m:r>
                  </m:e>
                  <m:sub>
                    <m:r>
                      <w:rPr>
                        <w:rFonts w:ascii="Cambria Math" w:hAnsi="Cambria Math" w:cs="Times New Roman"/>
                        <w:color w:val="000000" w:themeColor="text1"/>
                        <w:szCs w:val="24"/>
                      </w:rPr>
                      <m:t>h</m:t>
                    </m:r>
                  </m:sub>
                  <m:sup>
                    <m:r>
                      <w:rPr>
                        <w:rFonts w:ascii="Cambria Math" w:hAnsi="Cambria Math" w:cs="Times New Roman"/>
                        <w:color w:val="000000" w:themeColor="text1"/>
                        <w:szCs w:val="24"/>
                      </w:rPr>
                      <m:t>τ</m:t>
                    </m:r>
                  </m:sup>
                </m:sSubSup>
              </m:oMath>
            </m:oMathPara>
          </w:p>
        </w:tc>
        <w:tc>
          <w:tcPr>
            <w:tcW w:w="2407" w:type="dxa"/>
          </w:tcPr>
          <w:p w14:paraId="09C97C38"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-40.0</w:t>
            </w:r>
          </w:p>
        </w:tc>
        <w:tc>
          <w:tcPr>
            <w:tcW w:w="2407" w:type="dxa"/>
          </w:tcPr>
          <w:p w14:paraId="11AF180F" w14:textId="204B290E" w:rsidR="00AE2E2F" w:rsidRPr="00610012" w:rsidRDefault="003A1902">
            <w:pPr>
              <w:tabs>
                <w:tab w:val="left" w:pos="3686"/>
              </w:tabs>
              <w:spacing w:before="0" w:after="0"/>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ο</m:t>
                    </m:r>
                  </m:e>
                  <m:sub>
                    <m:r>
                      <w:rPr>
                        <w:rFonts w:ascii="Cambria Math" w:hAnsi="Cambria Math" w:cs="Times New Roman"/>
                        <w:color w:val="000000" w:themeColor="text1"/>
                        <w:szCs w:val="24"/>
                      </w:rPr>
                      <m:t>h</m:t>
                    </m:r>
                  </m:sub>
                  <m:sup>
                    <m:r>
                      <w:rPr>
                        <w:rFonts w:ascii="Cambria Math" w:hAnsi="Cambria Math" w:cs="Times New Roman"/>
                        <w:color w:val="000000" w:themeColor="text1"/>
                        <w:szCs w:val="24"/>
                      </w:rPr>
                      <m:t>τ</m:t>
                    </m:r>
                  </m:sup>
                </m:sSubSup>
              </m:oMath>
            </m:oMathPara>
          </w:p>
        </w:tc>
        <w:tc>
          <w:tcPr>
            <w:tcW w:w="2408" w:type="dxa"/>
          </w:tcPr>
          <w:p w14:paraId="053AB545"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-12.0</w:t>
            </w:r>
          </w:p>
        </w:tc>
      </w:tr>
      <w:tr w:rsidR="00610012" w:rsidRPr="00610012" w14:paraId="5BBEDEB4" w14:textId="77777777">
        <w:tc>
          <w:tcPr>
            <w:tcW w:w="2407" w:type="dxa"/>
          </w:tcPr>
          <w:p w14:paraId="5ADDCEDE" w14:textId="10E38A99" w:rsidR="00AE2E2F" w:rsidRPr="00610012" w:rsidRDefault="003A1902">
            <w:pPr>
              <w:tabs>
                <w:tab w:val="left" w:pos="3686"/>
              </w:tabs>
              <w:spacing w:before="0" w:after="0"/>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θ</m:t>
                    </m:r>
                  </m:e>
                  <m:sub>
                    <m:r>
                      <w:rPr>
                        <w:rFonts w:ascii="Cambria Math" w:hAnsi="Cambria Math" w:cs="Times New Roman"/>
                        <w:color w:val="000000" w:themeColor="text1"/>
                        <w:szCs w:val="24"/>
                      </w:rPr>
                      <m:t>n</m:t>
                    </m:r>
                  </m:sub>
                  <m:sup>
                    <m:r>
                      <w:rPr>
                        <w:rFonts w:ascii="Cambria Math" w:hAnsi="Cambria Math" w:cs="Times New Roman"/>
                        <w:color w:val="000000" w:themeColor="text1"/>
                        <w:szCs w:val="24"/>
                      </w:rPr>
                      <m:t>τ</m:t>
                    </m:r>
                  </m:sup>
                </m:sSubSup>
              </m:oMath>
            </m:oMathPara>
          </w:p>
        </w:tc>
        <w:tc>
          <w:tcPr>
            <w:tcW w:w="2407" w:type="dxa"/>
          </w:tcPr>
          <w:p w14:paraId="0A55F637"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-40.0</w:t>
            </w:r>
          </w:p>
        </w:tc>
        <w:tc>
          <w:tcPr>
            <w:tcW w:w="2407" w:type="dxa"/>
          </w:tcPr>
          <w:p w14:paraId="1ED34E1C" w14:textId="2F7E819F" w:rsidR="00AE2E2F" w:rsidRPr="00610012" w:rsidRDefault="003A1902">
            <w:pPr>
              <w:tabs>
                <w:tab w:val="left" w:pos="3686"/>
              </w:tabs>
              <w:spacing w:before="0" w:after="0"/>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ο</m:t>
                    </m:r>
                  </m:e>
                  <m:sub>
                    <m:r>
                      <w:rPr>
                        <w:rFonts w:ascii="Cambria Math" w:hAnsi="Cambria Math" w:cs="Times New Roman"/>
                        <w:color w:val="000000" w:themeColor="text1"/>
                        <w:szCs w:val="24"/>
                      </w:rPr>
                      <m:t>n</m:t>
                    </m:r>
                  </m:sub>
                  <m:sup>
                    <m:r>
                      <w:rPr>
                        <w:rFonts w:ascii="Cambria Math" w:hAnsi="Cambria Math" w:cs="Times New Roman"/>
                        <w:color w:val="000000" w:themeColor="text1"/>
                        <w:szCs w:val="24"/>
                      </w:rPr>
                      <m:t>τ</m:t>
                    </m:r>
                  </m:sup>
                </m:sSubSup>
              </m:oMath>
            </m:oMathPara>
          </w:p>
        </w:tc>
        <w:tc>
          <w:tcPr>
            <w:tcW w:w="2408" w:type="dxa"/>
          </w:tcPr>
          <w:p w14:paraId="2B684F81"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-12.0</w:t>
            </w:r>
          </w:p>
        </w:tc>
      </w:tr>
      <w:tr w:rsidR="00610012" w:rsidRPr="00610012" w14:paraId="4730A463" w14:textId="77777777">
        <w:tc>
          <w:tcPr>
            <w:tcW w:w="2407" w:type="dxa"/>
          </w:tcPr>
          <w:p w14:paraId="44728D3C"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k</m:t>
                    </m:r>
                  </m:e>
                  <m:sub>
                    <m:r>
                      <w:rPr>
                        <w:rFonts w:ascii="Cambria Math" w:hAnsi="Cambria Math" w:cs="Times New Roman"/>
                        <w:color w:val="000000" w:themeColor="text1"/>
                        <w:szCs w:val="24"/>
                      </w:rPr>
                      <m:t>1</m:t>
                    </m:r>
                  </m:sub>
                </m:sSub>
              </m:oMath>
            </m:oMathPara>
          </w:p>
        </w:tc>
        <w:tc>
          <w:tcPr>
            <w:tcW w:w="2407" w:type="dxa"/>
          </w:tcPr>
          <w:p w14:paraId="79A11B92"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30.0</w:t>
            </w:r>
          </w:p>
        </w:tc>
        <w:tc>
          <w:tcPr>
            <w:tcW w:w="2407" w:type="dxa"/>
          </w:tcPr>
          <w:p w14:paraId="34ABBC02"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k</m:t>
                    </m:r>
                  </m:e>
                  <m:sub>
                    <m:r>
                      <m:rPr>
                        <m:sty m:val="p"/>
                      </m:rPr>
                      <w:rPr>
                        <w:rFonts w:ascii="Cambria Math" w:hAnsi="Cambria Math" w:cs="Times New Roman"/>
                        <w:color w:val="000000" w:themeColor="text1"/>
                        <w:szCs w:val="24"/>
                      </w:rPr>
                      <m:t>Ca</m:t>
                    </m:r>
                  </m:sub>
                </m:sSub>
              </m:oMath>
            </m:oMathPara>
          </w:p>
        </w:tc>
        <w:tc>
          <w:tcPr>
            <w:tcW w:w="2408" w:type="dxa"/>
          </w:tcPr>
          <w:p w14:paraId="3B5857E4"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20.0</w:t>
            </w:r>
          </w:p>
        </w:tc>
      </w:tr>
      <w:tr w:rsidR="00AE2E2F" w:rsidRPr="00610012" w14:paraId="3D05D16B" w14:textId="77777777">
        <w:tc>
          <w:tcPr>
            <w:tcW w:w="2407" w:type="dxa"/>
          </w:tcPr>
          <w:p w14:paraId="301F4CA6" w14:textId="77777777" w:rsidR="00AE2E2F" w:rsidRPr="00610012" w:rsidRDefault="00C65CE5">
            <w:pPr>
              <w:tabs>
                <w:tab w:val="left" w:pos="3686"/>
              </w:tabs>
              <w:spacing w:before="0" w:after="0"/>
              <w:jc w:val="both"/>
              <w:rPr>
                <w:rFonts w:cs="Times New Roman"/>
                <w:color w:val="000000" w:themeColor="text1"/>
                <w:szCs w:val="24"/>
              </w:rPr>
            </w:pPr>
            <m:oMathPara>
              <m:oMath>
                <m:r>
                  <m:rPr>
                    <m:sty m:val="p"/>
                  </m:rPr>
                  <w:rPr>
                    <w:rFonts w:ascii="Cambria Math" w:hAnsi="Cambria Math" w:cs="Times New Roman"/>
                    <w:color w:val="000000" w:themeColor="text1"/>
                    <w:szCs w:val="24"/>
                  </w:rPr>
                  <m:t>Γ</m:t>
                </m:r>
              </m:oMath>
            </m:oMathPara>
          </w:p>
        </w:tc>
        <w:tc>
          <w:tcPr>
            <w:tcW w:w="2407" w:type="dxa"/>
          </w:tcPr>
          <w:p w14:paraId="3BCC383F"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 xml:space="preserve">1 </w:t>
            </w:r>
            <m:oMath>
              <m:r>
                <w:rPr>
                  <w:rFonts w:ascii="Cambria Math" w:hAnsi="Cambria Math" w:cs="Times New Roman"/>
                  <w:color w:val="000000" w:themeColor="text1"/>
                  <w:szCs w:val="24"/>
                </w:rPr>
                <m:t>×</m:t>
              </m:r>
            </m:oMath>
            <w:r w:rsidRPr="00610012">
              <w:rPr>
                <w:rFonts w:cs="Times New Roman"/>
                <w:color w:val="000000" w:themeColor="text1"/>
                <w:szCs w:val="24"/>
              </w:rPr>
              <w:t>10</w:t>
            </w:r>
            <w:r w:rsidRPr="00610012">
              <w:rPr>
                <w:rFonts w:cs="Times New Roman"/>
                <w:color w:val="000000" w:themeColor="text1"/>
                <w:szCs w:val="24"/>
                <w:vertAlign w:val="superscript"/>
              </w:rPr>
              <w:t>-4</w:t>
            </w:r>
            <w:r w:rsidRPr="00610012">
              <w:rPr>
                <w:rFonts w:cs="Times New Roman"/>
                <w:bCs/>
                <w:color w:val="000000" w:themeColor="text1"/>
                <w:szCs w:val="24"/>
              </w:rPr>
              <w:t>ms</w:t>
            </w:r>
            <w:r w:rsidRPr="00610012">
              <w:rPr>
                <w:rFonts w:cs="Times New Roman"/>
                <w:bCs/>
                <w:color w:val="000000" w:themeColor="text1"/>
                <w:szCs w:val="24"/>
                <w:vertAlign w:val="superscript"/>
              </w:rPr>
              <w:t>-1</w:t>
            </w:r>
          </w:p>
        </w:tc>
        <w:tc>
          <w:tcPr>
            <w:tcW w:w="2407" w:type="dxa"/>
          </w:tcPr>
          <w:p w14:paraId="2496AEB7" w14:textId="77777777" w:rsidR="00AE2E2F" w:rsidRPr="00610012" w:rsidRDefault="003A1902">
            <w:pPr>
              <w:tabs>
                <w:tab w:val="left" w:pos="3686"/>
              </w:tabs>
              <w:spacing w:before="0" w:after="0"/>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m</m:t>
                    </m:r>
                  </m:sub>
                </m:sSub>
              </m:oMath>
            </m:oMathPara>
          </w:p>
        </w:tc>
        <w:tc>
          <w:tcPr>
            <w:tcW w:w="2408" w:type="dxa"/>
          </w:tcPr>
          <w:p w14:paraId="43B9768D" w14:textId="77777777" w:rsidR="00AE2E2F" w:rsidRPr="00610012" w:rsidRDefault="00C65CE5">
            <w:pPr>
              <w:tabs>
                <w:tab w:val="left" w:pos="3686"/>
              </w:tabs>
              <w:spacing w:before="0" w:after="0"/>
              <w:jc w:val="right"/>
              <w:rPr>
                <w:rFonts w:cs="Times New Roman"/>
                <w:color w:val="000000" w:themeColor="text1"/>
                <w:szCs w:val="24"/>
              </w:rPr>
            </w:pPr>
            <w:r w:rsidRPr="00610012">
              <w:rPr>
                <w:rFonts w:cs="Times New Roman"/>
                <w:color w:val="000000" w:themeColor="text1"/>
                <w:szCs w:val="24"/>
              </w:rPr>
              <w:t>1 pF/μm</w:t>
            </w:r>
            <w:r w:rsidRPr="00610012">
              <w:rPr>
                <w:rFonts w:cs="Times New Roman"/>
                <w:color w:val="000000" w:themeColor="text1"/>
                <w:szCs w:val="24"/>
                <w:vertAlign w:val="superscript"/>
              </w:rPr>
              <w:t>2</w:t>
            </w:r>
          </w:p>
        </w:tc>
      </w:tr>
    </w:tbl>
    <w:p w14:paraId="233FD9AD" w14:textId="77777777" w:rsidR="00AE2E2F" w:rsidRPr="00610012" w:rsidRDefault="00AE2E2F">
      <w:pPr>
        <w:pStyle w:val="Title"/>
        <w:jc w:val="left"/>
        <w:rPr>
          <w:color w:val="000000" w:themeColor="text1"/>
        </w:rPr>
      </w:pPr>
    </w:p>
    <w:p w14:paraId="638E9996" w14:textId="77777777" w:rsidR="00AE2E2F" w:rsidRPr="00610012" w:rsidRDefault="00AE2E2F">
      <w:pPr>
        <w:pStyle w:val="Title"/>
        <w:jc w:val="left"/>
        <w:rPr>
          <w:color w:val="000000" w:themeColor="text1"/>
        </w:rPr>
      </w:pPr>
    </w:p>
    <w:p w14:paraId="70A7043A" w14:textId="77777777" w:rsidR="00AE2E2F" w:rsidRPr="00610012" w:rsidRDefault="00AE2E2F">
      <w:pPr>
        <w:jc w:val="both"/>
        <w:rPr>
          <w:rFonts w:cs="Times New Roman"/>
          <w:b/>
          <w:color w:val="000000" w:themeColor="text1"/>
          <w:szCs w:val="24"/>
        </w:rPr>
      </w:pPr>
    </w:p>
    <w:p w14:paraId="525A251F" w14:textId="77777777" w:rsidR="00AE2E2F" w:rsidRPr="00610012" w:rsidRDefault="00AE2E2F">
      <w:pPr>
        <w:jc w:val="both"/>
        <w:rPr>
          <w:rFonts w:cs="Times New Roman"/>
          <w:b/>
          <w:color w:val="000000" w:themeColor="text1"/>
          <w:szCs w:val="24"/>
        </w:rPr>
      </w:pPr>
    </w:p>
    <w:p w14:paraId="674F006F" w14:textId="77777777" w:rsidR="00AE2E2F" w:rsidRPr="00610012" w:rsidRDefault="00AE2E2F">
      <w:pPr>
        <w:jc w:val="both"/>
        <w:rPr>
          <w:rFonts w:cs="Times New Roman"/>
          <w:b/>
          <w:color w:val="000000" w:themeColor="text1"/>
          <w:szCs w:val="24"/>
        </w:rPr>
      </w:pPr>
    </w:p>
    <w:p w14:paraId="5CD08AEC" w14:textId="77777777" w:rsidR="00AE2E2F" w:rsidRPr="00610012" w:rsidRDefault="00AE2E2F">
      <w:pPr>
        <w:jc w:val="both"/>
        <w:rPr>
          <w:rFonts w:cs="Times New Roman"/>
          <w:b/>
          <w:color w:val="000000" w:themeColor="text1"/>
          <w:szCs w:val="24"/>
        </w:rPr>
      </w:pPr>
    </w:p>
    <w:p w14:paraId="476E6F74" w14:textId="77777777" w:rsidR="00AE2E2F" w:rsidRPr="00610012" w:rsidRDefault="00AE2E2F">
      <w:pPr>
        <w:jc w:val="both"/>
        <w:rPr>
          <w:rFonts w:cs="Times New Roman"/>
          <w:b/>
          <w:color w:val="000000" w:themeColor="text1"/>
          <w:szCs w:val="24"/>
        </w:rPr>
      </w:pPr>
    </w:p>
    <w:p w14:paraId="72B6884F" w14:textId="77777777" w:rsidR="00AE2E2F" w:rsidRPr="00610012" w:rsidRDefault="00AE2E2F">
      <w:pPr>
        <w:jc w:val="both"/>
        <w:rPr>
          <w:rFonts w:cs="Times New Roman"/>
          <w:b/>
          <w:color w:val="000000" w:themeColor="text1"/>
          <w:szCs w:val="24"/>
        </w:rPr>
      </w:pPr>
    </w:p>
    <w:p w14:paraId="5F98305D" w14:textId="77777777" w:rsidR="00AE2E2F" w:rsidRPr="00610012" w:rsidRDefault="00AE2E2F">
      <w:pPr>
        <w:jc w:val="both"/>
        <w:rPr>
          <w:rFonts w:cs="Times New Roman"/>
          <w:b/>
          <w:color w:val="000000" w:themeColor="text1"/>
          <w:szCs w:val="24"/>
        </w:rPr>
      </w:pPr>
    </w:p>
    <w:p w14:paraId="2ACE1C54" w14:textId="77777777" w:rsidR="00AE2E2F" w:rsidRPr="00610012" w:rsidRDefault="00C65CE5">
      <w:pPr>
        <w:jc w:val="both"/>
        <w:rPr>
          <w:rFonts w:cs="Times New Roman"/>
          <w:b/>
          <w:color w:val="000000" w:themeColor="text1"/>
          <w:szCs w:val="24"/>
        </w:rPr>
      </w:pPr>
      <w:r w:rsidRPr="00610012">
        <w:rPr>
          <w:rFonts w:cs="Times New Roman"/>
          <w:b/>
          <w:color w:val="000000" w:themeColor="text1"/>
          <w:szCs w:val="24"/>
        </w:rPr>
        <w:lastRenderedPageBreak/>
        <w:t>Comparison of different system sizes</w:t>
      </w:r>
    </w:p>
    <w:p w14:paraId="402190AB" w14:textId="77777777" w:rsidR="00AE2E2F" w:rsidRPr="00610012" w:rsidRDefault="00C65CE5">
      <w:pPr>
        <w:tabs>
          <w:tab w:val="left" w:pos="3686"/>
        </w:tabs>
        <w:spacing w:after="0"/>
        <w:jc w:val="both"/>
        <w:rPr>
          <w:rFonts w:eastAsia="Cambria" w:cs="Times New Roman"/>
          <w:color w:val="000000" w:themeColor="text1"/>
          <w:szCs w:val="24"/>
        </w:rPr>
      </w:pPr>
      <w:r w:rsidRPr="00610012">
        <w:rPr>
          <w:rFonts w:eastAsia="Cambria" w:cs="Times New Roman"/>
          <w:noProof/>
          <w:color w:val="000000" w:themeColor="text1"/>
          <w:szCs w:val="24"/>
        </w:rPr>
        <mc:AlternateContent>
          <mc:Choice Requires="wpg">
            <w:drawing>
              <wp:inline distT="0" distB="0" distL="0" distR="0" wp14:anchorId="34EA6760" wp14:editId="1F8C9476">
                <wp:extent cx="6208394" cy="4321322"/>
                <wp:effectExtent l="0" t="0" r="2540" b="31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1"/>
                        <a:stretch/>
                      </pic:blipFill>
                      <pic:spPr bwMode="auto">
                        <a:xfrm>
                          <a:off x="0" y="0"/>
                          <a:ext cx="6208394" cy="432132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88.8pt;height:340.3pt;" stroked="false">
                <v:path textboxrect="0,0,0,0"/>
                <v:imagedata r:id="rId18" o:title=""/>
              </v:shape>
            </w:pict>
          </mc:Fallback>
        </mc:AlternateContent>
      </w:r>
    </w:p>
    <w:p w14:paraId="62B7B4E7" w14:textId="77777777" w:rsidR="00AE2E2F" w:rsidRPr="00610012" w:rsidRDefault="00C65CE5">
      <w:pPr>
        <w:jc w:val="both"/>
        <w:rPr>
          <w:rFonts w:eastAsia="Cambria" w:cs="Times New Roman"/>
          <w:color w:val="000000" w:themeColor="text1"/>
          <w:szCs w:val="24"/>
        </w:rPr>
      </w:pPr>
      <w:bookmarkStart w:id="0" w:name="_Hlk18742442"/>
      <w:r w:rsidRPr="00610012">
        <w:rPr>
          <w:rFonts w:cs="Times New Roman"/>
          <w:b/>
          <w:color w:val="000000" w:themeColor="text1"/>
          <w:szCs w:val="24"/>
        </w:rPr>
        <w:t>Supplementary Figure 1.</w:t>
      </w:r>
      <w:r w:rsidRPr="00610012">
        <w:rPr>
          <w:rFonts w:eastAsia="Cambria" w:cs="Times New Roman"/>
          <w:b/>
          <w:color w:val="000000" w:themeColor="text1"/>
          <w:szCs w:val="24"/>
        </w:rPr>
        <w:t xml:space="preserve">  The stimulation protocol from </w:t>
      </w:r>
      <w:r w:rsidRPr="00610012">
        <w:rPr>
          <w:rFonts w:eastAsia="Cambria" w:cs="Times New Roman"/>
          <w:b/>
          <w:bCs/>
          <w:color w:val="000000" w:themeColor="text1"/>
          <w:szCs w:val="24"/>
        </w:rPr>
        <w:t>Figure 3</w:t>
      </w:r>
      <w:r w:rsidRPr="00610012">
        <w:rPr>
          <w:rFonts w:eastAsia="Cambria" w:cs="Times New Roman"/>
          <w:b/>
          <w:color w:val="000000" w:themeColor="text1"/>
          <w:szCs w:val="24"/>
        </w:rPr>
        <w:t xml:space="preserve"> was performed in the network with two system sizes and correspondingly scaled connectivity probabilities.</w:t>
      </w:r>
      <w:r w:rsidRPr="00610012">
        <w:rPr>
          <w:rFonts w:eastAsia="Cambria" w:cs="Times New Roman"/>
          <w:color w:val="000000" w:themeColor="text1"/>
          <w:szCs w:val="24"/>
        </w:rPr>
        <w:t xml:space="preserve"> Original model </w:t>
      </w:r>
      <w:r w:rsidRPr="00610012">
        <w:rPr>
          <w:rFonts w:cs="Times New Roman"/>
          <w:color w:val="000000" w:themeColor="text1"/>
          <w:szCs w:val="24"/>
        </w:rPr>
        <w:t>(Ebert et al., 2014)</w:t>
      </w:r>
      <w:r w:rsidRPr="00610012">
        <w:rPr>
          <w:rFonts w:eastAsia="Cambria" w:cs="Times New Roman"/>
          <w:color w:val="000000" w:themeColor="text1"/>
          <w:szCs w:val="24"/>
        </w:rPr>
        <w:t xml:space="preserve"> with larger system size, containing 10,000 STN neurons and 10,000 </w:t>
      </w:r>
      <w:proofErr w:type="spellStart"/>
      <w:r w:rsidRPr="00610012">
        <w:rPr>
          <w:rFonts w:eastAsia="Cambria" w:cs="Times New Roman"/>
          <w:color w:val="000000" w:themeColor="text1"/>
          <w:szCs w:val="24"/>
        </w:rPr>
        <w:t>GPe</w:t>
      </w:r>
      <w:proofErr w:type="spellEnd"/>
      <w:r w:rsidRPr="00610012">
        <w:rPr>
          <w:rFonts w:eastAsia="Cambria" w:cs="Times New Roman"/>
          <w:color w:val="000000" w:themeColor="text1"/>
          <w:szCs w:val="24"/>
        </w:rPr>
        <w:t xml:space="preserve"> neurons with connection probability within and between populations of 7%. </w:t>
      </w:r>
      <w:r w:rsidRPr="00610012">
        <w:rPr>
          <w:rFonts w:eastAsia="Times New Roman" w:cs="Times New Roman"/>
          <w:b/>
          <w:color w:val="000000" w:themeColor="text1"/>
          <w:szCs w:val="24"/>
        </w:rPr>
        <w:t>(A)</w:t>
      </w:r>
      <w:r w:rsidRPr="00610012">
        <w:rPr>
          <w:rFonts w:eastAsia="Times New Roman" w:cs="Times New Roman"/>
          <w:color w:val="000000" w:themeColor="text1"/>
          <w:szCs w:val="24"/>
        </w:rPr>
        <w:t xml:space="preserve"> a sliding window of 100 simulation time steps at each different epoch when STDP or structural plasticity was active</w:t>
      </w:r>
      <w:r w:rsidRPr="00610012">
        <w:rPr>
          <w:rFonts w:eastAsia="Times New Roman" w:cs="Times New Roman"/>
          <w:iCs/>
          <w:color w:val="000000" w:themeColor="text1"/>
          <w:szCs w:val="24"/>
        </w:rPr>
        <w:t xml:space="preserve"> for STN (red solid line) and </w:t>
      </w:r>
      <w:proofErr w:type="spellStart"/>
      <w:r w:rsidRPr="00610012">
        <w:rPr>
          <w:rFonts w:eastAsia="Times New Roman" w:cs="Times New Roman"/>
          <w:iCs/>
          <w:color w:val="000000" w:themeColor="text1"/>
          <w:szCs w:val="24"/>
        </w:rPr>
        <w:t>GPe</w:t>
      </w:r>
      <w:proofErr w:type="spellEnd"/>
      <w:r w:rsidRPr="00610012">
        <w:rPr>
          <w:rFonts w:eastAsia="Times New Roman" w:cs="Times New Roman"/>
          <w:iCs/>
          <w:color w:val="000000" w:themeColor="text1"/>
          <w:szCs w:val="24"/>
        </w:rPr>
        <w:t xml:space="preserve"> (blue solid line) neurons and the average value for the whole network (cyan solid line). The horizontal back dot-dashed lines indicate the plateaus’ gradual decrease of the level of synchronization degree after each SP period interval. The vertical black dot-dashed depict the gradual improvement of the CR’ performance after each consecutive stimulation and SP cycle. The lines’ respective location is set at the beginning of the plateaus immediately after the initial sharp decrease. The equally sized horizontal red lines and the circle are used to provide a visual aid to this effect. </w:t>
      </w:r>
      <w:r w:rsidRPr="00610012">
        <w:rPr>
          <w:rFonts w:eastAsia="Times New Roman" w:cs="Times New Roman"/>
          <w:b/>
          <w:iCs/>
          <w:color w:val="000000" w:themeColor="text1"/>
          <w:szCs w:val="24"/>
        </w:rPr>
        <w:t>(B)</w:t>
      </w:r>
      <w:r w:rsidRPr="00610012">
        <w:rPr>
          <w:rFonts w:eastAsia="Times New Roman" w:cs="Times New Roman"/>
          <w:iCs/>
          <w:color w:val="000000" w:themeColor="text1"/>
          <w:szCs w:val="24"/>
        </w:rPr>
        <w:t xml:space="preserve"> Spiking rates for STN and </w:t>
      </w:r>
      <w:proofErr w:type="spellStart"/>
      <w:r w:rsidRPr="00610012">
        <w:rPr>
          <w:rFonts w:eastAsia="Times New Roman" w:cs="Times New Roman"/>
          <w:iCs/>
          <w:color w:val="000000" w:themeColor="text1"/>
          <w:szCs w:val="24"/>
        </w:rPr>
        <w:t>GPe</w:t>
      </w:r>
      <w:proofErr w:type="spellEnd"/>
      <w:r w:rsidRPr="00610012">
        <w:rPr>
          <w:rFonts w:eastAsia="Times New Roman" w:cs="Times New Roman"/>
          <w:iCs/>
          <w:color w:val="000000" w:themeColor="text1"/>
          <w:szCs w:val="24"/>
        </w:rPr>
        <w:t xml:space="preserve"> neurons, respectively.</w:t>
      </w:r>
      <w:r w:rsidRPr="00610012">
        <w:rPr>
          <w:rFonts w:eastAsia="Cambria" w:cs="Times New Roman"/>
          <w:color w:val="000000" w:themeColor="text1"/>
          <w:szCs w:val="24"/>
        </w:rPr>
        <w:t xml:space="preserve"> There is no qualitative difference of the stimulus response behavior of both models as assessed by macroscopic quantities, order parameter and mean firing rate. </w:t>
      </w:r>
      <w:r w:rsidRPr="00610012">
        <w:rPr>
          <w:rFonts w:cs="Times New Roman"/>
          <w:iCs/>
          <w:color w:val="000000" w:themeColor="text1"/>
          <w:szCs w:val="24"/>
        </w:rPr>
        <w:t xml:space="preserve">PS, CR, STDP and </w:t>
      </w:r>
      <w:r w:rsidRPr="00610012">
        <w:rPr>
          <w:rFonts w:cs="Times New Roman"/>
          <w:color w:val="000000" w:themeColor="text1"/>
          <w:szCs w:val="24"/>
        </w:rPr>
        <w:t>structural plasticity</w:t>
      </w:r>
      <w:r w:rsidRPr="00610012">
        <w:rPr>
          <w:rFonts w:cs="Times New Roman"/>
          <w:iCs/>
          <w:color w:val="000000" w:themeColor="text1"/>
          <w:szCs w:val="24"/>
        </w:rPr>
        <w:t xml:space="preserve"> activation interval period color coding and units are defined in </w:t>
      </w:r>
      <w:r w:rsidRPr="00610012">
        <w:rPr>
          <w:rFonts w:cs="Times New Roman"/>
          <w:b/>
          <w:bCs/>
          <w:iCs/>
          <w:color w:val="000000" w:themeColor="text1"/>
          <w:szCs w:val="24"/>
        </w:rPr>
        <w:t>Figure 4.</w:t>
      </w:r>
      <w:bookmarkEnd w:id="0"/>
    </w:p>
    <w:p w14:paraId="3CA3F861" w14:textId="77777777" w:rsidR="00AE2E2F" w:rsidRPr="00610012" w:rsidRDefault="00AE2E2F">
      <w:pPr>
        <w:rPr>
          <w:rFonts w:cs="Times New Roman"/>
          <w:color w:val="000000" w:themeColor="text1"/>
        </w:rPr>
      </w:pPr>
    </w:p>
    <w:p w14:paraId="797C81BE" w14:textId="77777777" w:rsidR="00AE2E2F" w:rsidRPr="00610012" w:rsidRDefault="00AE2E2F">
      <w:pPr>
        <w:rPr>
          <w:rFonts w:cs="Times New Roman"/>
          <w:color w:val="000000" w:themeColor="text1"/>
        </w:rPr>
      </w:pPr>
    </w:p>
    <w:p w14:paraId="388A546E" w14:textId="77777777" w:rsidR="00AE2E2F" w:rsidRPr="00610012" w:rsidRDefault="00AE2E2F">
      <w:pPr>
        <w:rPr>
          <w:rFonts w:cs="Times New Roman"/>
          <w:color w:val="000000" w:themeColor="text1"/>
        </w:rPr>
      </w:pPr>
    </w:p>
    <w:p w14:paraId="2DD5C3EC" w14:textId="77777777" w:rsidR="00AE2E2F" w:rsidRPr="00610012" w:rsidRDefault="00C65CE5">
      <w:pPr>
        <w:tabs>
          <w:tab w:val="left" w:pos="3686"/>
        </w:tabs>
        <w:jc w:val="both"/>
        <w:rPr>
          <w:rFonts w:cs="Times New Roman"/>
          <w:b/>
          <w:color w:val="000000" w:themeColor="text1"/>
          <w:szCs w:val="24"/>
        </w:rPr>
      </w:pPr>
      <w:r w:rsidRPr="00610012">
        <w:rPr>
          <w:rFonts w:cs="Times New Roman"/>
          <w:b/>
          <w:color w:val="000000" w:themeColor="text1"/>
          <w:szCs w:val="24"/>
        </w:rPr>
        <w:lastRenderedPageBreak/>
        <w:t>Inadequate CR stimulation amplitude</w:t>
      </w:r>
    </w:p>
    <w:p w14:paraId="7CCA04E7" w14:textId="77777777" w:rsidR="00AE2E2F" w:rsidRPr="00610012" w:rsidRDefault="00C65CE5">
      <w:pPr>
        <w:tabs>
          <w:tab w:val="left" w:pos="3686"/>
        </w:tabs>
        <w:spacing w:after="0"/>
        <w:jc w:val="center"/>
        <w:rPr>
          <w:rFonts w:cs="Times New Roman"/>
          <w:color w:val="000000" w:themeColor="text1"/>
          <w:szCs w:val="24"/>
        </w:rPr>
      </w:pPr>
      <w:r w:rsidRPr="00610012">
        <w:rPr>
          <w:rFonts w:cs="Times New Roman"/>
          <w:noProof/>
          <w:color w:val="000000" w:themeColor="text1"/>
          <w:szCs w:val="24"/>
        </w:rPr>
        <mc:AlternateContent>
          <mc:Choice Requires="wpg">
            <w:drawing>
              <wp:inline distT="0" distB="0" distL="0" distR="0" wp14:anchorId="6F2838C6" wp14:editId="7516EFD3">
                <wp:extent cx="6208395" cy="4473575"/>
                <wp:effectExtent l="0" t="0" r="1905"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9"/>
                        <a:stretch/>
                      </pic:blipFill>
                      <pic:spPr bwMode="auto">
                        <a:xfrm>
                          <a:off x="0" y="0"/>
                          <a:ext cx="6208395" cy="44735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88.8pt;height:352.2pt;" stroked="false">
                <v:path textboxrect="0,0,0,0"/>
                <v:imagedata r:id="rId20" o:title=""/>
              </v:shape>
            </w:pict>
          </mc:Fallback>
        </mc:AlternateContent>
      </w:r>
    </w:p>
    <w:p w14:paraId="6D2B1FC1" w14:textId="77777777" w:rsidR="00AE2E2F" w:rsidRPr="00610012" w:rsidRDefault="00C65CE5">
      <w:pPr>
        <w:jc w:val="both"/>
        <w:rPr>
          <w:rFonts w:cs="Times New Roman"/>
          <w:iCs/>
          <w:color w:val="000000" w:themeColor="text1"/>
          <w:szCs w:val="24"/>
        </w:rPr>
      </w:pPr>
      <w:r w:rsidRPr="00610012">
        <w:rPr>
          <w:rFonts w:cs="Times New Roman"/>
          <w:b/>
          <w:color w:val="000000" w:themeColor="text1"/>
          <w:szCs w:val="24"/>
        </w:rPr>
        <w:t>Supplementary Figure 2.</w:t>
      </w:r>
      <w:r w:rsidRPr="00610012">
        <w:rPr>
          <w:rFonts w:cs="Times New Roman"/>
          <w:color w:val="000000" w:themeColor="text1"/>
          <w:szCs w:val="24"/>
        </w:rPr>
        <w:t xml:space="preserve"> </w:t>
      </w:r>
      <w:r w:rsidRPr="00610012">
        <w:rPr>
          <w:rFonts w:cs="Times New Roman"/>
          <w:b/>
          <w:bCs/>
          <w:color w:val="000000" w:themeColor="text1"/>
          <w:szCs w:val="24"/>
        </w:rPr>
        <w:t>Des</w:t>
      </w:r>
      <w:r w:rsidRPr="00610012">
        <w:rPr>
          <w:rFonts w:cs="Times New Roman"/>
          <w:b/>
          <w:color w:val="000000" w:themeColor="text1"/>
          <w:szCs w:val="24"/>
        </w:rPr>
        <w:t xml:space="preserve">ynchronization and spiking rate for 3 long CR sessions without structural plasticity with weak stimulation amplitude </w:t>
      </w:r>
      <m:oMath>
        <m:r>
          <m:rPr>
            <m:sty m:val="bi"/>
          </m:rPr>
          <w:rPr>
            <w:rFonts w:ascii="Cambria Math" w:hAnsi="Cambria Math" w:cs="Times New Roman"/>
            <w:color w:val="000000" w:themeColor="text1"/>
            <w:szCs w:val="24"/>
          </w:rPr>
          <m:t>κ=-2.0</m:t>
        </m:r>
      </m:oMath>
      <w:r w:rsidRPr="00610012">
        <w:rPr>
          <w:rFonts w:cs="Times New Roman"/>
          <w:b/>
          <w:color w:val="000000" w:themeColor="text1"/>
          <w:szCs w:val="24"/>
        </w:rPr>
        <w:t>.</w:t>
      </w:r>
      <w:r w:rsidRPr="00610012">
        <w:rPr>
          <w:rFonts w:cs="Times New Roman"/>
          <w:color w:val="000000" w:themeColor="text1"/>
          <w:szCs w:val="24"/>
        </w:rPr>
        <w:t xml:space="preserve"> </w:t>
      </w:r>
      <w:r w:rsidRPr="00610012">
        <w:rPr>
          <w:rFonts w:cs="Times New Roman"/>
          <w:b/>
          <w:color w:val="000000" w:themeColor="text1"/>
          <w:szCs w:val="24"/>
        </w:rPr>
        <w:t>(A)</w:t>
      </w:r>
      <w:r w:rsidRPr="00610012">
        <w:rPr>
          <w:rFonts w:cs="Times New Roman"/>
          <w:color w:val="000000" w:themeColor="text1"/>
          <w:szCs w:val="24"/>
        </w:rPr>
        <w:t xml:space="preserve"> Time evolution of the order parameter </w:t>
      </w:r>
      <m:oMath>
        <m:r>
          <w:rPr>
            <w:rFonts w:ascii="Cambria Math" w:hAnsi="Cambria Math" w:cs="Times New Roman"/>
            <w:color w:val="000000" w:themeColor="text1"/>
            <w:szCs w:val="24"/>
          </w:rPr>
          <m:t xml:space="preserve">R(t) </m:t>
        </m:r>
      </m:oMath>
      <w:r w:rsidRPr="00610012">
        <w:rPr>
          <w:rFonts w:cs="Times New Roman"/>
          <w:color w:val="000000" w:themeColor="text1"/>
          <w:szCs w:val="24"/>
        </w:rPr>
        <w:t>averaged</w:t>
      </w:r>
      <w:r w:rsidRPr="00610012">
        <w:rPr>
          <w:rFonts w:cs="Times New Roman"/>
          <w:iCs/>
          <w:color w:val="000000" w:themeColor="text1"/>
          <w:szCs w:val="24"/>
        </w:rPr>
        <w:t xml:space="preserve"> over a sliding window (10 </w:t>
      </w:r>
      <w:proofErr w:type="spellStart"/>
      <w:r w:rsidRPr="00610012">
        <w:rPr>
          <w:rFonts w:cs="Times New Roman"/>
          <w:iCs/>
          <w:color w:val="000000" w:themeColor="text1"/>
          <w:szCs w:val="24"/>
        </w:rPr>
        <w:t>ms</w:t>
      </w:r>
      <w:proofErr w:type="spellEnd"/>
      <w:r w:rsidRPr="00610012">
        <w:rPr>
          <w:rFonts w:cs="Times New Roman"/>
          <w:iCs/>
          <w:color w:val="000000" w:themeColor="text1"/>
          <w:szCs w:val="24"/>
        </w:rPr>
        <w:t xml:space="preserve">) for STN (red solid line) and </w:t>
      </w:r>
      <w:proofErr w:type="spellStart"/>
      <w:r w:rsidRPr="00610012">
        <w:rPr>
          <w:rFonts w:cs="Times New Roman"/>
          <w:iCs/>
          <w:color w:val="000000" w:themeColor="text1"/>
          <w:szCs w:val="24"/>
        </w:rPr>
        <w:t>GPe</w:t>
      </w:r>
      <w:proofErr w:type="spellEnd"/>
      <w:r w:rsidRPr="00610012">
        <w:rPr>
          <w:rFonts w:cs="Times New Roman"/>
          <w:iCs/>
          <w:color w:val="000000" w:themeColor="text1"/>
          <w:szCs w:val="24"/>
        </w:rPr>
        <w:t xml:space="preserve"> (blue solid line) neurons. </w:t>
      </w:r>
      <w:r w:rsidRPr="00610012">
        <w:rPr>
          <w:rFonts w:cs="Times New Roman"/>
          <w:b/>
          <w:iCs/>
          <w:color w:val="000000" w:themeColor="text1"/>
          <w:szCs w:val="24"/>
        </w:rPr>
        <w:t>(B)</w:t>
      </w:r>
      <w:r w:rsidRPr="00610012">
        <w:rPr>
          <w:rFonts w:cs="Times New Roman"/>
          <w:iCs/>
          <w:color w:val="000000" w:themeColor="text1"/>
          <w:szCs w:val="24"/>
        </w:rPr>
        <w:t xml:space="preserve"> Spiking rates for STN and </w:t>
      </w:r>
      <w:proofErr w:type="spellStart"/>
      <w:r w:rsidRPr="00610012">
        <w:rPr>
          <w:rFonts w:cs="Times New Roman"/>
          <w:iCs/>
          <w:color w:val="000000" w:themeColor="text1"/>
          <w:szCs w:val="24"/>
        </w:rPr>
        <w:t>GPe</w:t>
      </w:r>
      <w:proofErr w:type="spellEnd"/>
      <w:r w:rsidRPr="00610012">
        <w:rPr>
          <w:rFonts w:cs="Times New Roman"/>
          <w:iCs/>
          <w:color w:val="000000" w:themeColor="text1"/>
          <w:szCs w:val="24"/>
        </w:rPr>
        <w:t xml:space="preserve"> neurons respectively. Light blue bands denote the Periodic Stimulation (2.5 min) intervals and light grey the CR-ON stimulation periods (10 min). STDP is active throughout the whole-time evolution.</w:t>
      </w:r>
    </w:p>
    <w:p w14:paraId="2A6E2979" w14:textId="77777777" w:rsidR="00AE2E2F" w:rsidRPr="00610012" w:rsidRDefault="00AE2E2F">
      <w:pPr>
        <w:tabs>
          <w:tab w:val="left" w:pos="3686"/>
        </w:tabs>
        <w:jc w:val="both"/>
        <w:rPr>
          <w:rFonts w:cs="Times New Roman"/>
          <w:b/>
          <w:color w:val="000000" w:themeColor="text1"/>
          <w:szCs w:val="24"/>
          <w:highlight w:val="yellow"/>
        </w:rPr>
      </w:pPr>
    </w:p>
    <w:p w14:paraId="5F39D242" w14:textId="77777777" w:rsidR="00AE2E2F" w:rsidRPr="00610012" w:rsidRDefault="00AE2E2F">
      <w:pPr>
        <w:tabs>
          <w:tab w:val="left" w:pos="3686"/>
        </w:tabs>
        <w:jc w:val="both"/>
        <w:rPr>
          <w:rFonts w:cs="Times New Roman"/>
          <w:b/>
          <w:color w:val="000000" w:themeColor="text1"/>
          <w:szCs w:val="24"/>
          <w:highlight w:val="yellow"/>
        </w:rPr>
      </w:pPr>
    </w:p>
    <w:p w14:paraId="48441CDF" w14:textId="77777777" w:rsidR="00AE2E2F" w:rsidRPr="00610012" w:rsidRDefault="00AE2E2F">
      <w:pPr>
        <w:tabs>
          <w:tab w:val="left" w:pos="3686"/>
        </w:tabs>
        <w:jc w:val="both"/>
        <w:rPr>
          <w:rFonts w:cs="Times New Roman"/>
          <w:b/>
          <w:color w:val="000000" w:themeColor="text1"/>
          <w:szCs w:val="24"/>
          <w:highlight w:val="yellow"/>
        </w:rPr>
      </w:pPr>
    </w:p>
    <w:p w14:paraId="78146A41" w14:textId="77777777" w:rsidR="00AE2E2F" w:rsidRPr="00610012" w:rsidRDefault="00AE2E2F">
      <w:pPr>
        <w:tabs>
          <w:tab w:val="left" w:pos="3686"/>
        </w:tabs>
        <w:jc w:val="both"/>
        <w:rPr>
          <w:rFonts w:cs="Times New Roman"/>
          <w:b/>
          <w:color w:val="000000" w:themeColor="text1"/>
          <w:szCs w:val="24"/>
        </w:rPr>
      </w:pPr>
    </w:p>
    <w:p w14:paraId="423D383F" w14:textId="77777777" w:rsidR="00AE2E2F" w:rsidRPr="00610012" w:rsidRDefault="00AE2E2F">
      <w:pPr>
        <w:tabs>
          <w:tab w:val="left" w:pos="3686"/>
        </w:tabs>
        <w:jc w:val="both"/>
        <w:rPr>
          <w:rFonts w:cs="Times New Roman"/>
          <w:b/>
          <w:color w:val="000000" w:themeColor="text1"/>
          <w:szCs w:val="24"/>
        </w:rPr>
      </w:pPr>
    </w:p>
    <w:p w14:paraId="41A3B3CF" w14:textId="77777777" w:rsidR="00AE2E2F" w:rsidRPr="00610012" w:rsidRDefault="00AE2E2F">
      <w:pPr>
        <w:tabs>
          <w:tab w:val="left" w:pos="3686"/>
        </w:tabs>
        <w:jc w:val="both"/>
        <w:rPr>
          <w:rFonts w:cs="Times New Roman"/>
          <w:b/>
          <w:color w:val="000000" w:themeColor="text1"/>
          <w:szCs w:val="24"/>
        </w:rPr>
      </w:pPr>
    </w:p>
    <w:p w14:paraId="4035EDC2" w14:textId="77777777" w:rsidR="00AE2E2F" w:rsidRPr="00610012" w:rsidRDefault="00AE2E2F">
      <w:pPr>
        <w:tabs>
          <w:tab w:val="left" w:pos="3686"/>
        </w:tabs>
        <w:jc w:val="both"/>
        <w:rPr>
          <w:rFonts w:cs="Times New Roman"/>
          <w:b/>
          <w:color w:val="000000" w:themeColor="text1"/>
          <w:szCs w:val="24"/>
        </w:rPr>
      </w:pPr>
    </w:p>
    <w:p w14:paraId="6FEEF1FB" w14:textId="77777777" w:rsidR="00AE2E2F" w:rsidRPr="00610012" w:rsidRDefault="00C65CE5">
      <w:pPr>
        <w:tabs>
          <w:tab w:val="left" w:pos="3686"/>
        </w:tabs>
        <w:jc w:val="both"/>
        <w:rPr>
          <w:rFonts w:cs="Times New Roman"/>
          <w:b/>
          <w:color w:val="000000" w:themeColor="text1"/>
          <w:szCs w:val="24"/>
        </w:rPr>
      </w:pPr>
      <w:r w:rsidRPr="00610012">
        <w:rPr>
          <w:rFonts w:cs="Times New Roman"/>
          <w:b/>
          <w:color w:val="000000" w:themeColor="text1"/>
          <w:szCs w:val="24"/>
        </w:rPr>
        <w:lastRenderedPageBreak/>
        <w:t xml:space="preserve">Structural plasticity and rewiring parameter (synapse creation &amp; deletion) </w:t>
      </w:r>
    </w:p>
    <w:p w14:paraId="3CC62777" w14:textId="77777777" w:rsidR="00AE2E2F" w:rsidRPr="00610012" w:rsidRDefault="00C65CE5">
      <w:pPr>
        <w:jc w:val="both"/>
        <w:rPr>
          <w:rFonts w:cs="Times New Roman"/>
          <w:color w:val="000000" w:themeColor="text1"/>
          <w:szCs w:val="24"/>
        </w:rPr>
      </w:pPr>
      <w:r w:rsidRPr="00610012">
        <w:rPr>
          <w:rFonts w:cs="Times New Roman"/>
          <w:noProof/>
          <w:color w:val="000000" w:themeColor="text1"/>
        </w:rPr>
        <mc:AlternateContent>
          <mc:Choice Requires="wpg">
            <w:drawing>
              <wp:inline distT="0" distB="0" distL="0" distR="0" wp14:anchorId="0BFB6113" wp14:editId="45C7CD46">
                <wp:extent cx="5943599" cy="571168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21"/>
                        <a:stretch/>
                      </pic:blipFill>
                      <pic:spPr bwMode="auto">
                        <a:xfrm>
                          <a:off x="0" y="0"/>
                          <a:ext cx="5943599" cy="571168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68.0pt;height:449.7pt;" stroked="false">
                <v:path textboxrect="0,0,0,0"/>
                <v:imagedata r:id="rId22" o:title=""/>
              </v:shape>
            </w:pict>
          </mc:Fallback>
        </mc:AlternateContent>
      </w:r>
    </w:p>
    <w:p w14:paraId="18E4CEAF" w14:textId="77777777" w:rsidR="00AE2E2F" w:rsidRPr="00610012" w:rsidRDefault="00C65CE5">
      <w:pPr>
        <w:jc w:val="both"/>
        <w:rPr>
          <w:rFonts w:cs="Times New Roman"/>
          <w:color w:val="000000" w:themeColor="text1"/>
          <w:szCs w:val="24"/>
        </w:rPr>
      </w:pPr>
      <w:r w:rsidRPr="00610012">
        <w:rPr>
          <w:rFonts w:cs="Times New Roman"/>
          <w:b/>
          <w:color w:val="000000" w:themeColor="text1"/>
          <w:szCs w:val="24"/>
        </w:rPr>
        <w:t>Supplementary Figure 3.</w:t>
      </w:r>
      <w:r w:rsidRPr="00610012">
        <w:rPr>
          <w:rFonts w:cs="Times New Roman"/>
          <w:color w:val="000000" w:themeColor="text1"/>
          <w:szCs w:val="24"/>
        </w:rPr>
        <w:t xml:space="preserve"> </w:t>
      </w:r>
      <w:r w:rsidRPr="00610012">
        <w:rPr>
          <w:rFonts w:cs="Times New Roman"/>
          <w:b/>
          <w:bCs/>
          <w:color w:val="000000" w:themeColor="text1"/>
        </w:rPr>
        <w:t xml:space="preserve">Parameter exploration on the rewiring factor of the structural plasticity rules. </w:t>
      </w:r>
      <w:r w:rsidRPr="00610012">
        <w:rPr>
          <w:rFonts w:cs="Times New Roman"/>
          <w:color w:val="000000" w:themeColor="text1"/>
        </w:rPr>
        <w:t>The rewiring is implemented as a Gaussian growth curve at the post-synaptic element of the STN-STN (red) and STN-</w:t>
      </w:r>
      <w:proofErr w:type="spellStart"/>
      <w:r w:rsidRPr="00610012">
        <w:rPr>
          <w:rFonts w:cs="Times New Roman"/>
          <w:color w:val="000000" w:themeColor="text1"/>
        </w:rPr>
        <w:t>GPe</w:t>
      </w:r>
      <w:proofErr w:type="spellEnd"/>
      <w:r w:rsidRPr="00610012">
        <w:rPr>
          <w:rFonts w:cs="Times New Roman"/>
          <w:color w:val="000000" w:themeColor="text1"/>
        </w:rPr>
        <w:t xml:space="preserve"> (blue) connections.</w:t>
      </w:r>
      <w:r w:rsidRPr="00610012">
        <w:rPr>
          <w:rFonts w:cs="Times New Roman"/>
          <w:b/>
          <w:bCs/>
          <w:color w:val="000000" w:themeColor="text1"/>
        </w:rPr>
        <w:t xml:space="preserve"> </w:t>
      </w:r>
      <w:r w:rsidRPr="00610012">
        <w:rPr>
          <w:rFonts w:cs="Times New Roman"/>
          <w:color w:val="000000" w:themeColor="text1"/>
        </w:rPr>
        <w:t xml:space="preserve"> A rewiring factor is set at</w:t>
      </w:r>
      <w:r w:rsidRPr="00610012">
        <w:rPr>
          <w:rFonts w:cs="Times New Roman"/>
          <w:b/>
          <w:bCs/>
          <w:color w:val="000000" w:themeColor="text1"/>
        </w:rPr>
        <w:t xml:space="preserve"> (A)</w:t>
      </w:r>
      <w:r w:rsidRPr="00610012">
        <w:rPr>
          <w:rFonts w:cs="Times New Roman"/>
          <w:color w:val="000000" w:themeColor="text1"/>
        </w:rPr>
        <w:t xml:space="preserve"> </w:t>
      </w:r>
      <m:oMath>
        <m:r>
          <w:rPr>
            <w:rFonts w:ascii="Cambria Math" w:hAnsi="Cambria Math" w:cs="Times New Roman"/>
            <w:color w:val="000000" w:themeColor="text1"/>
          </w:rPr>
          <m:t>-0.001</m:t>
        </m:r>
      </m:oMath>
      <w:r w:rsidRPr="00610012">
        <w:rPr>
          <w:rFonts w:cs="Times New Roman"/>
          <w:color w:val="000000" w:themeColor="text1"/>
        </w:rPr>
        <w:t xml:space="preserve">, </w:t>
      </w:r>
      <w:r w:rsidRPr="00610012">
        <w:rPr>
          <w:rFonts w:cs="Times New Roman"/>
          <w:b/>
          <w:bCs/>
          <w:color w:val="000000" w:themeColor="text1"/>
        </w:rPr>
        <w:t>(B)</w:t>
      </w:r>
      <w:r w:rsidRPr="00610012">
        <w:rPr>
          <w:rFonts w:cs="Times New Roman"/>
          <w:color w:val="000000" w:themeColor="text1"/>
        </w:rPr>
        <w:t xml:space="preserve"> </w:t>
      </w:r>
      <m:oMath>
        <m:r>
          <w:rPr>
            <w:rFonts w:ascii="Cambria Math" w:hAnsi="Cambria Math" w:cs="Times New Roman"/>
            <w:color w:val="000000" w:themeColor="text1"/>
          </w:rPr>
          <m:t>-0.003</m:t>
        </m:r>
      </m:oMath>
      <w:r w:rsidRPr="00610012">
        <w:rPr>
          <w:rFonts w:cs="Times New Roman"/>
          <w:color w:val="000000" w:themeColor="text1"/>
        </w:rPr>
        <w:t xml:space="preserve">, </w:t>
      </w:r>
      <w:r w:rsidRPr="00610012">
        <w:rPr>
          <w:rFonts w:cs="Times New Roman"/>
          <w:b/>
          <w:bCs/>
          <w:color w:val="000000" w:themeColor="text1"/>
        </w:rPr>
        <w:t>(C)</w:t>
      </w:r>
      <w:r w:rsidRPr="00610012">
        <w:rPr>
          <w:rFonts w:cs="Times New Roman"/>
          <w:color w:val="000000" w:themeColor="text1"/>
        </w:rPr>
        <w:t xml:space="preserve"> </w:t>
      </w:r>
      <m:oMath>
        <m:r>
          <w:rPr>
            <w:rFonts w:ascii="Cambria Math" w:hAnsi="Cambria Math" w:cs="Times New Roman"/>
            <w:color w:val="000000" w:themeColor="text1"/>
          </w:rPr>
          <m:t>-0.005</m:t>
        </m:r>
      </m:oMath>
      <w:r w:rsidRPr="00610012">
        <w:rPr>
          <w:rFonts w:cs="Times New Roman"/>
          <w:color w:val="000000" w:themeColor="text1"/>
        </w:rPr>
        <w:t xml:space="preserve">, and </w:t>
      </w:r>
      <w:r w:rsidRPr="00610012">
        <w:rPr>
          <w:rFonts w:cs="Times New Roman"/>
          <w:b/>
          <w:bCs/>
          <w:color w:val="000000" w:themeColor="text1"/>
        </w:rPr>
        <w:t>(D)</w:t>
      </w:r>
      <w:r w:rsidRPr="00610012">
        <w:rPr>
          <w:rFonts w:cs="Times New Roman"/>
          <w:color w:val="000000" w:themeColor="text1"/>
        </w:rPr>
        <w:t xml:space="preserve"> </w:t>
      </w:r>
      <m:oMath>
        <m:r>
          <w:rPr>
            <w:rFonts w:ascii="Cambria Math" w:hAnsi="Cambria Math" w:cs="Times New Roman"/>
            <w:color w:val="000000" w:themeColor="text1"/>
          </w:rPr>
          <m:t>-0.01</m:t>
        </m:r>
      </m:oMath>
      <w:r w:rsidRPr="00610012">
        <w:rPr>
          <w:rFonts w:cs="Times New Roman"/>
          <w:color w:val="000000" w:themeColor="text1"/>
        </w:rPr>
        <w:t xml:space="preserve">. The light red vertical bar and the light blue vertical indicate the activity operation intervals of the STN and </w:t>
      </w:r>
      <w:proofErr w:type="spellStart"/>
      <w:r w:rsidRPr="00610012">
        <w:rPr>
          <w:rFonts w:cs="Times New Roman"/>
          <w:color w:val="000000" w:themeColor="text1"/>
        </w:rPr>
        <w:t>GPe</w:t>
      </w:r>
      <w:proofErr w:type="spellEnd"/>
      <w:r w:rsidRPr="00610012">
        <w:rPr>
          <w:rFonts w:cs="Times New Roman"/>
          <w:color w:val="000000" w:themeColor="text1"/>
        </w:rPr>
        <w:t xml:space="preserve"> neurons respectively. The growth rate of the pre-synaptic elements for both STN-STN and STN-</w:t>
      </w:r>
      <w:proofErr w:type="spellStart"/>
      <w:r w:rsidRPr="00610012">
        <w:rPr>
          <w:rFonts w:cs="Times New Roman"/>
          <w:color w:val="000000" w:themeColor="text1"/>
        </w:rPr>
        <w:t>GPe</w:t>
      </w:r>
      <w:proofErr w:type="spellEnd"/>
      <w:r w:rsidRPr="00610012">
        <w:rPr>
          <w:rFonts w:cs="Times New Roman"/>
          <w:color w:val="000000" w:themeColor="text1"/>
        </w:rPr>
        <w:t xml:space="preserve"> connections was fixed to </w:t>
      </w:r>
      <m:oMath>
        <m:r>
          <w:rPr>
            <w:rFonts w:ascii="Cambria Math" w:hAnsi="Cambria Math" w:cs="Times New Roman"/>
            <w:color w:val="000000" w:themeColor="text1"/>
          </w:rPr>
          <m:t>0.00008</m:t>
        </m:r>
      </m:oMath>
      <w:r w:rsidRPr="00610012">
        <w:rPr>
          <w:rFonts w:cs="Times New Roman"/>
          <w:color w:val="000000" w:themeColor="text1"/>
        </w:rPr>
        <w:t xml:space="preserve"> and </w:t>
      </w:r>
      <m:oMath>
        <m:r>
          <w:rPr>
            <w:rFonts w:ascii="Cambria Math" w:hAnsi="Cambria Math" w:cs="Times New Roman"/>
            <w:color w:val="000000" w:themeColor="text1"/>
          </w:rPr>
          <m:t>0.00002</m:t>
        </m:r>
      </m:oMath>
      <w:r w:rsidRPr="00610012">
        <w:rPr>
          <w:rFonts w:cs="Times New Roman"/>
          <w:color w:val="000000" w:themeColor="text1"/>
        </w:rPr>
        <w:t xml:space="preserve"> respectively (same setup as shown in </w:t>
      </w:r>
      <w:r w:rsidRPr="00610012">
        <w:rPr>
          <w:rFonts w:cs="Times New Roman"/>
          <w:b/>
          <w:bCs/>
          <w:color w:val="000000" w:themeColor="text1"/>
        </w:rPr>
        <w:t>Figure 1D</w:t>
      </w:r>
      <w:r w:rsidRPr="00610012">
        <w:rPr>
          <w:rFonts w:cs="Times New Roman"/>
          <w:color w:val="000000" w:themeColor="text1"/>
        </w:rPr>
        <w:t xml:space="preserve"> and in all other cases with SP in the manuscript). Panels (A) and (B) depict relatively weak memory effects. In panel (C) we present the rewiring parameter values that we use in the main body of the manuscript providing strong enough memory effect to achieve desynchronization in the short third CR stimulation period. Panel (D) also shows relatively strong memory effect but not substantially different than the ones in panel (C). Thus, we consider a rewiring factor with value set at </w:t>
      </w:r>
      <m:oMath>
        <m:r>
          <w:rPr>
            <w:rFonts w:ascii="Cambria Math" w:hAnsi="Cambria Math" w:cs="Times New Roman"/>
            <w:color w:val="000000" w:themeColor="text1"/>
          </w:rPr>
          <m:t>-0.005</m:t>
        </m:r>
      </m:oMath>
      <w:r w:rsidRPr="00610012">
        <w:rPr>
          <w:rFonts w:cs="Times New Roman"/>
          <w:color w:val="000000" w:themeColor="text1"/>
        </w:rPr>
        <w:t xml:space="preserve"> marks the beginning of a parameter value range within which the SP demon</w:t>
      </w:r>
      <w:proofErr w:type="spellStart"/>
      <w:r w:rsidRPr="00610012">
        <w:rPr>
          <w:rFonts w:cs="Times New Roman"/>
          <w:color w:val="000000" w:themeColor="text1"/>
        </w:rPr>
        <w:t>strates</w:t>
      </w:r>
      <w:proofErr w:type="spellEnd"/>
      <w:r w:rsidRPr="00610012">
        <w:rPr>
          <w:rFonts w:cs="Times New Roman"/>
          <w:color w:val="000000" w:themeColor="text1"/>
        </w:rPr>
        <w:t xml:space="preserve"> relatively strong memory effects.</w:t>
      </w:r>
    </w:p>
    <w:p w14:paraId="1CD9C9DF" w14:textId="77777777" w:rsidR="00AE2E2F" w:rsidRPr="00610012" w:rsidRDefault="00C65CE5">
      <w:pPr>
        <w:tabs>
          <w:tab w:val="left" w:pos="3686"/>
        </w:tabs>
        <w:jc w:val="both"/>
        <w:rPr>
          <w:rFonts w:cs="Times New Roman"/>
          <w:b/>
          <w:color w:val="000000" w:themeColor="text1"/>
          <w:szCs w:val="24"/>
        </w:rPr>
      </w:pPr>
      <w:r w:rsidRPr="00610012">
        <w:rPr>
          <w:rFonts w:cs="Times New Roman"/>
          <w:b/>
          <w:color w:val="000000" w:themeColor="text1"/>
          <w:szCs w:val="24"/>
        </w:rPr>
        <w:lastRenderedPageBreak/>
        <w:t>Robustness of findings</w:t>
      </w:r>
    </w:p>
    <w:p w14:paraId="6A222FA0" w14:textId="77777777" w:rsidR="00AE2E2F" w:rsidRPr="00610012" w:rsidRDefault="00C65CE5">
      <w:pPr>
        <w:jc w:val="both"/>
        <w:rPr>
          <w:rFonts w:eastAsia="Cambria" w:cs="Times New Roman"/>
          <w:color w:val="000000" w:themeColor="text1"/>
          <w:szCs w:val="24"/>
        </w:rPr>
      </w:pPr>
      <w:r w:rsidRPr="00610012">
        <w:rPr>
          <w:rFonts w:eastAsia="Cambria" w:cs="Times New Roman"/>
          <w:noProof/>
          <w:color w:val="000000" w:themeColor="text1"/>
          <w:szCs w:val="24"/>
        </w:rPr>
        <w:drawing>
          <wp:inline distT="0" distB="0" distL="0" distR="0" wp14:anchorId="1D1AD930" wp14:editId="6034261D">
            <wp:extent cx="6208394" cy="4244584"/>
            <wp:effectExtent l="0" t="0" r="2540" b="381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208394" cy="4244584"/>
                    </a:xfrm>
                    <a:prstGeom prst="rect">
                      <a:avLst/>
                    </a:prstGeom>
                  </pic:spPr>
                </pic:pic>
              </a:graphicData>
            </a:graphic>
          </wp:inline>
        </w:drawing>
      </w:r>
    </w:p>
    <w:p w14:paraId="3C89EF22" w14:textId="77777777" w:rsidR="00AE2E2F" w:rsidRPr="00610012" w:rsidRDefault="00C65CE5">
      <w:pPr>
        <w:jc w:val="both"/>
        <w:rPr>
          <w:rFonts w:eastAsia="Cambria" w:cs="Times New Roman"/>
          <w:color w:val="000000" w:themeColor="text1"/>
          <w:szCs w:val="24"/>
        </w:rPr>
      </w:pPr>
      <w:bookmarkStart w:id="1" w:name="_Hlk18742547"/>
      <w:r w:rsidRPr="00610012">
        <w:rPr>
          <w:rFonts w:cs="Times New Roman"/>
          <w:b/>
          <w:color w:val="000000" w:themeColor="text1"/>
          <w:szCs w:val="24"/>
        </w:rPr>
        <w:t>Supplementary Figure 4.</w:t>
      </w:r>
      <w:r w:rsidRPr="00610012">
        <w:rPr>
          <w:rFonts w:eastAsia="Cambria" w:cs="Times New Roman"/>
          <w:b/>
          <w:color w:val="000000" w:themeColor="text1"/>
          <w:szCs w:val="24"/>
        </w:rPr>
        <w:t xml:space="preserve"> Two identical Periodic Stimulation (PS)-Coordinated Reset (CR) sequences, with structural plasticity. (A)</w:t>
      </w:r>
      <w:r w:rsidRPr="00610012">
        <w:rPr>
          <w:rFonts w:eastAsia="Cambria" w:cs="Times New Roman"/>
          <w:color w:val="000000" w:themeColor="text1"/>
          <w:szCs w:val="24"/>
        </w:rPr>
        <w:t xml:space="preserve"> Time evolution of the order parameter averaged over a sliding window (1000 </w:t>
      </w:r>
      <w:proofErr w:type="spellStart"/>
      <w:r w:rsidRPr="00610012">
        <w:rPr>
          <w:rFonts w:eastAsia="Cambria" w:cs="Times New Roman"/>
          <w:color w:val="000000" w:themeColor="text1"/>
          <w:szCs w:val="24"/>
        </w:rPr>
        <w:t>ms</w:t>
      </w:r>
      <w:proofErr w:type="spellEnd"/>
      <w:r w:rsidRPr="00610012">
        <w:rPr>
          <w:rFonts w:eastAsia="Cambria" w:cs="Times New Roman"/>
          <w:color w:val="000000" w:themeColor="text1"/>
          <w:szCs w:val="24"/>
        </w:rPr>
        <w:t xml:space="preserve">) for STN (red solid line) and </w:t>
      </w:r>
      <w:proofErr w:type="spellStart"/>
      <w:r w:rsidRPr="00610012">
        <w:rPr>
          <w:rFonts w:eastAsia="Cambria" w:cs="Times New Roman"/>
          <w:color w:val="000000" w:themeColor="text1"/>
          <w:szCs w:val="24"/>
        </w:rPr>
        <w:t>GPe</w:t>
      </w:r>
      <w:proofErr w:type="spellEnd"/>
      <w:r w:rsidRPr="00610012">
        <w:rPr>
          <w:rFonts w:eastAsia="Cambria" w:cs="Times New Roman"/>
          <w:color w:val="000000" w:themeColor="text1"/>
          <w:szCs w:val="24"/>
        </w:rPr>
        <w:t xml:space="preserve"> (blue solid line) for 20 initializations </w:t>
      </w:r>
      <w:r w:rsidRPr="00610012">
        <w:rPr>
          <w:rFonts w:cs="Times New Roman"/>
          <w:color w:val="000000" w:themeColor="text1"/>
          <w:szCs w:val="24"/>
        </w:rPr>
        <w:t>with different seeds for the random number generator</w:t>
      </w:r>
      <w:r w:rsidRPr="00610012">
        <w:rPr>
          <w:rFonts w:eastAsia="Cambria" w:cs="Times New Roman"/>
          <w:color w:val="000000" w:themeColor="text1"/>
          <w:szCs w:val="24"/>
        </w:rPr>
        <w:t xml:space="preserve"> with corresponding standard deviation (gray). </w:t>
      </w:r>
      <w:r w:rsidRPr="00610012">
        <w:rPr>
          <w:rFonts w:eastAsia="Cambria" w:cs="Times New Roman"/>
          <w:b/>
          <w:color w:val="000000" w:themeColor="text1"/>
          <w:szCs w:val="24"/>
        </w:rPr>
        <w:t>(B)</w:t>
      </w:r>
      <w:r w:rsidRPr="00610012">
        <w:rPr>
          <w:rFonts w:eastAsia="Cambria" w:cs="Times New Roman"/>
          <w:color w:val="000000" w:themeColor="text1"/>
          <w:szCs w:val="24"/>
        </w:rPr>
        <w:t xml:space="preserve"> Spiking rates for STN and </w:t>
      </w:r>
      <w:proofErr w:type="spellStart"/>
      <w:r w:rsidRPr="00610012">
        <w:rPr>
          <w:rFonts w:eastAsia="Cambria" w:cs="Times New Roman"/>
          <w:color w:val="000000" w:themeColor="text1"/>
          <w:szCs w:val="24"/>
        </w:rPr>
        <w:t>GPe</w:t>
      </w:r>
      <w:proofErr w:type="spellEnd"/>
      <w:r w:rsidRPr="00610012">
        <w:rPr>
          <w:rFonts w:eastAsia="Cambria" w:cs="Times New Roman"/>
          <w:color w:val="000000" w:themeColor="text1"/>
          <w:szCs w:val="24"/>
        </w:rPr>
        <w:t xml:space="preserve"> neurons, respectively. </w:t>
      </w:r>
      <w:r w:rsidRPr="00610012">
        <w:rPr>
          <w:rFonts w:cs="Times New Roman"/>
          <w:iCs/>
          <w:color w:val="000000" w:themeColor="text1"/>
          <w:szCs w:val="24"/>
        </w:rPr>
        <w:t xml:space="preserve">PS, CR, STDP and structural plasticity activation interval period color coding and units are defined in </w:t>
      </w:r>
      <w:r w:rsidRPr="00610012">
        <w:rPr>
          <w:rFonts w:cs="Times New Roman"/>
          <w:b/>
          <w:bCs/>
          <w:iCs/>
          <w:color w:val="000000" w:themeColor="text1"/>
          <w:szCs w:val="24"/>
        </w:rPr>
        <w:t xml:space="preserve">Figure 4. </w:t>
      </w:r>
      <w:r w:rsidRPr="00610012">
        <w:rPr>
          <w:rFonts w:eastAsia="Cambria" w:cs="Times New Roman"/>
          <w:color w:val="000000" w:themeColor="text1"/>
          <w:szCs w:val="24"/>
        </w:rPr>
        <w:t xml:space="preserve">The inset depicts the comparably small values of the standard deviation around the mean firing rate (more evident for the STN population). </w:t>
      </w:r>
      <w:r w:rsidRPr="00610012">
        <w:rPr>
          <w:rFonts w:eastAsia="Cambria" w:cs="Times New Roman"/>
          <w:b/>
          <w:color w:val="000000" w:themeColor="text1"/>
          <w:szCs w:val="24"/>
        </w:rPr>
        <w:t>(C)</w:t>
      </w:r>
      <w:r w:rsidRPr="00610012">
        <w:rPr>
          <w:rFonts w:eastAsia="Cambria" w:cs="Times New Roman"/>
          <w:color w:val="000000" w:themeColor="text1"/>
          <w:szCs w:val="24"/>
        </w:rPr>
        <w:t xml:space="preserve"> Time course of the total number of synaptic excitatory connections in the STN population. Note, standard deviation of total number of excitatory connections across the 20 simulations amounts to only 0.057 % (i.e., 378 synapses).</w:t>
      </w:r>
      <w:bookmarkEnd w:id="1"/>
      <w:r w:rsidRPr="00610012">
        <w:rPr>
          <w:rFonts w:eastAsia="Cambria" w:cs="Times New Roman"/>
          <w:color w:val="000000" w:themeColor="text1"/>
          <w:szCs w:val="24"/>
        </w:rPr>
        <w:t xml:space="preserve"> </w:t>
      </w:r>
    </w:p>
    <w:p w14:paraId="12A7B54F" w14:textId="77777777" w:rsidR="00AE2E2F" w:rsidRPr="00610012" w:rsidRDefault="00AE2E2F">
      <w:pPr>
        <w:jc w:val="both"/>
        <w:rPr>
          <w:rFonts w:cs="Times New Roman"/>
          <w:b/>
          <w:color w:val="000000" w:themeColor="text1"/>
          <w:szCs w:val="24"/>
          <w:highlight w:val="yellow"/>
        </w:rPr>
      </w:pPr>
    </w:p>
    <w:p w14:paraId="46E355E4" w14:textId="77777777" w:rsidR="00AE2E2F" w:rsidRPr="00610012" w:rsidRDefault="00C65CE5">
      <w:pPr>
        <w:rPr>
          <w:rFonts w:cs="Times New Roman"/>
          <w:b/>
          <w:color w:val="000000" w:themeColor="text1"/>
          <w:szCs w:val="24"/>
          <w:highlight w:val="yellow"/>
        </w:rPr>
      </w:pPr>
      <w:r w:rsidRPr="00610012">
        <w:rPr>
          <w:rFonts w:cs="Times New Roman"/>
          <w:b/>
          <w:color w:val="000000" w:themeColor="text1"/>
          <w:szCs w:val="24"/>
        </w:rPr>
        <w:br w:type="page"/>
      </w:r>
    </w:p>
    <w:p w14:paraId="1A62DC87" w14:textId="77777777" w:rsidR="00AE2E2F" w:rsidRPr="00610012" w:rsidRDefault="00C65CE5">
      <w:pPr>
        <w:jc w:val="both"/>
        <w:rPr>
          <w:rFonts w:eastAsia="Cambria" w:cs="Times New Roman"/>
          <w:color w:val="000000" w:themeColor="text1"/>
          <w:szCs w:val="24"/>
        </w:rPr>
      </w:pPr>
      <w:r w:rsidRPr="00610012">
        <w:rPr>
          <w:rFonts w:cs="Times New Roman"/>
          <w:b/>
          <w:color w:val="000000" w:themeColor="text1"/>
          <w:szCs w:val="24"/>
        </w:rPr>
        <w:lastRenderedPageBreak/>
        <w:t xml:space="preserve">Number of excitatory synapses and degree of synchronization </w:t>
      </w:r>
    </w:p>
    <w:p w14:paraId="5DB2F292" w14:textId="77777777" w:rsidR="00AE2E2F" w:rsidRPr="00610012" w:rsidRDefault="00C65CE5">
      <w:pPr>
        <w:tabs>
          <w:tab w:val="left" w:pos="3686"/>
        </w:tabs>
        <w:jc w:val="center"/>
        <w:rPr>
          <w:rFonts w:cs="Times New Roman"/>
          <w:b/>
          <w:color w:val="000000" w:themeColor="text1"/>
          <w:szCs w:val="24"/>
        </w:rPr>
      </w:pPr>
      <w:r w:rsidRPr="00610012">
        <w:rPr>
          <w:rFonts w:eastAsia="Cambria" w:cs="Times New Roman"/>
          <w:noProof/>
          <w:color w:val="000000" w:themeColor="text1"/>
          <w:szCs w:val="24"/>
        </w:rPr>
        <mc:AlternateContent>
          <mc:Choice Requires="wpg">
            <w:drawing>
              <wp:inline distT="0" distB="0" distL="0" distR="0" wp14:anchorId="7ADB3D09" wp14:editId="47C17D14">
                <wp:extent cx="4533900" cy="3496733"/>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R2.png"/>
                        <pic:cNvPicPr>
                          <a:picLocks noChangeAspect="1"/>
                        </pic:cNvPicPr>
                      </pic:nvPicPr>
                      <pic:blipFill>
                        <a:blip r:embed="rId24"/>
                        <a:stretch/>
                      </pic:blipFill>
                      <pic:spPr bwMode="auto">
                        <a:xfrm>
                          <a:off x="0" y="0"/>
                          <a:ext cx="4533900" cy="349673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357.0pt;height:275.3pt;" stroked="false">
                <v:path textboxrect="0,0,0,0"/>
                <v:imagedata r:id="rId25" o:title=""/>
              </v:shape>
            </w:pict>
          </mc:Fallback>
        </mc:AlternateContent>
      </w:r>
    </w:p>
    <w:p w14:paraId="3510A87A" w14:textId="77777777" w:rsidR="00AE2E2F" w:rsidRPr="00610012" w:rsidRDefault="00C65CE5">
      <w:pPr>
        <w:jc w:val="both"/>
        <w:rPr>
          <w:rFonts w:cs="Times New Roman"/>
          <w:b/>
          <w:color w:val="000000" w:themeColor="text1"/>
          <w:szCs w:val="24"/>
        </w:rPr>
      </w:pPr>
      <w:bookmarkStart w:id="2" w:name="_Hlk18741887"/>
      <w:bookmarkStart w:id="3" w:name="_Hlk18523975"/>
      <w:r w:rsidRPr="00610012">
        <w:rPr>
          <w:rFonts w:cs="Times New Roman"/>
          <w:b/>
          <w:color w:val="000000" w:themeColor="text1"/>
          <w:szCs w:val="24"/>
        </w:rPr>
        <w:t>Supplementary Figure 5.</w:t>
      </w:r>
      <w:r w:rsidRPr="00610012">
        <w:rPr>
          <w:rFonts w:eastAsia="Cambria" w:cs="Times New Roman"/>
          <w:b/>
          <w:color w:val="000000" w:themeColor="text1"/>
          <w:szCs w:val="24"/>
        </w:rPr>
        <w:t xml:space="preserve"> </w:t>
      </w:r>
      <w:r w:rsidRPr="00610012">
        <w:rPr>
          <w:rFonts w:cs="Times New Roman"/>
          <w:b/>
          <w:color w:val="000000" w:themeColor="text1"/>
          <w:szCs w:val="24"/>
        </w:rPr>
        <w:t xml:space="preserve">Box plots of order parameters of STN (red) and </w:t>
      </w:r>
      <w:proofErr w:type="spellStart"/>
      <w:r w:rsidRPr="00610012">
        <w:rPr>
          <w:rFonts w:cs="Times New Roman"/>
          <w:b/>
          <w:color w:val="000000" w:themeColor="text1"/>
          <w:szCs w:val="24"/>
        </w:rPr>
        <w:t>GPe</w:t>
      </w:r>
      <w:proofErr w:type="spellEnd"/>
      <w:r w:rsidRPr="00610012">
        <w:rPr>
          <w:rFonts w:cs="Times New Roman"/>
          <w:b/>
          <w:color w:val="000000" w:themeColor="text1"/>
          <w:szCs w:val="24"/>
        </w:rPr>
        <w:t xml:space="preserve"> (blue) after deleting a fraction of STN-STN excitatory synapses, after having the system synchronized with PS, while STDP was active.</w:t>
      </w:r>
      <w:r w:rsidRPr="00610012">
        <w:rPr>
          <w:rFonts w:cs="Times New Roman"/>
          <w:color w:val="000000" w:themeColor="text1"/>
          <w:szCs w:val="24"/>
        </w:rPr>
        <w:t xml:space="preserve"> Each box plot represents 11 simulations where the model was initialized as in </w:t>
      </w:r>
      <w:r w:rsidRPr="00610012">
        <w:rPr>
          <w:rFonts w:cs="Times New Roman"/>
          <w:b/>
          <w:bCs/>
          <w:color w:val="000000" w:themeColor="text1"/>
          <w:szCs w:val="24"/>
        </w:rPr>
        <w:t>Figure 3</w:t>
      </w:r>
      <w:r w:rsidRPr="00610012">
        <w:rPr>
          <w:rFonts w:cs="Times New Roman"/>
          <w:color w:val="000000" w:themeColor="text1"/>
          <w:szCs w:val="24"/>
        </w:rPr>
        <w:t xml:space="preserve"> with different seeds for the random number generator. PS synchronizes the network while STDP is ON, but structural plasticity is permanently OFF. After the PS epoch STDP was turned OFF and a percentage (between 5%-20%) of STN-STN connections was randomly selected with uniform probability and deleted. In the subsequent 2 min time window the amount of synchronization was calculated. The extent of STN synchronization decreases as the percentage of excitatory connections decreases.</w:t>
      </w:r>
      <w:bookmarkEnd w:id="2"/>
      <w:r w:rsidRPr="00610012">
        <w:rPr>
          <w:rFonts w:cs="Times New Roman"/>
          <w:color w:val="000000" w:themeColor="text1"/>
          <w:szCs w:val="24"/>
        </w:rPr>
        <w:t xml:space="preserve"> </w:t>
      </w:r>
      <w:bookmarkEnd w:id="3"/>
    </w:p>
    <w:p w14:paraId="5B1C1733" w14:textId="77777777" w:rsidR="00AE2E2F" w:rsidRPr="00610012" w:rsidRDefault="00AE2E2F">
      <w:pPr>
        <w:pStyle w:val="EndNoteBibliography"/>
        <w:spacing w:after="0"/>
        <w:rPr>
          <w:color w:val="000000" w:themeColor="text1"/>
        </w:rPr>
      </w:pPr>
    </w:p>
    <w:p w14:paraId="5FB2F949" w14:textId="77777777" w:rsidR="00AE2E2F" w:rsidRPr="00610012" w:rsidRDefault="00C65CE5">
      <w:pPr>
        <w:pStyle w:val="EndNoteBibliography"/>
        <w:spacing w:after="0"/>
        <w:rPr>
          <w:rFonts w:eastAsia="Times New Roman"/>
          <w:b/>
          <w:color w:val="000000" w:themeColor="text1"/>
        </w:rPr>
      </w:pPr>
      <w:r w:rsidRPr="00610012">
        <w:rPr>
          <w:rFonts w:eastAsia="Times New Roman"/>
          <w:b/>
          <w:iCs/>
          <w:color w:val="000000" w:themeColor="text1"/>
        </w:rPr>
        <w:t>The role of structural plasticity in the brain</w:t>
      </w:r>
    </w:p>
    <w:p w14:paraId="701245BA" w14:textId="77777777" w:rsidR="00AE2E2F" w:rsidRPr="00610012" w:rsidRDefault="00C65CE5" w:rsidP="00D53382">
      <w:pPr>
        <w:tabs>
          <w:tab w:val="left" w:pos="3686"/>
        </w:tabs>
        <w:jc w:val="both"/>
        <w:rPr>
          <w:rFonts w:eastAsia="Times New Roman" w:cs="Times New Roman"/>
          <w:color w:val="000000" w:themeColor="text1"/>
          <w:szCs w:val="24"/>
          <w:lang w:eastAsia="de-DE"/>
        </w:rPr>
      </w:pPr>
      <w:r w:rsidRPr="00610012">
        <w:rPr>
          <w:rFonts w:eastAsia="Times New Roman" w:cs="Times New Roman"/>
          <w:iCs/>
          <w:color w:val="000000" w:themeColor="text1"/>
          <w:szCs w:val="24"/>
        </w:rPr>
        <w:t>In the brain there are several plasticity rules which take place simultaneously [see e.g. (</w:t>
      </w:r>
      <w:proofErr w:type="spellStart"/>
      <w:r w:rsidRPr="00610012">
        <w:rPr>
          <w:rFonts w:eastAsia="Times New Roman" w:cs="Times New Roman"/>
          <w:iCs/>
          <w:color w:val="000000" w:themeColor="text1"/>
          <w:szCs w:val="24"/>
        </w:rPr>
        <w:t>Engert</w:t>
      </w:r>
      <w:proofErr w:type="spellEnd"/>
      <w:r w:rsidRPr="00610012">
        <w:rPr>
          <w:rFonts w:eastAsia="Times New Roman" w:cs="Times New Roman"/>
          <w:iCs/>
          <w:color w:val="000000" w:themeColor="text1"/>
          <w:szCs w:val="24"/>
        </w:rPr>
        <w:t xml:space="preserve"> &amp; Bonhoeffer, 1999; </w:t>
      </w:r>
      <w:proofErr w:type="spellStart"/>
      <w:r w:rsidRPr="00610012">
        <w:rPr>
          <w:rFonts w:eastAsia="Times New Roman" w:cs="Times New Roman"/>
          <w:iCs/>
          <w:color w:val="000000" w:themeColor="text1"/>
          <w:szCs w:val="24"/>
        </w:rPr>
        <w:t>Hübener</w:t>
      </w:r>
      <w:proofErr w:type="spellEnd"/>
      <w:r w:rsidRPr="00610012">
        <w:rPr>
          <w:rFonts w:eastAsia="Times New Roman" w:cs="Times New Roman"/>
          <w:iCs/>
          <w:color w:val="000000" w:themeColor="text1"/>
          <w:szCs w:val="24"/>
        </w:rPr>
        <w:t xml:space="preserve"> &amp; Bonhoeffer, 2014; McCann et al., 2008; Song et al., 2000; </w:t>
      </w:r>
      <w:proofErr w:type="spellStart"/>
      <w:r w:rsidRPr="00610012">
        <w:rPr>
          <w:rFonts w:eastAsia="Times New Roman" w:cs="Times New Roman"/>
          <w:iCs/>
          <w:color w:val="000000" w:themeColor="text1"/>
          <w:szCs w:val="24"/>
        </w:rPr>
        <w:t>Turrigiano</w:t>
      </w:r>
      <w:proofErr w:type="spellEnd"/>
      <w:r w:rsidRPr="00610012">
        <w:rPr>
          <w:rFonts w:eastAsia="Times New Roman" w:cs="Times New Roman"/>
          <w:iCs/>
          <w:color w:val="000000" w:themeColor="text1"/>
          <w:szCs w:val="24"/>
        </w:rPr>
        <w:t xml:space="preserve"> &amp; Nelson, 2004; van </w:t>
      </w:r>
      <w:proofErr w:type="spellStart"/>
      <w:r w:rsidRPr="00610012">
        <w:rPr>
          <w:rFonts w:eastAsia="Times New Roman" w:cs="Times New Roman"/>
          <w:iCs/>
          <w:color w:val="000000" w:themeColor="text1"/>
          <w:szCs w:val="24"/>
        </w:rPr>
        <w:t>Ooyen</w:t>
      </w:r>
      <w:proofErr w:type="spellEnd"/>
      <w:r w:rsidRPr="00610012">
        <w:rPr>
          <w:rFonts w:eastAsia="Times New Roman" w:cs="Times New Roman"/>
          <w:iCs/>
          <w:color w:val="000000" w:themeColor="text1"/>
          <w:szCs w:val="24"/>
        </w:rPr>
        <w:t xml:space="preserve"> &amp; </w:t>
      </w:r>
      <w:proofErr w:type="spellStart"/>
      <w:r w:rsidRPr="00610012">
        <w:rPr>
          <w:rFonts w:eastAsia="Times New Roman" w:cs="Times New Roman"/>
          <w:iCs/>
          <w:color w:val="000000" w:themeColor="text1"/>
          <w:szCs w:val="24"/>
        </w:rPr>
        <w:t>Butz</w:t>
      </w:r>
      <w:proofErr w:type="spellEnd"/>
      <w:r w:rsidRPr="00610012">
        <w:rPr>
          <w:rFonts w:eastAsia="Times New Roman" w:cs="Times New Roman"/>
          <w:iCs/>
          <w:color w:val="000000" w:themeColor="text1"/>
          <w:szCs w:val="24"/>
        </w:rPr>
        <w:t xml:space="preserve">-Ostendorf, 2017; </w:t>
      </w:r>
      <w:proofErr w:type="spellStart"/>
      <w:r w:rsidRPr="00610012">
        <w:rPr>
          <w:rFonts w:eastAsia="Times New Roman" w:cs="Times New Roman"/>
          <w:iCs/>
          <w:color w:val="000000" w:themeColor="text1"/>
          <w:szCs w:val="24"/>
        </w:rPr>
        <w:t>Yuste</w:t>
      </w:r>
      <w:proofErr w:type="spellEnd"/>
      <w:r w:rsidRPr="00610012">
        <w:rPr>
          <w:rFonts w:eastAsia="Times New Roman" w:cs="Times New Roman"/>
          <w:iCs/>
          <w:color w:val="000000" w:themeColor="text1"/>
          <w:szCs w:val="24"/>
        </w:rPr>
        <w:t xml:space="preserve"> &amp; Bonhoeffer, 2004; </w:t>
      </w:r>
      <w:proofErr w:type="spellStart"/>
      <w:r w:rsidRPr="00610012">
        <w:rPr>
          <w:rFonts w:eastAsia="Times New Roman" w:cs="Times New Roman"/>
          <w:iCs/>
          <w:color w:val="000000" w:themeColor="text1"/>
          <w:szCs w:val="24"/>
        </w:rPr>
        <w:t>Zenke</w:t>
      </w:r>
      <w:proofErr w:type="spellEnd"/>
      <w:r w:rsidRPr="00610012">
        <w:rPr>
          <w:rFonts w:eastAsia="Times New Roman" w:cs="Times New Roman"/>
          <w:iCs/>
          <w:color w:val="000000" w:themeColor="text1"/>
          <w:szCs w:val="24"/>
        </w:rPr>
        <w:t xml:space="preserve"> &amp; Gerstner, 2017)]. The interaction between them, their specific detailed mechanisms and different roles are still not fully understood. However, increasing experimental evidence shows that synaptic plasticity takes place on time scales that may range from seconds to minutes and up to hours [see e.g. (</w:t>
      </w:r>
      <w:proofErr w:type="spellStart"/>
      <w:r w:rsidRPr="00610012">
        <w:rPr>
          <w:rFonts w:eastAsia="Times New Roman" w:cs="Times New Roman"/>
          <w:iCs/>
          <w:color w:val="000000" w:themeColor="text1"/>
          <w:szCs w:val="24"/>
        </w:rPr>
        <w:t>Zenke</w:t>
      </w:r>
      <w:proofErr w:type="spellEnd"/>
      <w:r w:rsidRPr="00610012">
        <w:rPr>
          <w:rFonts w:eastAsia="Times New Roman" w:cs="Times New Roman"/>
          <w:iCs/>
          <w:color w:val="000000" w:themeColor="text1"/>
          <w:szCs w:val="24"/>
        </w:rPr>
        <w:t xml:space="preserve"> &amp; Gerstner, 2017)]. In contrast, structural plasticity is a much slower process which has been identified to take place across longer time frames, i.e., from several hours through to days, weeks and months [see e.g. (van </w:t>
      </w:r>
      <w:proofErr w:type="spellStart"/>
      <w:r w:rsidRPr="00610012">
        <w:rPr>
          <w:rFonts w:eastAsia="Times New Roman" w:cs="Times New Roman"/>
          <w:iCs/>
          <w:color w:val="000000" w:themeColor="text1"/>
          <w:szCs w:val="24"/>
        </w:rPr>
        <w:t>Ooyen</w:t>
      </w:r>
      <w:proofErr w:type="spellEnd"/>
      <w:r w:rsidRPr="00610012">
        <w:rPr>
          <w:rFonts w:eastAsia="Times New Roman" w:cs="Times New Roman"/>
          <w:iCs/>
          <w:color w:val="000000" w:themeColor="text1"/>
          <w:szCs w:val="24"/>
        </w:rPr>
        <w:t xml:space="preserve"> &amp; </w:t>
      </w:r>
      <w:proofErr w:type="spellStart"/>
      <w:r w:rsidRPr="00610012">
        <w:rPr>
          <w:rFonts w:eastAsia="Times New Roman" w:cs="Times New Roman"/>
          <w:iCs/>
          <w:color w:val="000000" w:themeColor="text1"/>
          <w:szCs w:val="24"/>
        </w:rPr>
        <w:t>Butz</w:t>
      </w:r>
      <w:proofErr w:type="spellEnd"/>
      <w:r w:rsidRPr="00610012">
        <w:rPr>
          <w:rFonts w:eastAsia="Times New Roman" w:cs="Times New Roman"/>
          <w:iCs/>
          <w:color w:val="000000" w:themeColor="text1"/>
          <w:szCs w:val="24"/>
        </w:rPr>
        <w:t xml:space="preserve">-Ostendorf, 2017)]. </w:t>
      </w:r>
      <w:r w:rsidRPr="00610012">
        <w:rPr>
          <w:rFonts w:eastAsia="Times New Roman" w:cs="Times New Roman"/>
          <w:color w:val="000000" w:themeColor="text1"/>
          <w:szCs w:val="24"/>
        </w:rPr>
        <w:t>The homeostatic control was considered as an internal mechanism of neurons which allows them to keep a healthy operating regime (</w:t>
      </w:r>
      <w:proofErr w:type="spellStart"/>
      <w:r w:rsidRPr="00610012">
        <w:rPr>
          <w:rFonts w:eastAsia="Times New Roman" w:cs="Times New Roman"/>
          <w:color w:val="000000" w:themeColor="text1"/>
          <w:szCs w:val="24"/>
        </w:rPr>
        <w:t>Harnack</w:t>
      </w:r>
      <w:proofErr w:type="spellEnd"/>
      <w:r w:rsidRPr="00610012">
        <w:rPr>
          <w:rFonts w:eastAsia="Times New Roman" w:cs="Times New Roman"/>
          <w:color w:val="000000" w:themeColor="text1"/>
          <w:szCs w:val="24"/>
        </w:rPr>
        <w:t xml:space="preserve"> et al., 2015). The analytical framework in that study was based on control theory and explores possible and adequate conditions for stability in recurrent networks which can be directly linked to different mechanisms of plasticity such as the ones we explore in this study.</w:t>
      </w:r>
      <w:bookmarkStart w:id="4" w:name="_Hlk18525357"/>
      <w:r w:rsidRPr="00610012">
        <w:rPr>
          <w:rFonts w:eastAsia="Times New Roman" w:cs="Times New Roman"/>
          <w:color w:val="000000" w:themeColor="text1"/>
          <w:szCs w:val="24"/>
        </w:rPr>
        <w:t xml:space="preserve"> </w:t>
      </w:r>
      <w:bookmarkStart w:id="5" w:name="_Hlk18743206"/>
      <w:r w:rsidRPr="00610012">
        <w:rPr>
          <w:rFonts w:eastAsia="Times New Roman" w:cs="Times New Roman"/>
          <w:color w:val="000000" w:themeColor="text1"/>
          <w:szCs w:val="24"/>
          <w:lang w:eastAsia="de-DE"/>
        </w:rPr>
        <w:t xml:space="preserve">A review on the recent developments in the field </w:t>
      </w:r>
      <w:r w:rsidRPr="00610012">
        <w:rPr>
          <w:rFonts w:eastAsia="Times New Roman" w:cs="Times New Roman"/>
          <w:color w:val="000000" w:themeColor="text1"/>
          <w:szCs w:val="24"/>
          <w:lang w:eastAsia="de-DE"/>
        </w:rPr>
        <w:lastRenderedPageBreak/>
        <w:t xml:space="preserve">of homeostatic plasticity and the stabilization of neural function can be found in (Davis, 2013). For example, it was shown that during aging the homeostatic signaling system adjusts its response to accommodate to a new set point (Mahoney et al., 2014), a more detailed discussion can be found regarding the existence of many homeostatic points and how these are regulated by certain molecular transporters. In a recent computational study (Lu et al., 2019) a neural network model with </w:t>
      </w:r>
      <w:r w:rsidRPr="00610012">
        <w:rPr>
          <w:rFonts w:eastAsia="Times New Roman" w:cs="Times New Roman"/>
          <w:color w:val="000000" w:themeColor="text1"/>
          <w:szCs w:val="24"/>
        </w:rPr>
        <w:t>s</w:t>
      </w:r>
      <w:r w:rsidRPr="00610012">
        <w:rPr>
          <w:rFonts w:eastAsia="Times New Roman" w:cs="Times New Roman"/>
          <w:color w:val="000000" w:themeColor="text1"/>
          <w:szCs w:val="24"/>
          <w:lang w:eastAsia="de-DE"/>
        </w:rPr>
        <w:t>tructural plasticity enabled to reproduce long-lasting effects of transcranial brain stimulation</w:t>
      </w:r>
      <w:bookmarkEnd w:id="5"/>
      <w:r w:rsidRPr="00610012">
        <w:rPr>
          <w:rFonts w:eastAsia="Times New Roman" w:cs="Times New Roman"/>
          <w:color w:val="000000" w:themeColor="text1"/>
          <w:szCs w:val="24"/>
          <w:lang w:eastAsia="de-DE"/>
        </w:rPr>
        <w:t>.</w:t>
      </w:r>
      <w:bookmarkEnd w:id="4"/>
    </w:p>
    <w:p w14:paraId="0809D31B" w14:textId="42F6BAE1" w:rsidR="00AE2E2F" w:rsidRDefault="00C65CE5">
      <w:pPr>
        <w:tabs>
          <w:tab w:val="left" w:pos="3686"/>
        </w:tabs>
        <w:ind w:firstLine="284"/>
        <w:jc w:val="both"/>
        <w:rPr>
          <w:rFonts w:eastAsia="Times New Roman" w:cs="Times New Roman"/>
          <w:color w:val="000000" w:themeColor="text1"/>
          <w:szCs w:val="24"/>
        </w:rPr>
      </w:pPr>
      <w:r w:rsidRPr="00610012">
        <w:rPr>
          <w:rFonts w:eastAsia="Times New Roman" w:cs="Times New Roman"/>
          <w:color w:val="000000" w:themeColor="text1"/>
          <w:szCs w:val="24"/>
          <w:lang w:eastAsia="de-DE"/>
        </w:rPr>
        <w:t>Different types of homeostatic plasticity mechanisms, comprising the adjustment of synaptic strengths or intrinsic excitability were studied in the context of, e.g., activity-dependent development and memory storage (</w:t>
      </w:r>
      <w:proofErr w:type="spellStart"/>
      <w:r w:rsidRPr="00610012">
        <w:rPr>
          <w:rFonts w:eastAsia="Times New Roman" w:cs="Times New Roman"/>
          <w:color w:val="000000" w:themeColor="text1"/>
          <w:szCs w:val="24"/>
          <w:lang w:eastAsia="de-DE"/>
        </w:rPr>
        <w:t>Turrigiano</w:t>
      </w:r>
      <w:proofErr w:type="spellEnd"/>
      <w:r w:rsidRPr="00610012">
        <w:rPr>
          <w:rFonts w:eastAsia="Times New Roman" w:cs="Times New Roman"/>
          <w:color w:val="000000" w:themeColor="text1"/>
          <w:szCs w:val="24"/>
          <w:lang w:eastAsia="de-DE"/>
        </w:rPr>
        <w:t xml:space="preserve"> 1999; </w:t>
      </w:r>
      <w:proofErr w:type="spellStart"/>
      <w:r w:rsidRPr="00610012">
        <w:rPr>
          <w:rFonts w:eastAsia="Times New Roman" w:cs="Times New Roman"/>
          <w:color w:val="000000" w:themeColor="text1"/>
          <w:szCs w:val="24"/>
        </w:rPr>
        <w:t>Turrigiano</w:t>
      </w:r>
      <w:proofErr w:type="spellEnd"/>
      <w:r w:rsidRPr="00610012">
        <w:rPr>
          <w:rFonts w:eastAsia="Times New Roman" w:cs="Times New Roman"/>
          <w:color w:val="000000" w:themeColor="text1"/>
          <w:szCs w:val="24"/>
        </w:rPr>
        <w:t xml:space="preserve"> &amp; Nelson 2004; </w:t>
      </w:r>
      <w:r w:rsidRPr="00610012">
        <w:rPr>
          <w:rFonts w:eastAsia="Times New Roman" w:cs="Times New Roman"/>
          <w:color w:val="000000" w:themeColor="text1"/>
          <w:szCs w:val="24"/>
          <w:lang w:eastAsia="de-DE"/>
        </w:rPr>
        <w:t>Zhang &amp; Linden 2003</w:t>
      </w:r>
      <w:r w:rsidRPr="00610012">
        <w:rPr>
          <w:rFonts w:eastAsia="Times New Roman" w:cs="Times New Roman"/>
          <w:color w:val="000000" w:themeColor="text1"/>
          <w:szCs w:val="24"/>
        </w:rPr>
        <w:t>)</w:t>
      </w:r>
      <w:r w:rsidRPr="00610012">
        <w:rPr>
          <w:rFonts w:eastAsia="Times New Roman" w:cs="Times New Roman"/>
          <w:color w:val="000000" w:themeColor="text1"/>
          <w:szCs w:val="24"/>
          <w:lang w:eastAsia="de-DE"/>
        </w:rPr>
        <w:t xml:space="preserve">. Perforated patch clamp recordings in rat </w:t>
      </w:r>
      <w:proofErr w:type="spellStart"/>
      <w:r w:rsidRPr="00610012">
        <w:rPr>
          <w:rFonts w:eastAsia="Times New Roman" w:cs="Times New Roman"/>
          <w:color w:val="000000" w:themeColor="text1"/>
          <w:szCs w:val="24"/>
          <w:lang w:eastAsia="de-DE"/>
        </w:rPr>
        <w:t>corticostriatal</w:t>
      </w:r>
      <w:proofErr w:type="spellEnd"/>
      <w:r w:rsidRPr="00610012">
        <w:rPr>
          <w:rFonts w:eastAsia="Times New Roman" w:cs="Times New Roman"/>
          <w:color w:val="000000" w:themeColor="text1"/>
          <w:szCs w:val="24"/>
          <w:lang w:eastAsia="de-DE"/>
        </w:rPr>
        <w:t xml:space="preserve"> slices revealed a homeostatic mechanism enabling to maintain firing rates within functional range (</w:t>
      </w:r>
      <w:proofErr w:type="spellStart"/>
      <w:r w:rsidRPr="00610012">
        <w:rPr>
          <w:rFonts w:eastAsia="Times New Roman" w:cs="Times New Roman"/>
          <w:color w:val="000000" w:themeColor="text1"/>
          <w:szCs w:val="24"/>
          <w:lang w:eastAsia="de-DE"/>
        </w:rPr>
        <w:t>Azdad</w:t>
      </w:r>
      <w:proofErr w:type="spellEnd"/>
      <w:r w:rsidRPr="00610012">
        <w:rPr>
          <w:rFonts w:eastAsia="Times New Roman" w:cs="Times New Roman"/>
          <w:color w:val="000000" w:themeColor="text1"/>
          <w:szCs w:val="24"/>
          <w:lang w:eastAsia="de-DE"/>
        </w:rPr>
        <w:t xml:space="preserve"> et al., 2009). Specifically, this study showed that dopamine depletion increased the intrinsic excitability of striatal medium spiny neurons by decreasing an inactivating A-type potassium current. The CR-induced change of the target firing rate might be mediated by a mechanism similar to intrinsic plasticity, i.e., to learning-induced changes of the function of voltage-gated ion channels, in turn, leading to sustained changes in the intrinsic excitability of neurons (Zhang &amp; Linden 2003). In Parkinson’s disease several other homeostatic mechanisms may be affected, too, for instance, synaptic homeostasis (Soukup et al., 2018), mitochondrial homeostasis (Ng et al., 2017) and iron homeostasis (Double et al., 2000).</w:t>
      </w:r>
      <w:r w:rsidRPr="00610012">
        <w:rPr>
          <w:rFonts w:cs="Times New Roman"/>
          <w:color w:val="000000" w:themeColor="text1"/>
        </w:rPr>
        <w:t xml:space="preserve"> </w:t>
      </w:r>
      <w:r w:rsidRPr="00610012">
        <w:rPr>
          <w:rFonts w:eastAsia="Times New Roman" w:cs="Times New Roman"/>
          <w:color w:val="000000" w:themeColor="text1"/>
          <w:szCs w:val="24"/>
        </w:rPr>
        <w:t>In (Lu et al., 2019) the same structural plasticity model used in this manuscript was incorporated in a different neuronal network (without STDP) to model effects of transcranial direct current stimulation. In that study structural plasticity modulated excitatory connections only. Their numerical results were in agreement with empirical evidence related to positive and negative effects of this type of therapy.</w:t>
      </w:r>
    </w:p>
    <w:p w14:paraId="2ACD69E1" w14:textId="77777777" w:rsidR="00AC303F" w:rsidRPr="00AC303F" w:rsidRDefault="00AC303F" w:rsidP="00AC303F">
      <w:pPr>
        <w:spacing w:after="0"/>
        <w:rPr>
          <w:b/>
          <w:bCs/>
        </w:rPr>
      </w:pPr>
      <w:r w:rsidRPr="00AC303F">
        <w:rPr>
          <w:b/>
          <w:bCs/>
        </w:rPr>
        <w:t xml:space="preserve">Code and scripts availability </w:t>
      </w:r>
    </w:p>
    <w:p w14:paraId="3CEEA8C5" w14:textId="2563AE30" w:rsidR="00AC303F" w:rsidRPr="00AC303F" w:rsidRDefault="00AC303F" w:rsidP="00AC303F">
      <w:pPr>
        <w:tabs>
          <w:tab w:val="left" w:pos="3686"/>
        </w:tabs>
        <w:jc w:val="both"/>
        <w:rPr>
          <w:rFonts w:eastAsia="Times New Roman" w:cs="Times New Roman"/>
          <w:color w:val="000000" w:themeColor="text1"/>
          <w:szCs w:val="24"/>
          <w:lang w:eastAsia="de-DE"/>
        </w:rPr>
      </w:pPr>
      <w:r w:rsidRPr="00AC303F">
        <w:t xml:space="preserve">The NEST version used for the simulations presented in this manuscript can be found here: https://github.com/sdiazpier/nest-simulator.git (branch </w:t>
      </w:r>
      <w:proofErr w:type="spellStart"/>
      <w:r w:rsidRPr="00AC303F">
        <w:t>dbs_sp</w:t>
      </w:r>
      <w:proofErr w:type="spellEnd"/>
      <w:r w:rsidRPr="00AC303F">
        <w:t>) and the model scripts can be found in this repository: https://github.com/sdiazpier/dbs_sp.git.</w:t>
      </w:r>
    </w:p>
    <w:p w14:paraId="7BF460E3" w14:textId="77777777" w:rsidR="00AE2E2F" w:rsidRPr="00610012" w:rsidRDefault="00C65CE5">
      <w:pPr>
        <w:pStyle w:val="EndNoteBibliography"/>
        <w:spacing w:after="0"/>
        <w:rPr>
          <w:rFonts w:eastAsia="Times New Roman"/>
          <w:b/>
          <w:iCs/>
          <w:color w:val="000000" w:themeColor="text1"/>
        </w:rPr>
      </w:pPr>
      <w:r w:rsidRPr="00610012">
        <w:rPr>
          <w:rFonts w:eastAsia="Times New Roman"/>
          <w:b/>
          <w:iCs/>
          <w:color w:val="000000" w:themeColor="text1"/>
        </w:rPr>
        <w:t>References</w:t>
      </w:r>
    </w:p>
    <w:p w14:paraId="6935D980" w14:textId="77777777" w:rsidR="00AE2E2F" w:rsidRPr="00610012" w:rsidRDefault="00C65CE5">
      <w:pPr>
        <w:pStyle w:val="EndNoteBibliography"/>
        <w:spacing w:after="0"/>
        <w:ind w:left="720" w:hanging="720"/>
        <w:rPr>
          <w:rFonts w:eastAsia="Times New Roman"/>
          <w:color w:val="000000" w:themeColor="text1"/>
          <w:lang w:eastAsia="de-DE"/>
        </w:rPr>
      </w:pPr>
      <w:proofErr w:type="spellStart"/>
      <w:r w:rsidRPr="00610012">
        <w:rPr>
          <w:rFonts w:eastAsia="Times New Roman"/>
          <w:color w:val="000000" w:themeColor="text1"/>
          <w:lang w:eastAsia="de-DE"/>
        </w:rPr>
        <w:t>Azdad</w:t>
      </w:r>
      <w:proofErr w:type="spellEnd"/>
      <w:r w:rsidRPr="00610012">
        <w:rPr>
          <w:rFonts w:eastAsia="Times New Roman"/>
          <w:color w:val="000000" w:themeColor="text1"/>
          <w:lang w:eastAsia="de-DE"/>
        </w:rPr>
        <w:t xml:space="preserve">, K., </w:t>
      </w:r>
      <w:proofErr w:type="spellStart"/>
      <w:r w:rsidRPr="00610012">
        <w:rPr>
          <w:rFonts w:eastAsia="Times New Roman"/>
          <w:color w:val="000000" w:themeColor="text1"/>
          <w:lang w:eastAsia="de-DE"/>
        </w:rPr>
        <w:t>Chàvez</w:t>
      </w:r>
      <w:proofErr w:type="spellEnd"/>
      <w:r w:rsidRPr="00610012">
        <w:rPr>
          <w:rFonts w:eastAsia="Times New Roman"/>
          <w:color w:val="000000" w:themeColor="text1"/>
          <w:lang w:eastAsia="de-DE"/>
        </w:rPr>
        <w:t xml:space="preserve">, M., </w:t>
      </w:r>
      <w:proofErr w:type="spellStart"/>
      <w:r w:rsidRPr="00610012">
        <w:rPr>
          <w:rFonts w:eastAsia="Times New Roman"/>
          <w:color w:val="000000" w:themeColor="text1"/>
          <w:lang w:eastAsia="de-DE"/>
        </w:rPr>
        <w:t>Bischop</w:t>
      </w:r>
      <w:proofErr w:type="spellEnd"/>
      <w:r w:rsidRPr="00610012">
        <w:rPr>
          <w:rFonts w:eastAsia="Times New Roman"/>
          <w:color w:val="000000" w:themeColor="text1"/>
          <w:lang w:eastAsia="de-DE"/>
        </w:rPr>
        <w:t xml:space="preserve">, P. D., </w:t>
      </w:r>
      <w:proofErr w:type="spellStart"/>
      <w:r w:rsidRPr="00610012">
        <w:rPr>
          <w:rFonts w:eastAsia="Times New Roman"/>
          <w:color w:val="000000" w:themeColor="text1"/>
          <w:lang w:eastAsia="de-DE"/>
        </w:rPr>
        <w:t>Wetzelaer</w:t>
      </w:r>
      <w:proofErr w:type="spellEnd"/>
      <w:r w:rsidRPr="00610012">
        <w:rPr>
          <w:rFonts w:eastAsia="Times New Roman"/>
          <w:color w:val="000000" w:themeColor="text1"/>
          <w:lang w:eastAsia="de-DE"/>
        </w:rPr>
        <w:t xml:space="preserve">, P., </w:t>
      </w:r>
      <w:proofErr w:type="spellStart"/>
      <w:r w:rsidRPr="00610012">
        <w:rPr>
          <w:rFonts w:eastAsia="Times New Roman"/>
          <w:color w:val="000000" w:themeColor="text1"/>
          <w:lang w:eastAsia="de-DE"/>
        </w:rPr>
        <w:t>Marescau</w:t>
      </w:r>
      <w:proofErr w:type="spellEnd"/>
      <w:r w:rsidRPr="00610012">
        <w:rPr>
          <w:rFonts w:eastAsia="Times New Roman"/>
          <w:color w:val="000000" w:themeColor="text1"/>
          <w:lang w:eastAsia="de-DE"/>
        </w:rPr>
        <w:t xml:space="preserve">, B., De </w:t>
      </w:r>
      <w:proofErr w:type="spellStart"/>
      <w:r w:rsidRPr="00610012">
        <w:rPr>
          <w:rFonts w:eastAsia="Times New Roman"/>
          <w:color w:val="000000" w:themeColor="text1"/>
          <w:lang w:eastAsia="de-DE"/>
        </w:rPr>
        <w:t>Deyn</w:t>
      </w:r>
      <w:proofErr w:type="spellEnd"/>
      <w:r w:rsidRPr="00610012">
        <w:rPr>
          <w:rFonts w:eastAsia="Times New Roman"/>
          <w:color w:val="000000" w:themeColor="text1"/>
          <w:lang w:eastAsia="de-DE"/>
        </w:rPr>
        <w:t xml:space="preserve">, P. P., Gall, D. &amp; </w:t>
      </w:r>
      <w:proofErr w:type="spellStart"/>
      <w:r w:rsidRPr="00610012">
        <w:rPr>
          <w:rFonts w:eastAsia="Times New Roman"/>
          <w:color w:val="000000" w:themeColor="text1"/>
          <w:lang w:eastAsia="de-DE"/>
        </w:rPr>
        <w:t>Schiffmann</w:t>
      </w:r>
      <w:proofErr w:type="spellEnd"/>
      <w:r w:rsidRPr="00610012">
        <w:rPr>
          <w:rFonts w:eastAsia="Times New Roman"/>
          <w:color w:val="000000" w:themeColor="text1"/>
          <w:lang w:eastAsia="de-DE"/>
        </w:rPr>
        <w:t xml:space="preserve">, S. N. (2009). Homeostatic Plasticity of Striatal Neurons Intrinsic Excitability following Dopamine Depletion. </w:t>
      </w:r>
      <w:proofErr w:type="spellStart"/>
      <w:r w:rsidRPr="00610012">
        <w:rPr>
          <w:rFonts w:eastAsia="Times New Roman"/>
          <w:i/>
          <w:iCs/>
          <w:color w:val="000000" w:themeColor="text1"/>
          <w:lang w:eastAsia="de-DE"/>
        </w:rPr>
        <w:t>PLoS</w:t>
      </w:r>
      <w:proofErr w:type="spellEnd"/>
      <w:r w:rsidRPr="00610012">
        <w:rPr>
          <w:rFonts w:eastAsia="Times New Roman"/>
          <w:i/>
          <w:iCs/>
          <w:color w:val="000000" w:themeColor="text1"/>
          <w:lang w:eastAsia="de-DE"/>
        </w:rPr>
        <w:t xml:space="preserve"> ONE</w:t>
      </w:r>
      <w:r w:rsidRPr="00610012">
        <w:rPr>
          <w:rFonts w:eastAsia="Times New Roman"/>
          <w:color w:val="000000" w:themeColor="text1"/>
          <w:lang w:eastAsia="de-DE"/>
        </w:rPr>
        <w:t xml:space="preserve"> 4(9): e6908. </w:t>
      </w:r>
      <w:proofErr w:type="gramStart"/>
      <w:r w:rsidRPr="00610012">
        <w:rPr>
          <w:rFonts w:eastAsia="Times New Roman"/>
          <w:color w:val="000000" w:themeColor="text1"/>
          <w:lang w:eastAsia="de-DE"/>
        </w:rPr>
        <w:t>doi:10.1371/journal.pone</w:t>
      </w:r>
      <w:proofErr w:type="gramEnd"/>
      <w:r w:rsidRPr="00610012">
        <w:rPr>
          <w:rFonts w:eastAsia="Times New Roman"/>
          <w:color w:val="000000" w:themeColor="text1"/>
          <w:lang w:eastAsia="de-DE"/>
        </w:rPr>
        <w:t>.0006908</w:t>
      </w:r>
    </w:p>
    <w:p w14:paraId="51E5F936" w14:textId="77777777" w:rsidR="00AE2E2F" w:rsidRPr="00610012" w:rsidRDefault="00C65CE5">
      <w:pPr>
        <w:pStyle w:val="EndNoteBibliography"/>
        <w:spacing w:after="0"/>
        <w:ind w:left="720" w:hanging="720"/>
        <w:rPr>
          <w:rFonts w:eastAsia="Times New Roman"/>
          <w:color w:val="000000" w:themeColor="text1"/>
        </w:rPr>
      </w:pPr>
      <w:r w:rsidRPr="00610012">
        <w:rPr>
          <w:rFonts w:eastAsia="Times New Roman"/>
          <w:color w:val="000000" w:themeColor="text1"/>
        </w:rPr>
        <w:t xml:space="preserve">Davis, G. W. (2013). Homeostatic Signaling and the Stabilization of Neural Function. </w:t>
      </w:r>
      <w:r w:rsidRPr="00610012">
        <w:rPr>
          <w:rFonts w:eastAsia="Times New Roman"/>
          <w:i/>
          <w:color w:val="000000" w:themeColor="text1"/>
        </w:rPr>
        <w:t>Neuron</w:t>
      </w:r>
      <w:r w:rsidRPr="00610012">
        <w:rPr>
          <w:rFonts w:eastAsia="Times New Roman"/>
          <w:color w:val="000000" w:themeColor="text1"/>
        </w:rPr>
        <w:t>,</w:t>
      </w:r>
      <w:r w:rsidRPr="00610012">
        <w:rPr>
          <w:rFonts w:eastAsia="Times New Roman"/>
          <w:i/>
          <w:color w:val="000000" w:themeColor="text1"/>
        </w:rPr>
        <w:t xml:space="preserve"> 80</w:t>
      </w:r>
      <w:r w:rsidRPr="00610012">
        <w:rPr>
          <w:rFonts w:eastAsia="Times New Roman"/>
          <w:color w:val="000000" w:themeColor="text1"/>
        </w:rPr>
        <w:t xml:space="preserve">(3), 718-728. https://doi.org/10.1016/j.neuron.2013.09.044 </w:t>
      </w:r>
    </w:p>
    <w:p w14:paraId="7E96742A" w14:textId="77777777" w:rsidR="00AE2E2F" w:rsidRPr="00610012" w:rsidRDefault="00C65CE5">
      <w:pPr>
        <w:pStyle w:val="EndNoteBibliography"/>
        <w:spacing w:after="0"/>
        <w:ind w:left="720" w:hanging="720"/>
        <w:rPr>
          <w:rFonts w:eastAsia="Times New Roman"/>
          <w:color w:val="000000" w:themeColor="text1"/>
        </w:rPr>
      </w:pPr>
      <w:r w:rsidRPr="00610012">
        <w:rPr>
          <w:rFonts w:eastAsia="Times New Roman"/>
          <w:color w:val="000000" w:themeColor="text1"/>
          <w:lang w:val="de-DE" w:eastAsia="de-DE"/>
        </w:rPr>
        <w:t xml:space="preserve">Double, K., L., Gerlach, M., Youdim, M. B. H., &amp; Riederer, P. (2000). </w:t>
      </w:r>
      <w:r w:rsidRPr="00610012">
        <w:rPr>
          <w:rFonts w:eastAsia="Times New Roman"/>
          <w:color w:val="000000" w:themeColor="text1"/>
          <w:lang w:eastAsia="de-DE"/>
        </w:rPr>
        <w:t xml:space="preserve">Impaired iron homeostasis in Parkinson’s disease. </w:t>
      </w:r>
      <w:r w:rsidRPr="00610012">
        <w:rPr>
          <w:rFonts w:eastAsia="Times New Roman"/>
          <w:i/>
          <w:iCs/>
          <w:color w:val="000000" w:themeColor="text1"/>
          <w:lang w:eastAsia="de-DE"/>
        </w:rPr>
        <w:t xml:space="preserve">J. Neural. </w:t>
      </w:r>
      <w:proofErr w:type="spellStart"/>
      <w:r w:rsidRPr="00610012">
        <w:rPr>
          <w:rFonts w:eastAsia="Times New Roman"/>
          <w:i/>
          <w:iCs/>
          <w:color w:val="000000" w:themeColor="text1"/>
          <w:lang w:eastAsia="de-DE"/>
        </w:rPr>
        <w:t>Transm</w:t>
      </w:r>
      <w:proofErr w:type="spellEnd"/>
      <w:r w:rsidRPr="00610012">
        <w:rPr>
          <w:rFonts w:eastAsia="Times New Roman"/>
          <w:color w:val="000000" w:themeColor="text1"/>
          <w:lang w:eastAsia="de-DE"/>
        </w:rPr>
        <w:t>. [Suppl.] 60:21-42.</w:t>
      </w:r>
    </w:p>
    <w:p w14:paraId="6CF37082" w14:textId="77777777" w:rsidR="00AE2E2F" w:rsidRPr="00610012" w:rsidRDefault="00C65CE5">
      <w:pPr>
        <w:pStyle w:val="EndNoteBibliography"/>
        <w:spacing w:after="0"/>
        <w:ind w:left="720" w:hanging="720"/>
        <w:rPr>
          <w:rFonts w:eastAsia="Times New Roman"/>
          <w:color w:val="000000" w:themeColor="text1"/>
        </w:rPr>
      </w:pPr>
      <w:proofErr w:type="spellStart"/>
      <w:r w:rsidRPr="00610012">
        <w:rPr>
          <w:rFonts w:eastAsia="Times New Roman"/>
          <w:color w:val="000000" w:themeColor="text1"/>
        </w:rPr>
        <w:t>Engert</w:t>
      </w:r>
      <w:proofErr w:type="spellEnd"/>
      <w:r w:rsidRPr="00610012">
        <w:rPr>
          <w:rFonts w:eastAsia="Times New Roman"/>
          <w:color w:val="000000" w:themeColor="text1"/>
        </w:rPr>
        <w:t xml:space="preserve">, F., &amp; Bonhoeffer, T. (1999). Dendritic spine changes associated with hippocampal long-term synaptic plasticity. </w:t>
      </w:r>
      <w:r w:rsidRPr="00610012">
        <w:rPr>
          <w:rFonts w:eastAsia="Times New Roman"/>
          <w:i/>
          <w:color w:val="000000" w:themeColor="text1"/>
        </w:rPr>
        <w:t>Nature</w:t>
      </w:r>
      <w:r w:rsidRPr="00610012">
        <w:rPr>
          <w:rFonts w:eastAsia="Times New Roman"/>
          <w:color w:val="000000" w:themeColor="text1"/>
        </w:rPr>
        <w:t>,</w:t>
      </w:r>
      <w:r w:rsidRPr="00610012">
        <w:rPr>
          <w:rFonts w:eastAsia="Times New Roman"/>
          <w:i/>
          <w:color w:val="000000" w:themeColor="text1"/>
        </w:rPr>
        <w:t xml:space="preserve"> 399</w:t>
      </w:r>
      <w:r w:rsidRPr="00610012">
        <w:rPr>
          <w:rFonts w:eastAsia="Times New Roman"/>
          <w:color w:val="000000" w:themeColor="text1"/>
        </w:rPr>
        <w:t>, 66. https://doi.org/10.1038/19978</w:t>
      </w:r>
    </w:p>
    <w:p w14:paraId="523011CD" w14:textId="77777777" w:rsidR="00AE2E2F" w:rsidRPr="00610012" w:rsidRDefault="00C65CE5">
      <w:pPr>
        <w:pStyle w:val="EndNoteBibliography"/>
        <w:spacing w:after="0"/>
        <w:ind w:left="720" w:hanging="720"/>
        <w:rPr>
          <w:rFonts w:eastAsia="Times New Roman"/>
          <w:color w:val="000000" w:themeColor="text1"/>
        </w:rPr>
      </w:pPr>
      <w:proofErr w:type="spellStart"/>
      <w:r w:rsidRPr="00610012">
        <w:rPr>
          <w:rFonts w:eastAsia="Times New Roman"/>
          <w:color w:val="000000" w:themeColor="text1"/>
        </w:rPr>
        <w:t>Harnack</w:t>
      </w:r>
      <w:proofErr w:type="spellEnd"/>
      <w:r w:rsidRPr="00610012">
        <w:rPr>
          <w:rFonts w:eastAsia="Times New Roman"/>
          <w:color w:val="000000" w:themeColor="text1"/>
        </w:rPr>
        <w:t xml:space="preserve">, D., </w:t>
      </w:r>
      <w:proofErr w:type="spellStart"/>
      <w:r w:rsidRPr="00610012">
        <w:rPr>
          <w:rFonts w:eastAsia="Times New Roman"/>
          <w:color w:val="000000" w:themeColor="text1"/>
        </w:rPr>
        <w:t>Pelko</w:t>
      </w:r>
      <w:proofErr w:type="spellEnd"/>
      <w:r w:rsidRPr="00610012">
        <w:rPr>
          <w:rFonts w:eastAsia="Times New Roman"/>
          <w:color w:val="000000" w:themeColor="text1"/>
        </w:rPr>
        <w:t xml:space="preserve">, M., </w:t>
      </w:r>
      <w:proofErr w:type="spellStart"/>
      <w:r w:rsidRPr="00610012">
        <w:rPr>
          <w:rFonts w:eastAsia="Times New Roman"/>
          <w:color w:val="000000" w:themeColor="text1"/>
        </w:rPr>
        <w:t>Chaillet</w:t>
      </w:r>
      <w:proofErr w:type="spellEnd"/>
      <w:r w:rsidRPr="00610012">
        <w:rPr>
          <w:rFonts w:eastAsia="Times New Roman"/>
          <w:color w:val="000000" w:themeColor="text1"/>
        </w:rPr>
        <w:t xml:space="preserve">, A., </w:t>
      </w:r>
      <w:proofErr w:type="spellStart"/>
      <w:r w:rsidRPr="00610012">
        <w:rPr>
          <w:rFonts w:eastAsia="Times New Roman"/>
          <w:color w:val="000000" w:themeColor="text1"/>
        </w:rPr>
        <w:t>Chitour</w:t>
      </w:r>
      <w:proofErr w:type="spellEnd"/>
      <w:r w:rsidRPr="00610012">
        <w:rPr>
          <w:rFonts w:eastAsia="Times New Roman"/>
          <w:color w:val="000000" w:themeColor="text1"/>
        </w:rPr>
        <w:t xml:space="preserve">, Y., &amp; van Rossum, M. C. W. (2015). Stability of Neuronal Networks with Homeostatic Regulation. </w:t>
      </w:r>
      <w:r w:rsidRPr="00610012">
        <w:rPr>
          <w:rFonts w:eastAsia="Times New Roman"/>
          <w:i/>
          <w:color w:val="000000" w:themeColor="text1"/>
        </w:rPr>
        <w:t>PLOS Computational Biology</w:t>
      </w:r>
      <w:r w:rsidRPr="00610012">
        <w:rPr>
          <w:rFonts w:eastAsia="Times New Roman"/>
          <w:color w:val="000000" w:themeColor="text1"/>
        </w:rPr>
        <w:t>,</w:t>
      </w:r>
      <w:r w:rsidRPr="00610012">
        <w:rPr>
          <w:rFonts w:eastAsia="Times New Roman"/>
          <w:i/>
          <w:color w:val="000000" w:themeColor="text1"/>
        </w:rPr>
        <w:t xml:space="preserve"> 11</w:t>
      </w:r>
      <w:r w:rsidRPr="00610012">
        <w:rPr>
          <w:rFonts w:eastAsia="Times New Roman"/>
          <w:color w:val="000000" w:themeColor="text1"/>
        </w:rPr>
        <w:t xml:space="preserve">(7), e1004357. https://doi.org/10.1371/journal.pcbi.1004357 </w:t>
      </w:r>
    </w:p>
    <w:p w14:paraId="1927D8F1" w14:textId="77777777" w:rsidR="00AE2E2F" w:rsidRPr="00610012" w:rsidRDefault="00C65CE5">
      <w:pPr>
        <w:pStyle w:val="EndNoteBibliography"/>
        <w:spacing w:after="0"/>
        <w:ind w:left="720" w:hanging="720"/>
        <w:rPr>
          <w:rFonts w:eastAsia="Times New Roman"/>
          <w:color w:val="000000" w:themeColor="text1"/>
        </w:rPr>
      </w:pPr>
      <w:proofErr w:type="spellStart"/>
      <w:r w:rsidRPr="00610012">
        <w:rPr>
          <w:rFonts w:eastAsia="Times New Roman"/>
          <w:color w:val="000000" w:themeColor="text1"/>
        </w:rPr>
        <w:t>Hübener</w:t>
      </w:r>
      <w:proofErr w:type="spellEnd"/>
      <w:r w:rsidRPr="00610012">
        <w:rPr>
          <w:rFonts w:eastAsia="Times New Roman"/>
          <w:color w:val="000000" w:themeColor="text1"/>
        </w:rPr>
        <w:t xml:space="preserve">, M., &amp; Bonhoeffer, T. (2014). Neuronal Plasticity: Beyond the Critical Period. </w:t>
      </w:r>
      <w:r w:rsidRPr="00610012">
        <w:rPr>
          <w:rFonts w:eastAsia="Times New Roman"/>
          <w:i/>
          <w:color w:val="000000" w:themeColor="text1"/>
        </w:rPr>
        <w:t>Cell</w:t>
      </w:r>
      <w:r w:rsidRPr="00610012">
        <w:rPr>
          <w:rFonts w:eastAsia="Times New Roman"/>
          <w:color w:val="000000" w:themeColor="text1"/>
        </w:rPr>
        <w:t>,</w:t>
      </w:r>
      <w:r w:rsidRPr="00610012">
        <w:rPr>
          <w:rFonts w:eastAsia="Times New Roman"/>
          <w:i/>
          <w:color w:val="000000" w:themeColor="text1"/>
        </w:rPr>
        <w:t xml:space="preserve"> 159</w:t>
      </w:r>
      <w:r w:rsidRPr="00610012">
        <w:rPr>
          <w:rFonts w:eastAsia="Times New Roman"/>
          <w:color w:val="000000" w:themeColor="text1"/>
        </w:rPr>
        <w:t xml:space="preserve">(4), 727-737. https://doi.org/10.1016/j.cell.2014.10.035 </w:t>
      </w:r>
    </w:p>
    <w:p w14:paraId="28BA4582" w14:textId="77777777" w:rsidR="00AE2E2F" w:rsidRPr="00610012" w:rsidRDefault="00C65CE5">
      <w:pPr>
        <w:pStyle w:val="EndNoteBibliography"/>
        <w:spacing w:after="0"/>
        <w:ind w:left="720" w:hanging="720"/>
        <w:rPr>
          <w:rFonts w:eastAsia="Times New Roman"/>
          <w:color w:val="000000" w:themeColor="text1"/>
        </w:rPr>
      </w:pPr>
      <w:r w:rsidRPr="00610012">
        <w:rPr>
          <w:rFonts w:eastAsia="Times New Roman"/>
          <w:color w:val="000000" w:themeColor="text1"/>
        </w:rPr>
        <w:t xml:space="preserve">Lu, H., </w:t>
      </w:r>
      <w:proofErr w:type="spellStart"/>
      <w:r w:rsidRPr="00610012">
        <w:rPr>
          <w:rFonts w:eastAsia="Times New Roman"/>
          <w:color w:val="000000" w:themeColor="text1"/>
        </w:rPr>
        <w:t>Gallinaro</w:t>
      </w:r>
      <w:proofErr w:type="spellEnd"/>
      <w:r w:rsidRPr="00610012">
        <w:rPr>
          <w:rFonts w:eastAsia="Times New Roman"/>
          <w:color w:val="000000" w:themeColor="text1"/>
        </w:rPr>
        <w:t xml:space="preserve">, J. V., &amp; Rotter, S. (2019). Network remodeling induced by transcranial brain stimulation: A computational model of </w:t>
      </w:r>
      <w:proofErr w:type="spellStart"/>
      <w:r w:rsidRPr="00610012">
        <w:rPr>
          <w:rFonts w:eastAsia="Times New Roman"/>
          <w:color w:val="000000" w:themeColor="text1"/>
        </w:rPr>
        <w:t>tDCS</w:t>
      </w:r>
      <w:proofErr w:type="spellEnd"/>
      <w:r w:rsidRPr="00610012">
        <w:rPr>
          <w:rFonts w:eastAsia="Times New Roman"/>
          <w:color w:val="000000" w:themeColor="text1"/>
        </w:rPr>
        <w:t xml:space="preserve">-triggered cell assembly formation. </w:t>
      </w:r>
      <w:r w:rsidRPr="00610012">
        <w:rPr>
          <w:rFonts w:eastAsia="Times New Roman"/>
          <w:i/>
          <w:color w:val="000000" w:themeColor="text1"/>
        </w:rPr>
        <w:t>Network Neuroscience</w:t>
      </w:r>
      <w:r w:rsidRPr="00610012">
        <w:rPr>
          <w:rFonts w:eastAsia="Times New Roman"/>
          <w:color w:val="000000" w:themeColor="text1"/>
        </w:rPr>
        <w:t xml:space="preserve">, 1-21. https://doi.org/10.1162/netn_a_00097 </w:t>
      </w:r>
    </w:p>
    <w:p w14:paraId="0D09494C" w14:textId="77777777" w:rsidR="00AE2E2F" w:rsidRPr="00610012" w:rsidRDefault="00C65CE5">
      <w:pPr>
        <w:pStyle w:val="EndNoteBibliography"/>
        <w:spacing w:after="0"/>
        <w:ind w:left="720" w:hanging="720"/>
        <w:rPr>
          <w:rFonts w:eastAsia="Times New Roman"/>
          <w:color w:val="000000" w:themeColor="text1"/>
        </w:rPr>
      </w:pPr>
      <w:r w:rsidRPr="00610012">
        <w:rPr>
          <w:rFonts w:eastAsia="Times New Roman"/>
          <w:color w:val="000000" w:themeColor="text1"/>
        </w:rPr>
        <w:lastRenderedPageBreak/>
        <w:t xml:space="preserve">Mahoney, R. E., Rawson, J. M., &amp; Eaton, B. A. (2014). An Age-Dependent Change in the Set Point of Synaptic Homeostasis. </w:t>
      </w:r>
      <w:r w:rsidRPr="00610012">
        <w:rPr>
          <w:rFonts w:eastAsia="Times New Roman"/>
          <w:i/>
          <w:color w:val="000000" w:themeColor="text1"/>
        </w:rPr>
        <w:t>The Journal of Neuroscience</w:t>
      </w:r>
      <w:r w:rsidRPr="00610012">
        <w:rPr>
          <w:rFonts w:eastAsia="Times New Roman"/>
          <w:color w:val="000000" w:themeColor="text1"/>
        </w:rPr>
        <w:t>,</w:t>
      </w:r>
      <w:r w:rsidRPr="00610012">
        <w:rPr>
          <w:rFonts w:eastAsia="Times New Roman"/>
          <w:i/>
          <w:color w:val="000000" w:themeColor="text1"/>
        </w:rPr>
        <w:t xml:space="preserve"> 34</w:t>
      </w:r>
      <w:r w:rsidRPr="00610012">
        <w:rPr>
          <w:rFonts w:eastAsia="Times New Roman"/>
          <w:color w:val="000000" w:themeColor="text1"/>
        </w:rPr>
        <w:t xml:space="preserve">(6), 2111. https://doi.org/10.1523/JNEUROSCI.3556-13.2014 </w:t>
      </w:r>
    </w:p>
    <w:p w14:paraId="384D9D82" w14:textId="77777777" w:rsidR="00AE2E2F" w:rsidRPr="00610012" w:rsidRDefault="00C65CE5">
      <w:pPr>
        <w:pStyle w:val="EndNoteBibliography"/>
        <w:spacing w:after="0"/>
        <w:ind w:left="720" w:hanging="720"/>
        <w:rPr>
          <w:rFonts w:eastAsia="Times New Roman"/>
          <w:color w:val="000000" w:themeColor="text1"/>
        </w:rPr>
      </w:pPr>
      <w:r w:rsidRPr="00610012">
        <w:rPr>
          <w:rFonts w:eastAsia="Times New Roman"/>
          <w:color w:val="000000" w:themeColor="text1"/>
        </w:rPr>
        <w:t xml:space="preserve">McCann, C. M., Tapia, J. C., Kim, H., Coggan, J. S., &amp; Lichtman, J. W. (2008). Rapid and modifiable neurotransmitter receptor dynamics at a neuronal synapse in vivo [Article]. </w:t>
      </w:r>
      <w:r w:rsidRPr="00610012">
        <w:rPr>
          <w:rFonts w:eastAsia="Times New Roman"/>
          <w:i/>
          <w:color w:val="000000" w:themeColor="text1"/>
        </w:rPr>
        <w:t>Nature Neuroscience</w:t>
      </w:r>
      <w:r w:rsidRPr="00610012">
        <w:rPr>
          <w:rFonts w:eastAsia="Times New Roman"/>
          <w:color w:val="000000" w:themeColor="text1"/>
        </w:rPr>
        <w:t>,</w:t>
      </w:r>
      <w:r w:rsidRPr="00610012">
        <w:rPr>
          <w:rFonts w:eastAsia="Times New Roman"/>
          <w:i/>
          <w:color w:val="000000" w:themeColor="text1"/>
        </w:rPr>
        <w:t xml:space="preserve"> 11</w:t>
      </w:r>
      <w:r w:rsidRPr="00610012">
        <w:rPr>
          <w:rFonts w:eastAsia="Times New Roman"/>
          <w:color w:val="000000" w:themeColor="text1"/>
        </w:rPr>
        <w:t>, 807. https://doi.org/10.1038/nn.2145</w:t>
      </w:r>
    </w:p>
    <w:p w14:paraId="14A06736" w14:textId="77777777" w:rsidR="00AE2E2F" w:rsidRPr="00610012" w:rsidRDefault="00C65CE5">
      <w:pPr>
        <w:pStyle w:val="EndNoteBibliography"/>
        <w:spacing w:after="0"/>
        <w:ind w:left="720" w:hanging="720"/>
        <w:rPr>
          <w:rFonts w:eastAsia="Times New Roman"/>
          <w:color w:val="000000" w:themeColor="text1"/>
          <w:lang w:eastAsia="de-DE"/>
        </w:rPr>
      </w:pPr>
      <w:r w:rsidRPr="00610012">
        <w:rPr>
          <w:rFonts w:eastAsia="Times New Roman"/>
          <w:color w:val="000000" w:themeColor="text1"/>
          <w:lang w:eastAsia="de-DE"/>
        </w:rPr>
        <w:t xml:space="preserve">Ng, C. H., Hang, L., &amp; Lim, K. L. (2017). Mitochondrial homeostasis in Parkinson’s disease - a triumvirate rule? </w:t>
      </w:r>
      <w:r w:rsidRPr="00610012">
        <w:rPr>
          <w:rFonts w:eastAsia="Times New Roman"/>
          <w:i/>
          <w:iCs/>
          <w:color w:val="000000" w:themeColor="text1"/>
          <w:lang w:eastAsia="de-DE"/>
        </w:rPr>
        <w:t>Neural Regeneration Research</w:t>
      </w:r>
      <w:r w:rsidRPr="00610012">
        <w:rPr>
          <w:rFonts w:eastAsia="Times New Roman"/>
          <w:color w:val="000000" w:themeColor="text1"/>
          <w:lang w:eastAsia="de-DE"/>
        </w:rPr>
        <w:t>. 12(8):1270-1272.</w:t>
      </w:r>
    </w:p>
    <w:p w14:paraId="68A43411" w14:textId="77777777" w:rsidR="00AE2E2F" w:rsidRPr="00610012" w:rsidRDefault="00C65CE5">
      <w:pPr>
        <w:pStyle w:val="EndNoteBibliography"/>
        <w:spacing w:after="0"/>
        <w:ind w:left="720" w:hanging="720"/>
        <w:rPr>
          <w:rFonts w:eastAsia="Times New Roman"/>
          <w:color w:val="000000" w:themeColor="text1"/>
        </w:rPr>
      </w:pPr>
      <w:r w:rsidRPr="00610012">
        <w:rPr>
          <w:rFonts w:eastAsia="Times New Roman"/>
          <w:color w:val="000000" w:themeColor="text1"/>
        </w:rPr>
        <w:t xml:space="preserve">Song, S., Miller, K. D., &amp; Abbott, L. F. (2000). Competitive Hebbian learning through spike-timing-dependent synaptic plasticity. </w:t>
      </w:r>
      <w:r w:rsidRPr="00610012">
        <w:rPr>
          <w:rFonts w:eastAsia="Times New Roman"/>
          <w:i/>
          <w:color w:val="000000" w:themeColor="text1"/>
        </w:rPr>
        <w:t>Nature Neuroscience</w:t>
      </w:r>
      <w:r w:rsidRPr="00610012">
        <w:rPr>
          <w:rFonts w:eastAsia="Times New Roman"/>
          <w:color w:val="000000" w:themeColor="text1"/>
        </w:rPr>
        <w:t>,</w:t>
      </w:r>
      <w:r w:rsidRPr="00610012">
        <w:rPr>
          <w:rFonts w:eastAsia="Times New Roman"/>
          <w:i/>
          <w:color w:val="000000" w:themeColor="text1"/>
        </w:rPr>
        <w:t xml:space="preserve"> 3</w:t>
      </w:r>
      <w:r w:rsidRPr="00610012">
        <w:rPr>
          <w:rFonts w:eastAsia="Times New Roman"/>
          <w:color w:val="000000" w:themeColor="text1"/>
        </w:rPr>
        <w:t xml:space="preserve">, 919. https://doi.org/10.1038/78829 </w:t>
      </w:r>
    </w:p>
    <w:p w14:paraId="7E6E6BE1" w14:textId="77777777" w:rsidR="00AE2E2F" w:rsidRPr="00610012" w:rsidRDefault="00C65CE5">
      <w:pPr>
        <w:pStyle w:val="EndNoteBibliography"/>
        <w:spacing w:after="0"/>
        <w:ind w:left="720" w:hanging="720"/>
        <w:rPr>
          <w:rFonts w:eastAsia="Times New Roman"/>
          <w:color w:val="000000" w:themeColor="text1"/>
        </w:rPr>
      </w:pPr>
      <w:r w:rsidRPr="00610012">
        <w:rPr>
          <w:rFonts w:eastAsia="Times New Roman"/>
          <w:color w:val="000000" w:themeColor="text1"/>
          <w:lang w:eastAsia="de-DE"/>
        </w:rPr>
        <w:t xml:space="preserve">Soukup, S. F., </w:t>
      </w:r>
      <w:proofErr w:type="spellStart"/>
      <w:r w:rsidRPr="00610012">
        <w:rPr>
          <w:rFonts w:eastAsia="Times New Roman"/>
          <w:color w:val="000000" w:themeColor="text1"/>
          <w:lang w:eastAsia="de-DE"/>
        </w:rPr>
        <w:t>Vanhauwaert</w:t>
      </w:r>
      <w:proofErr w:type="spellEnd"/>
      <w:r w:rsidRPr="00610012">
        <w:rPr>
          <w:rFonts w:eastAsia="Times New Roman"/>
          <w:color w:val="000000" w:themeColor="text1"/>
          <w:lang w:eastAsia="de-DE"/>
        </w:rPr>
        <w:t xml:space="preserve">, R., &amp; </w:t>
      </w:r>
      <w:proofErr w:type="spellStart"/>
      <w:r w:rsidRPr="00610012">
        <w:rPr>
          <w:rFonts w:eastAsia="Times New Roman"/>
          <w:color w:val="000000" w:themeColor="text1"/>
          <w:lang w:eastAsia="de-DE"/>
        </w:rPr>
        <w:t>Verstreken</w:t>
      </w:r>
      <w:proofErr w:type="spellEnd"/>
      <w:r w:rsidRPr="00610012">
        <w:rPr>
          <w:rFonts w:eastAsia="Times New Roman"/>
          <w:color w:val="000000" w:themeColor="text1"/>
          <w:lang w:eastAsia="de-DE"/>
        </w:rPr>
        <w:t xml:space="preserve">, P. (2018). Parkinson’s disease: convergence on synaptic homeostasis. </w:t>
      </w:r>
      <w:r w:rsidRPr="00610012">
        <w:rPr>
          <w:rFonts w:eastAsia="Times New Roman"/>
          <w:i/>
          <w:iCs/>
          <w:color w:val="000000" w:themeColor="text1"/>
          <w:lang w:eastAsia="de-DE"/>
        </w:rPr>
        <w:t>The EMBO Journal.</w:t>
      </w:r>
      <w:r w:rsidRPr="00610012">
        <w:rPr>
          <w:rFonts w:eastAsia="Times New Roman"/>
          <w:color w:val="000000" w:themeColor="text1"/>
          <w:lang w:eastAsia="de-DE"/>
        </w:rPr>
        <w:t xml:space="preserve"> 37: e98960</w:t>
      </w:r>
    </w:p>
    <w:p w14:paraId="6D2D92AB" w14:textId="77777777" w:rsidR="00AE2E2F" w:rsidRPr="00610012" w:rsidRDefault="00C65CE5">
      <w:pPr>
        <w:pStyle w:val="EndNoteBibliography"/>
        <w:spacing w:after="0"/>
        <w:ind w:left="720" w:hanging="720"/>
        <w:rPr>
          <w:rFonts w:eastAsia="Times New Roman"/>
          <w:color w:val="000000" w:themeColor="text1"/>
        </w:rPr>
      </w:pPr>
      <w:proofErr w:type="spellStart"/>
      <w:r w:rsidRPr="00610012">
        <w:rPr>
          <w:rFonts w:eastAsia="Times New Roman"/>
          <w:color w:val="000000" w:themeColor="text1"/>
          <w:lang w:eastAsia="de-DE"/>
        </w:rPr>
        <w:t>Turrigiano</w:t>
      </w:r>
      <w:proofErr w:type="spellEnd"/>
      <w:r w:rsidRPr="00610012">
        <w:rPr>
          <w:rFonts w:eastAsia="Times New Roman"/>
          <w:color w:val="000000" w:themeColor="text1"/>
          <w:lang w:eastAsia="de-DE"/>
        </w:rPr>
        <w:t xml:space="preserve">, G. G. (1999). Homeostatic plasticity in neuronal networks: the more things change, the more they stay the same. </w:t>
      </w:r>
      <w:r w:rsidRPr="00610012">
        <w:rPr>
          <w:rFonts w:eastAsia="Times New Roman"/>
          <w:i/>
          <w:iCs/>
          <w:color w:val="000000" w:themeColor="text1"/>
          <w:lang w:eastAsia="de-DE"/>
        </w:rPr>
        <w:t xml:space="preserve">Trends </w:t>
      </w:r>
      <w:proofErr w:type="spellStart"/>
      <w:r w:rsidRPr="00610012">
        <w:rPr>
          <w:rFonts w:eastAsia="Times New Roman"/>
          <w:i/>
          <w:iCs/>
          <w:color w:val="000000" w:themeColor="text1"/>
          <w:lang w:eastAsia="de-DE"/>
        </w:rPr>
        <w:t>Neurosci</w:t>
      </w:r>
      <w:proofErr w:type="spellEnd"/>
      <w:r w:rsidRPr="00610012">
        <w:rPr>
          <w:rFonts w:eastAsia="Times New Roman"/>
          <w:color w:val="000000" w:themeColor="text1"/>
          <w:lang w:eastAsia="de-DE"/>
        </w:rPr>
        <w:t>. 22: 221–22.</w:t>
      </w:r>
    </w:p>
    <w:p w14:paraId="086094BF" w14:textId="77777777" w:rsidR="00AE2E2F" w:rsidRPr="00610012" w:rsidRDefault="00C65CE5">
      <w:pPr>
        <w:pStyle w:val="EndNoteBibliography"/>
        <w:spacing w:after="0"/>
        <w:ind w:left="720" w:hanging="720"/>
        <w:rPr>
          <w:rFonts w:eastAsia="Times New Roman"/>
          <w:color w:val="000000" w:themeColor="text1"/>
        </w:rPr>
      </w:pPr>
      <w:proofErr w:type="spellStart"/>
      <w:r w:rsidRPr="00610012">
        <w:rPr>
          <w:rFonts w:eastAsia="Times New Roman"/>
          <w:color w:val="000000" w:themeColor="text1"/>
        </w:rPr>
        <w:t>Turrigiano</w:t>
      </w:r>
      <w:proofErr w:type="spellEnd"/>
      <w:r w:rsidRPr="00610012">
        <w:rPr>
          <w:rFonts w:eastAsia="Times New Roman"/>
          <w:color w:val="000000" w:themeColor="text1"/>
        </w:rPr>
        <w:t xml:space="preserve">, G. G., &amp; Nelson, S. B. (2004). Homeostatic plasticity in the developing nervous system. </w:t>
      </w:r>
      <w:r w:rsidRPr="00610012">
        <w:rPr>
          <w:rFonts w:eastAsia="Times New Roman"/>
          <w:i/>
          <w:color w:val="000000" w:themeColor="text1"/>
        </w:rPr>
        <w:t>Nature Reviews Neuroscience</w:t>
      </w:r>
      <w:r w:rsidRPr="00610012">
        <w:rPr>
          <w:rFonts w:eastAsia="Times New Roman"/>
          <w:color w:val="000000" w:themeColor="text1"/>
        </w:rPr>
        <w:t>,</w:t>
      </w:r>
      <w:r w:rsidRPr="00610012">
        <w:rPr>
          <w:rFonts w:eastAsia="Times New Roman"/>
          <w:i/>
          <w:color w:val="000000" w:themeColor="text1"/>
        </w:rPr>
        <w:t xml:space="preserve"> 5</w:t>
      </w:r>
      <w:r w:rsidRPr="00610012">
        <w:rPr>
          <w:rFonts w:eastAsia="Times New Roman"/>
          <w:color w:val="000000" w:themeColor="text1"/>
        </w:rPr>
        <w:t xml:space="preserve">, 97. https://doi.org/10.1038/nrn1327 </w:t>
      </w:r>
    </w:p>
    <w:p w14:paraId="7C372924" w14:textId="77777777" w:rsidR="00AE2E2F" w:rsidRPr="00610012" w:rsidRDefault="00C65CE5">
      <w:pPr>
        <w:pStyle w:val="EndNoteBibliography"/>
        <w:spacing w:after="0"/>
        <w:ind w:left="720" w:hanging="720"/>
        <w:rPr>
          <w:rFonts w:eastAsia="Times New Roman"/>
          <w:color w:val="000000" w:themeColor="text1"/>
        </w:rPr>
      </w:pPr>
      <w:r w:rsidRPr="00610012">
        <w:rPr>
          <w:rFonts w:eastAsia="Times New Roman"/>
          <w:color w:val="000000" w:themeColor="text1"/>
          <w:lang w:val="de-DE"/>
        </w:rPr>
        <w:t xml:space="preserve">van Ooyen, A., &amp; Butz-Ostendorf, M. (2017). </w:t>
      </w:r>
      <w:r w:rsidRPr="00610012">
        <w:rPr>
          <w:rFonts w:eastAsia="Times New Roman"/>
          <w:i/>
          <w:color w:val="000000" w:themeColor="text1"/>
        </w:rPr>
        <w:t xml:space="preserve">The Rewiring Brain </w:t>
      </w:r>
      <w:proofErr w:type="gramStart"/>
      <w:r w:rsidRPr="00610012">
        <w:rPr>
          <w:rFonts w:eastAsia="Times New Roman"/>
          <w:i/>
          <w:color w:val="000000" w:themeColor="text1"/>
        </w:rPr>
        <w:t>A</w:t>
      </w:r>
      <w:proofErr w:type="gramEnd"/>
      <w:r w:rsidRPr="00610012">
        <w:rPr>
          <w:rFonts w:eastAsia="Times New Roman"/>
          <w:i/>
          <w:color w:val="000000" w:themeColor="text1"/>
        </w:rPr>
        <w:t xml:space="preserve"> Computational Approach to Structural Plasticity in the Adult Brain</w:t>
      </w:r>
      <w:r w:rsidRPr="00610012">
        <w:rPr>
          <w:rFonts w:eastAsia="Times New Roman"/>
          <w:color w:val="000000" w:themeColor="text1"/>
        </w:rPr>
        <w:t>. Academic Press</w:t>
      </w:r>
    </w:p>
    <w:p w14:paraId="6B324E66" w14:textId="77777777" w:rsidR="00AE2E2F" w:rsidRPr="00610012" w:rsidRDefault="00C65CE5">
      <w:pPr>
        <w:pStyle w:val="EndNoteBibliography"/>
        <w:spacing w:after="0"/>
        <w:ind w:left="720" w:hanging="720"/>
        <w:rPr>
          <w:rFonts w:eastAsia="Times New Roman"/>
          <w:color w:val="000000" w:themeColor="text1"/>
        </w:rPr>
      </w:pPr>
      <w:proofErr w:type="spellStart"/>
      <w:r w:rsidRPr="00610012">
        <w:rPr>
          <w:rFonts w:eastAsia="Times New Roman"/>
          <w:color w:val="000000" w:themeColor="text1"/>
        </w:rPr>
        <w:t>Yuste</w:t>
      </w:r>
      <w:proofErr w:type="spellEnd"/>
      <w:r w:rsidRPr="00610012">
        <w:rPr>
          <w:rFonts w:eastAsia="Times New Roman"/>
          <w:color w:val="000000" w:themeColor="text1"/>
        </w:rPr>
        <w:t xml:space="preserve">, R., &amp; Bonhoeffer, T. (2004). Genesis of dendritic spines: insights from ultrastructural and imaging studies [Review Article]. </w:t>
      </w:r>
      <w:r w:rsidRPr="00610012">
        <w:rPr>
          <w:rFonts w:eastAsia="Times New Roman"/>
          <w:i/>
          <w:color w:val="000000" w:themeColor="text1"/>
        </w:rPr>
        <w:t>Nature Reviews Neuroscience</w:t>
      </w:r>
      <w:r w:rsidRPr="00610012">
        <w:rPr>
          <w:rFonts w:eastAsia="Times New Roman"/>
          <w:color w:val="000000" w:themeColor="text1"/>
        </w:rPr>
        <w:t>,</w:t>
      </w:r>
      <w:r w:rsidRPr="00610012">
        <w:rPr>
          <w:rFonts w:eastAsia="Times New Roman"/>
          <w:i/>
          <w:color w:val="000000" w:themeColor="text1"/>
        </w:rPr>
        <w:t xml:space="preserve"> 5</w:t>
      </w:r>
      <w:r w:rsidRPr="00610012">
        <w:rPr>
          <w:rFonts w:eastAsia="Times New Roman"/>
          <w:color w:val="000000" w:themeColor="text1"/>
        </w:rPr>
        <w:t xml:space="preserve">, 24. https://doi.org/10.1038/nrn1300 </w:t>
      </w:r>
    </w:p>
    <w:p w14:paraId="03F696DE" w14:textId="77777777" w:rsidR="00AE2E2F" w:rsidRPr="00610012" w:rsidRDefault="00C65CE5">
      <w:pPr>
        <w:pStyle w:val="EndNoteBibliography"/>
        <w:spacing w:after="0"/>
        <w:ind w:left="720" w:hanging="720"/>
        <w:rPr>
          <w:rFonts w:eastAsia="Times New Roman"/>
          <w:color w:val="000000" w:themeColor="text1"/>
        </w:rPr>
      </w:pPr>
      <w:proofErr w:type="spellStart"/>
      <w:r w:rsidRPr="00610012">
        <w:rPr>
          <w:rFonts w:eastAsia="Times New Roman"/>
          <w:color w:val="000000" w:themeColor="text1"/>
        </w:rPr>
        <w:t>Zenke</w:t>
      </w:r>
      <w:proofErr w:type="spellEnd"/>
      <w:r w:rsidRPr="00610012">
        <w:rPr>
          <w:rFonts w:eastAsia="Times New Roman"/>
          <w:color w:val="000000" w:themeColor="text1"/>
        </w:rPr>
        <w:t xml:space="preserve">, F., &amp; Gerstner, W. (2017). Hebbian plasticity requires compensatory processes on multiple timescales. </w:t>
      </w:r>
      <w:r w:rsidRPr="00610012">
        <w:rPr>
          <w:rFonts w:eastAsia="Times New Roman"/>
          <w:i/>
          <w:color w:val="000000" w:themeColor="text1"/>
        </w:rPr>
        <w:t>Philosophical transactions of the Royal Society of London. Series B, Biological sciences</w:t>
      </w:r>
      <w:r w:rsidRPr="00610012">
        <w:rPr>
          <w:rFonts w:eastAsia="Times New Roman"/>
          <w:color w:val="000000" w:themeColor="text1"/>
        </w:rPr>
        <w:t>,</w:t>
      </w:r>
      <w:r w:rsidRPr="00610012">
        <w:rPr>
          <w:rFonts w:eastAsia="Times New Roman"/>
          <w:i/>
          <w:color w:val="000000" w:themeColor="text1"/>
        </w:rPr>
        <w:t xml:space="preserve"> 372</w:t>
      </w:r>
      <w:r w:rsidRPr="00610012">
        <w:rPr>
          <w:rFonts w:eastAsia="Times New Roman"/>
          <w:color w:val="000000" w:themeColor="text1"/>
        </w:rPr>
        <w:t xml:space="preserve">(1715), 20160259. https://doi.org/10.1098/rstb.2016.0259 </w:t>
      </w:r>
    </w:p>
    <w:p w14:paraId="26068736" w14:textId="77777777" w:rsidR="00AE2E2F" w:rsidRPr="00610012" w:rsidRDefault="00C65CE5">
      <w:pPr>
        <w:pStyle w:val="EndNoteBibliography"/>
        <w:spacing w:after="0"/>
        <w:ind w:left="720" w:hanging="720"/>
        <w:rPr>
          <w:rFonts w:eastAsia="Times New Roman"/>
          <w:color w:val="000000" w:themeColor="text1"/>
        </w:rPr>
      </w:pPr>
      <w:r w:rsidRPr="00610012">
        <w:rPr>
          <w:rFonts w:eastAsia="Times New Roman"/>
          <w:color w:val="000000" w:themeColor="text1"/>
          <w:lang w:val="de-DE" w:eastAsia="de-DE"/>
        </w:rPr>
        <w:t>Zhang, W., &amp; Linden, D. J. (2003)</w:t>
      </w:r>
      <w:r w:rsidRPr="00610012">
        <w:rPr>
          <w:rFonts w:eastAsia="Times New Roman"/>
          <w:color w:val="000000" w:themeColor="text1"/>
          <w:lang w:val="de-DE"/>
        </w:rPr>
        <w:t xml:space="preserve">. </w:t>
      </w:r>
      <w:r w:rsidRPr="00610012">
        <w:rPr>
          <w:rFonts w:eastAsia="Times New Roman"/>
          <w:color w:val="000000" w:themeColor="text1"/>
          <w:lang w:eastAsia="de-DE"/>
        </w:rPr>
        <w:t xml:space="preserve">The other side of the engram: experience-driven changes in neuronal intrinsic excitability. </w:t>
      </w:r>
      <w:r w:rsidRPr="00610012">
        <w:rPr>
          <w:rFonts w:eastAsia="Times New Roman"/>
          <w:i/>
          <w:iCs/>
          <w:color w:val="000000" w:themeColor="text1"/>
          <w:lang w:eastAsia="de-DE"/>
        </w:rPr>
        <w:t xml:space="preserve">Nature Rev. </w:t>
      </w:r>
      <w:proofErr w:type="spellStart"/>
      <w:r w:rsidRPr="00610012">
        <w:rPr>
          <w:rFonts w:eastAsia="Times New Roman"/>
          <w:i/>
          <w:iCs/>
          <w:color w:val="000000" w:themeColor="text1"/>
          <w:lang w:eastAsia="de-DE"/>
        </w:rPr>
        <w:t>Neurosci</w:t>
      </w:r>
      <w:proofErr w:type="spellEnd"/>
      <w:r w:rsidRPr="00610012">
        <w:rPr>
          <w:rFonts w:eastAsia="Times New Roman"/>
          <w:color w:val="000000" w:themeColor="text1"/>
          <w:lang w:eastAsia="de-DE"/>
        </w:rPr>
        <w:t>. 4: 885-900.</w:t>
      </w:r>
    </w:p>
    <w:p w14:paraId="637DDDCF" w14:textId="77777777" w:rsidR="00AE2E2F" w:rsidRPr="00610012" w:rsidRDefault="00AE2E2F">
      <w:pPr>
        <w:pStyle w:val="EndNoteBibliography"/>
        <w:spacing w:after="0"/>
        <w:ind w:left="720" w:hanging="720"/>
        <w:rPr>
          <w:rFonts w:eastAsia="Times New Roman"/>
          <w:color w:val="000000" w:themeColor="text1"/>
        </w:rPr>
      </w:pPr>
    </w:p>
    <w:p w14:paraId="6EB33B11" w14:textId="77777777" w:rsidR="00AE2E2F" w:rsidRPr="00610012" w:rsidRDefault="00AE2E2F">
      <w:pPr>
        <w:pStyle w:val="EndNoteBibliography"/>
        <w:spacing w:after="0"/>
        <w:ind w:left="720" w:hanging="720"/>
        <w:rPr>
          <w:rFonts w:eastAsia="Times New Roman"/>
          <w:color w:val="000000" w:themeColor="text1"/>
        </w:rPr>
      </w:pPr>
    </w:p>
    <w:p w14:paraId="6CEDF874" w14:textId="77777777" w:rsidR="00AE2E2F" w:rsidRPr="00610012" w:rsidRDefault="00AE2E2F">
      <w:pPr>
        <w:pStyle w:val="EndNoteBibliography"/>
        <w:ind w:left="720" w:hanging="720"/>
        <w:rPr>
          <w:rFonts w:eastAsia="Times New Roman"/>
          <w:color w:val="000000" w:themeColor="text1"/>
        </w:rPr>
      </w:pPr>
    </w:p>
    <w:p w14:paraId="00616EF5" w14:textId="77777777" w:rsidR="00AE2E2F" w:rsidRPr="00610012" w:rsidRDefault="00AE2E2F">
      <w:pPr>
        <w:pStyle w:val="EndNoteBibliography"/>
        <w:spacing w:after="0"/>
        <w:rPr>
          <w:color w:val="000000" w:themeColor="text1"/>
        </w:rPr>
      </w:pPr>
    </w:p>
    <w:sectPr w:rsidR="00AE2E2F" w:rsidRPr="00610012">
      <w:headerReference w:type="even" r:id="rId26"/>
      <w:footerReference w:type="even" r:id="rId27"/>
      <w:footerReference w:type="default" r:id="rId28"/>
      <w:headerReference w:type="first" r:id="rId29"/>
      <w:footerReference w:type="first" r:id="rId3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195C7" w14:textId="77777777" w:rsidR="003A1902" w:rsidRDefault="003A1902">
      <w:pPr>
        <w:spacing w:after="0"/>
      </w:pPr>
      <w:r>
        <w:separator/>
      </w:r>
    </w:p>
  </w:endnote>
  <w:endnote w:type="continuationSeparator" w:id="0">
    <w:p w14:paraId="3FF720A4" w14:textId="77777777" w:rsidR="003A1902" w:rsidRDefault="003A19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1686" w14:textId="77777777" w:rsidR="00AE2E2F" w:rsidRDefault="00C65CE5">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241EE84B" wp14:editId="50C24C17">
              <wp:simplePos x="0" y="0"/>
              <wp:positionH relativeFrom="margin">
                <wp:align>right</wp:align>
              </wp:positionH>
              <wp:positionV relativeFrom="bottomMargin">
                <wp:align>top</wp:align>
              </wp:positionV>
              <wp:extent cx="1508760" cy="395605"/>
              <wp:effectExtent l="0" t="0" r="0" b="0"/>
              <wp:wrapNone/>
              <wp:docPr id="3" name="Text Box 1"/>
              <wp:cNvGraphicFramePr/>
              <a:graphic xmlns:a="http://schemas.openxmlformats.org/drawingml/2006/main">
                <a:graphicData uri="http://schemas.microsoft.com/office/word/2010/wordprocessingShape">
                  <wps:wsp>
                    <wps:cNvSpPr/>
                    <wps:spPr bwMode="auto">
                      <a:xfrm>
                        <a:off x="0" y="0"/>
                        <a:ext cx="1508759" cy="395605"/>
                      </a:xfrm>
                      <a:prstGeom prst="rect">
                        <a:avLst/>
                      </a:prstGeom>
                      <a:noFill/>
                      <a:ln w="6350">
                        <a:noFill/>
                      </a:ln>
                    </wps:spPr>
                    <wps:txbx>
                      <w:txbxContent>
                        <w:p w14:paraId="19B379DD" w14:textId="77777777" w:rsidR="00AE2E2F" w:rsidRDefault="00C65CE5">
                          <w:pPr>
                            <w:jc w:val="right"/>
                            <w:rPr>
                              <w:rFonts w:asciiTheme="majorHAnsi" w:hAnsiTheme="majorHAnsi"/>
                              <w:color w:val="000000"/>
                              <w:szCs w:val="24"/>
                            </w:rPr>
                          </w:pPr>
                          <w:r>
                            <w:rPr>
                              <w:rFonts w:asciiTheme="majorHAnsi" w:hAnsiTheme="majorHAnsi"/>
                              <w:color w:val="000000" w:themeColor="text1"/>
                              <w:szCs w:val="24"/>
                            </w:rPr>
                            <w:fldChar w:fldCharType="begin"/>
                          </w:r>
                          <w:r>
                            <w:rPr>
                              <w:rFonts w:asciiTheme="majorHAnsi" w:hAnsiTheme="majorHAnsi"/>
                              <w:color w:val="000000" w:themeColor="text1"/>
                              <w:szCs w:val="24"/>
                            </w:rPr>
                            <w:instrText xml:space="preserve"> PAGE  \* Arabic  \* MERGEFORMAT </w:instrText>
                          </w:r>
                          <w:r>
                            <w:rPr>
                              <w:rFonts w:asciiTheme="majorHAnsi" w:hAnsiTheme="majorHAnsi"/>
                              <w:color w:val="000000" w:themeColor="text1"/>
                              <w:szCs w:val="24"/>
                            </w:rPr>
                            <w:fldChar w:fldCharType="separate"/>
                          </w:r>
                          <w:r>
                            <w:rPr>
                              <w:rFonts w:asciiTheme="majorHAnsi" w:hAnsiTheme="majorHAnsi"/>
                              <w:color w:val="000000" w:themeColor="text1"/>
                              <w:szCs w:val="24"/>
                            </w:rPr>
                            <w:t>3</w:t>
                          </w:r>
                          <w:r>
                            <w:rPr>
                              <w:rFonts w:asciiTheme="majorHAnsi" w:hAnsiTheme="majorHAnsi"/>
                              <w:color w:val="000000" w:themeColor="text1"/>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41EE84B" id="Text Box 1" o:spid="_x0000_s1026"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" filled="f" stroked="f" strokeweight=".5pt">
              <v:textbox style="mso-fit-shape-to-text:t">
                <w:txbxContent>
                  <w:p w14:paraId="19B379DD" w14:textId="77777777" w:rsidR="00AE2E2F" w:rsidRDefault="00C65CE5">
                    <w:pPr>
                      <w:jc w:val="right"/>
                      <w:rPr>
                        <w:rFonts w:asciiTheme="majorHAnsi" w:hAnsiTheme="majorHAnsi"/>
                        <w:color w:val="000000"/>
                        <w:szCs w:val="24"/>
                      </w:rPr>
                    </w:pPr>
                    <w:r>
                      <w:rPr>
                        <w:rFonts w:asciiTheme="majorHAnsi" w:hAnsiTheme="majorHAnsi"/>
                        <w:color w:val="000000" w:themeColor="text1"/>
                        <w:szCs w:val="24"/>
                      </w:rPr>
                      <w:fldChar w:fldCharType="begin"/>
                    </w:r>
                    <w:r>
                      <w:rPr>
                        <w:rFonts w:asciiTheme="majorHAnsi" w:hAnsiTheme="majorHAnsi"/>
                        <w:color w:val="000000" w:themeColor="text1"/>
                        <w:szCs w:val="24"/>
                      </w:rPr>
                      <w:instrText xml:space="preserve"> PAGE  \* Arabic  \* MERGEFORMAT </w:instrText>
                    </w:r>
                    <w:r>
                      <w:rPr>
                        <w:rFonts w:asciiTheme="majorHAnsi" w:hAnsiTheme="majorHAnsi"/>
                        <w:color w:val="000000" w:themeColor="text1"/>
                        <w:szCs w:val="24"/>
                      </w:rPr>
                      <w:fldChar w:fldCharType="separate"/>
                    </w:r>
                    <w:r>
                      <w:rPr>
                        <w:rFonts w:asciiTheme="majorHAnsi" w:hAnsiTheme="majorHAnsi"/>
                        <w:color w:val="000000" w:themeColor="text1"/>
                        <w:szCs w:val="24"/>
                      </w:rPr>
                      <w:t>3</w:t>
                    </w:r>
                    <w:r>
                      <w:rPr>
                        <w:rFonts w:asciiTheme="majorHAnsi" w:hAnsiTheme="majorHAnsi"/>
                        <w:color w:val="000000" w:themeColor="text1"/>
                        <w:szCs w:val="24"/>
                      </w:rP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03B1" w14:textId="77777777" w:rsidR="00AE2E2F" w:rsidRDefault="00C65CE5">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48EDF173" wp14:editId="6B5497E6">
              <wp:simplePos x="0" y="0"/>
              <wp:positionH relativeFrom="margin">
                <wp:align>right</wp:align>
              </wp:positionH>
              <wp:positionV relativeFrom="bottomMargin">
                <wp:align>top</wp:align>
              </wp:positionV>
              <wp:extent cx="1508760" cy="395605"/>
              <wp:effectExtent l="0" t="0" r="0" b="0"/>
              <wp:wrapNone/>
              <wp:docPr id="2" name="Text Box 56"/>
              <wp:cNvGraphicFramePr/>
              <a:graphic xmlns:a="http://schemas.openxmlformats.org/drawingml/2006/main">
                <a:graphicData uri="http://schemas.microsoft.com/office/word/2010/wordprocessingShape">
                  <wps:wsp>
                    <wps:cNvSpPr/>
                    <wps:spPr bwMode="auto">
                      <a:xfrm>
                        <a:off x="0" y="0"/>
                        <a:ext cx="1508759" cy="395605"/>
                      </a:xfrm>
                      <a:prstGeom prst="rect">
                        <a:avLst/>
                      </a:prstGeom>
                      <a:noFill/>
                      <a:ln w="6350">
                        <a:noFill/>
                      </a:ln>
                    </wps:spPr>
                    <wps:txbx>
                      <w:txbxContent>
                        <w:p w14:paraId="267BEB90" w14:textId="77777777" w:rsidR="00AE2E2F" w:rsidRDefault="00C65CE5">
                          <w:pPr>
                            <w:jc w:val="right"/>
                            <w:rPr>
                              <w:rFonts w:asciiTheme="majorHAnsi" w:hAnsiTheme="majorHAnsi"/>
                              <w:color w:val="000000"/>
                              <w:szCs w:val="24"/>
                            </w:rPr>
                          </w:pPr>
                          <w:r>
                            <w:rPr>
                              <w:rFonts w:asciiTheme="majorHAnsi" w:hAnsiTheme="majorHAnsi"/>
                              <w:color w:val="000000" w:themeColor="text1"/>
                              <w:szCs w:val="24"/>
                            </w:rPr>
                            <w:fldChar w:fldCharType="begin"/>
                          </w:r>
                          <w:r>
                            <w:rPr>
                              <w:rFonts w:asciiTheme="majorHAnsi" w:hAnsiTheme="majorHAnsi"/>
                              <w:color w:val="000000" w:themeColor="text1"/>
                              <w:szCs w:val="24"/>
                            </w:rPr>
                            <w:instrText xml:space="preserve"> PAGE  \* Arabic  \* MERGEFORMAT </w:instrText>
                          </w:r>
                          <w:r>
                            <w:rPr>
                              <w:rFonts w:asciiTheme="majorHAnsi" w:hAnsiTheme="majorHAnsi"/>
                              <w:color w:val="000000" w:themeColor="text1"/>
                              <w:szCs w:val="24"/>
                            </w:rPr>
                            <w:fldChar w:fldCharType="separate"/>
                          </w:r>
                          <w:r>
                            <w:rPr>
                              <w:rFonts w:asciiTheme="majorHAnsi" w:hAnsiTheme="majorHAnsi"/>
                              <w:color w:val="000000" w:themeColor="text1"/>
                              <w:szCs w:val="24"/>
                            </w:rPr>
                            <w:t>3</w:t>
                          </w:r>
                          <w:r>
                            <w:rPr>
                              <w:rFonts w:asciiTheme="majorHAnsi" w:hAnsiTheme="majorHAnsi"/>
                              <w:color w:val="000000" w:themeColor="text1"/>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8EDF173" id="Text Box 56" o:spid="_x0000_s1027"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" filled="f" stroked="f" strokeweight=".5pt">
              <v:textbox style="mso-fit-shape-to-text:t">
                <w:txbxContent>
                  <w:p w14:paraId="267BEB90" w14:textId="77777777" w:rsidR="00AE2E2F" w:rsidRDefault="00C65CE5">
                    <w:pPr>
                      <w:jc w:val="right"/>
                      <w:rPr>
                        <w:rFonts w:asciiTheme="majorHAnsi" w:hAnsiTheme="majorHAnsi"/>
                        <w:color w:val="000000"/>
                        <w:szCs w:val="24"/>
                      </w:rPr>
                    </w:pPr>
                    <w:r>
                      <w:rPr>
                        <w:rFonts w:asciiTheme="majorHAnsi" w:hAnsiTheme="majorHAnsi"/>
                        <w:color w:val="000000" w:themeColor="text1"/>
                        <w:szCs w:val="24"/>
                      </w:rPr>
                      <w:fldChar w:fldCharType="begin"/>
                    </w:r>
                    <w:r>
                      <w:rPr>
                        <w:rFonts w:asciiTheme="majorHAnsi" w:hAnsiTheme="majorHAnsi"/>
                        <w:color w:val="000000" w:themeColor="text1"/>
                        <w:szCs w:val="24"/>
                      </w:rPr>
                      <w:instrText xml:space="preserve"> PAGE  \* Arabic  \* MERGEFORMAT </w:instrText>
                    </w:r>
                    <w:r>
                      <w:rPr>
                        <w:rFonts w:asciiTheme="majorHAnsi" w:hAnsiTheme="majorHAnsi"/>
                        <w:color w:val="000000" w:themeColor="text1"/>
                        <w:szCs w:val="24"/>
                      </w:rPr>
                      <w:fldChar w:fldCharType="separate"/>
                    </w:r>
                    <w:r>
                      <w:rPr>
                        <w:rFonts w:asciiTheme="majorHAnsi" w:hAnsiTheme="majorHAnsi"/>
                        <w:color w:val="000000" w:themeColor="text1"/>
                        <w:szCs w:val="24"/>
                      </w:rPr>
                      <w:t>3</w:t>
                    </w:r>
                    <w:r>
                      <w:rPr>
                        <w:rFonts w:asciiTheme="majorHAnsi" w:hAnsiTheme="majorHAnsi"/>
                        <w:color w:val="000000" w:themeColor="text1"/>
                        <w:szCs w:val="24"/>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9AC0F" w14:textId="77777777" w:rsidR="00AE2E2F" w:rsidRDefault="00C65CE5">
    <w:pPr>
      <w:pStyle w:val="Footer"/>
      <w:jc w:val="right"/>
      <w:rPr>
        <w:rFonts w:asciiTheme="majorHAnsi" w:hAnsiTheme="majorHAnsi"/>
      </w:rPr>
    </w:pPr>
    <w:r>
      <w:rPr>
        <w:rFonts w:asciiTheme="majorHAnsi" w:hAnsiTheme="majorHAnsi"/>
      </w:rPr>
      <w:fldChar w:fldCharType="begin"/>
    </w:r>
    <w:r>
      <w:rPr>
        <w:rFonts w:asciiTheme="majorHAnsi" w:hAnsiTheme="majorHAnsi"/>
      </w:rPr>
      <w:instrText xml:space="preserve"> PAGE   \* MERGEFORMAT </w:instrText>
    </w:r>
    <w:r>
      <w:rPr>
        <w:rFonts w:asciiTheme="majorHAnsi" w:hAnsiTheme="majorHAnsi"/>
      </w:rPr>
      <w:fldChar w:fldCharType="separate"/>
    </w:r>
    <w:r>
      <w:rPr>
        <w:rFonts w:asciiTheme="majorHAnsi" w:hAnsiTheme="majorHAnsi"/>
      </w:rPr>
      <w:t>1</w:t>
    </w:r>
    <w:r>
      <w:rPr>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DA5DA" w14:textId="77777777" w:rsidR="003A1902" w:rsidRDefault="003A1902">
      <w:pPr>
        <w:spacing w:after="0"/>
      </w:pPr>
      <w:r>
        <w:separator/>
      </w:r>
    </w:p>
  </w:footnote>
  <w:footnote w:type="continuationSeparator" w:id="0">
    <w:p w14:paraId="745D4501" w14:textId="77777777" w:rsidR="003A1902" w:rsidRDefault="003A19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1941" w14:textId="77777777" w:rsidR="00AE2E2F" w:rsidRDefault="00C65CE5">
    <w:pPr>
      <w:rPr>
        <w:rFonts w:cs="Times New Roman"/>
      </w:rPr>
    </w:pP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73D1" w14:textId="77777777" w:rsidR="00AE2E2F" w:rsidRDefault="00C65CE5">
    <w:r>
      <w:rPr>
        <w:b/>
        <w:noProof/>
        <w:color w:val="A6A6A6" w:themeColor="background1" w:themeShade="A6"/>
        <w:lang w:val="en-GB" w:eastAsia="en-GB"/>
      </w:rPr>
      <mc:AlternateContent>
        <mc:Choice Requires="wpg">
          <w:drawing>
            <wp:inline distT="0" distB="0" distL="0" distR="0" wp14:anchorId="27544B91" wp14:editId="67E3BAA3">
              <wp:extent cx="1382534" cy="497091"/>
              <wp:effectExtent l="0" t="0" r="0" b="0"/>
              <wp:docPr id="1"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Elaine.Scott\Documents\LaTex\____TEST____Frontiers_LaTeX_Templates_V2.5\Frontiers LaTeX (Science, Health and Engineering) V2.5 - with Supplementary material (V1.2)\logo1.jpg"/>
                      <pic:cNvPicPr>
                        <a:picLocks noChangeAspect="1"/>
                      </pic:cNvPicPr>
                    </pic:nvPicPr>
                    <pic:blipFill>
                      <a:blip r:embed="rId1"/>
                      <a:stretch/>
                    </pic:blipFill>
                    <pic:spPr bwMode="auto">
                      <a:xfrm>
                        <a:off x="0" y="0"/>
                        <a:ext cx="1534909" cy="55187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08.9pt;height:39.1pt;" stroked="f">
              <v:path textboxrect="0,0,0,0"/>
              <v:imagedata r:id="rId2" o:titl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319BF"/>
    <w:multiLevelType w:val="hybridMultilevel"/>
    <w:tmpl w:val="C944CD0A"/>
    <w:lvl w:ilvl="0" w:tplc="7F46281A">
      <w:start w:val="1"/>
      <w:numFmt w:val="bullet"/>
      <w:pStyle w:val="ListParagraph"/>
      <w:lvlText w:val=""/>
      <w:lvlJc w:val="left"/>
      <w:pPr>
        <w:ind w:left="1440" w:hanging="360"/>
      </w:pPr>
      <w:rPr>
        <w:rFonts w:ascii="Symbol" w:hAnsi="Symbol" w:hint="default"/>
      </w:rPr>
    </w:lvl>
    <w:lvl w:ilvl="1" w:tplc="F93E5ABA">
      <w:start w:val="1"/>
      <w:numFmt w:val="bullet"/>
      <w:lvlText w:val="o"/>
      <w:lvlJc w:val="left"/>
      <w:pPr>
        <w:ind w:left="2160" w:hanging="360"/>
      </w:pPr>
      <w:rPr>
        <w:rFonts w:ascii="Courier New" w:hAnsi="Courier New" w:cs="Courier New" w:hint="default"/>
      </w:rPr>
    </w:lvl>
    <w:lvl w:ilvl="2" w:tplc="292AA4D8">
      <w:start w:val="1"/>
      <w:numFmt w:val="bullet"/>
      <w:lvlText w:val=""/>
      <w:lvlJc w:val="left"/>
      <w:pPr>
        <w:ind w:left="2880" w:hanging="360"/>
      </w:pPr>
      <w:rPr>
        <w:rFonts w:ascii="Wingdings" w:hAnsi="Wingdings" w:hint="default"/>
      </w:rPr>
    </w:lvl>
    <w:lvl w:ilvl="3" w:tplc="9C889952">
      <w:start w:val="1"/>
      <w:numFmt w:val="bullet"/>
      <w:lvlText w:val=""/>
      <w:lvlJc w:val="left"/>
      <w:pPr>
        <w:ind w:left="3600" w:hanging="360"/>
      </w:pPr>
      <w:rPr>
        <w:rFonts w:ascii="Symbol" w:hAnsi="Symbol" w:hint="default"/>
      </w:rPr>
    </w:lvl>
    <w:lvl w:ilvl="4" w:tplc="86BA17A2">
      <w:start w:val="1"/>
      <w:numFmt w:val="bullet"/>
      <w:lvlText w:val="o"/>
      <w:lvlJc w:val="left"/>
      <w:pPr>
        <w:ind w:left="4320" w:hanging="360"/>
      </w:pPr>
      <w:rPr>
        <w:rFonts w:ascii="Courier New" w:hAnsi="Courier New" w:cs="Courier New" w:hint="default"/>
      </w:rPr>
    </w:lvl>
    <w:lvl w:ilvl="5" w:tplc="11368862">
      <w:start w:val="1"/>
      <w:numFmt w:val="bullet"/>
      <w:lvlText w:val=""/>
      <w:lvlJc w:val="left"/>
      <w:pPr>
        <w:ind w:left="5040" w:hanging="360"/>
      </w:pPr>
      <w:rPr>
        <w:rFonts w:ascii="Wingdings" w:hAnsi="Wingdings" w:hint="default"/>
      </w:rPr>
    </w:lvl>
    <w:lvl w:ilvl="6" w:tplc="8624B898">
      <w:start w:val="1"/>
      <w:numFmt w:val="bullet"/>
      <w:lvlText w:val=""/>
      <w:lvlJc w:val="left"/>
      <w:pPr>
        <w:ind w:left="5760" w:hanging="360"/>
      </w:pPr>
      <w:rPr>
        <w:rFonts w:ascii="Symbol" w:hAnsi="Symbol" w:hint="default"/>
      </w:rPr>
    </w:lvl>
    <w:lvl w:ilvl="7" w:tplc="49A4AAE2">
      <w:start w:val="1"/>
      <w:numFmt w:val="bullet"/>
      <w:lvlText w:val="o"/>
      <w:lvlJc w:val="left"/>
      <w:pPr>
        <w:ind w:left="6480" w:hanging="360"/>
      </w:pPr>
      <w:rPr>
        <w:rFonts w:ascii="Courier New" w:hAnsi="Courier New" w:cs="Courier New" w:hint="default"/>
      </w:rPr>
    </w:lvl>
    <w:lvl w:ilvl="8" w:tplc="1EA85580">
      <w:start w:val="1"/>
      <w:numFmt w:val="bullet"/>
      <w:lvlText w:val=""/>
      <w:lvlJc w:val="left"/>
      <w:pPr>
        <w:ind w:left="7200" w:hanging="360"/>
      </w:pPr>
      <w:rPr>
        <w:rFonts w:ascii="Wingdings" w:hAnsi="Wingdings" w:hint="default"/>
      </w:rPr>
    </w:lvl>
  </w:abstractNum>
  <w:abstractNum w:abstractNumId="1" w15:restartNumberingAfterBreak="0">
    <w:nsid w:val="476528FE"/>
    <w:multiLevelType w:val="hybridMultilevel"/>
    <w:tmpl w:val="C96E262C"/>
    <w:lvl w:ilvl="0" w:tplc="CC4E52D0">
      <w:start w:val="1"/>
      <w:numFmt w:val="bullet"/>
      <w:lvlText w:val=""/>
      <w:lvlJc w:val="left"/>
      <w:pPr>
        <w:ind w:left="1440" w:hanging="360"/>
      </w:pPr>
      <w:rPr>
        <w:rFonts w:ascii="Symbol" w:hAnsi="Symbol" w:hint="default"/>
      </w:rPr>
    </w:lvl>
    <w:lvl w:ilvl="1" w:tplc="6242EB4C">
      <w:start w:val="1"/>
      <w:numFmt w:val="bullet"/>
      <w:lvlText w:val="o"/>
      <w:lvlJc w:val="left"/>
      <w:pPr>
        <w:ind w:left="2160" w:hanging="360"/>
      </w:pPr>
      <w:rPr>
        <w:rFonts w:ascii="Courier New" w:hAnsi="Courier New" w:cs="Courier New" w:hint="default"/>
      </w:rPr>
    </w:lvl>
    <w:lvl w:ilvl="2" w:tplc="74A2D026">
      <w:start w:val="1"/>
      <w:numFmt w:val="bullet"/>
      <w:lvlText w:val=""/>
      <w:lvlJc w:val="left"/>
      <w:pPr>
        <w:ind w:left="2880" w:hanging="360"/>
      </w:pPr>
      <w:rPr>
        <w:rFonts w:ascii="Wingdings" w:hAnsi="Wingdings" w:hint="default"/>
      </w:rPr>
    </w:lvl>
    <w:lvl w:ilvl="3" w:tplc="C982F2E2">
      <w:start w:val="1"/>
      <w:numFmt w:val="bullet"/>
      <w:lvlText w:val=""/>
      <w:lvlJc w:val="left"/>
      <w:pPr>
        <w:ind w:left="3600" w:hanging="360"/>
      </w:pPr>
      <w:rPr>
        <w:rFonts w:ascii="Symbol" w:hAnsi="Symbol" w:hint="default"/>
      </w:rPr>
    </w:lvl>
    <w:lvl w:ilvl="4" w:tplc="794A9A88">
      <w:start w:val="1"/>
      <w:numFmt w:val="bullet"/>
      <w:lvlText w:val="o"/>
      <w:lvlJc w:val="left"/>
      <w:pPr>
        <w:ind w:left="4320" w:hanging="360"/>
      </w:pPr>
      <w:rPr>
        <w:rFonts w:ascii="Courier New" w:hAnsi="Courier New" w:cs="Courier New" w:hint="default"/>
      </w:rPr>
    </w:lvl>
    <w:lvl w:ilvl="5" w:tplc="BE7636F8">
      <w:start w:val="1"/>
      <w:numFmt w:val="bullet"/>
      <w:lvlText w:val=""/>
      <w:lvlJc w:val="left"/>
      <w:pPr>
        <w:ind w:left="5040" w:hanging="360"/>
      </w:pPr>
      <w:rPr>
        <w:rFonts w:ascii="Wingdings" w:hAnsi="Wingdings" w:hint="default"/>
      </w:rPr>
    </w:lvl>
    <w:lvl w:ilvl="6" w:tplc="3658336C">
      <w:start w:val="1"/>
      <w:numFmt w:val="bullet"/>
      <w:lvlText w:val=""/>
      <w:lvlJc w:val="left"/>
      <w:pPr>
        <w:ind w:left="5760" w:hanging="360"/>
      </w:pPr>
      <w:rPr>
        <w:rFonts w:ascii="Symbol" w:hAnsi="Symbol" w:hint="default"/>
      </w:rPr>
    </w:lvl>
    <w:lvl w:ilvl="7" w:tplc="47F4CEAA">
      <w:start w:val="1"/>
      <w:numFmt w:val="bullet"/>
      <w:lvlText w:val="o"/>
      <w:lvlJc w:val="left"/>
      <w:pPr>
        <w:ind w:left="6480" w:hanging="360"/>
      </w:pPr>
      <w:rPr>
        <w:rFonts w:ascii="Courier New" w:hAnsi="Courier New" w:cs="Courier New" w:hint="default"/>
      </w:rPr>
    </w:lvl>
    <w:lvl w:ilvl="8" w:tplc="02282892">
      <w:start w:val="1"/>
      <w:numFmt w:val="bullet"/>
      <w:lvlText w:val=""/>
      <w:lvlJc w:val="left"/>
      <w:pPr>
        <w:ind w:left="7200" w:hanging="360"/>
      </w:pPr>
      <w:rPr>
        <w:rFonts w:ascii="Wingdings" w:hAnsi="Wingdings" w:hint="default"/>
      </w:rPr>
    </w:lvl>
  </w:abstractNum>
  <w:abstractNum w:abstractNumId="2" w15:restartNumberingAfterBreak="0">
    <w:nsid w:val="60306008"/>
    <w:multiLevelType w:val="hybridMultilevel"/>
    <w:tmpl w:val="D3D4F14A"/>
    <w:lvl w:ilvl="0" w:tplc="3C282A48">
      <w:start w:val="1"/>
      <w:numFmt w:val="decimal"/>
      <w:lvlText w:val="%1."/>
      <w:lvlJc w:val="left"/>
      <w:pPr>
        <w:ind w:left="720" w:hanging="360"/>
      </w:pPr>
    </w:lvl>
    <w:lvl w:ilvl="1" w:tplc="5ABC5054">
      <w:start w:val="1"/>
      <w:numFmt w:val="lowerLetter"/>
      <w:lvlText w:val="%2."/>
      <w:lvlJc w:val="left"/>
      <w:pPr>
        <w:ind w:left="1440" w:hanging="360"/>
      </w:pPr>
    </w:lvl>
    <w:lvl w:ilvl="2" w:tplc="F72E54CA">
      <w:start w:val="1"/>
      <w:numFmt w:val="lowerRoman"/>
      <w:lvlText w:val="%3."/>
      <w:lvlJc w:val="right"/>
      <w:pPr>
        <w:ind w:left="2160" w:hanging="180"/>
      </w:pPr>
    </w:lvl>
    <w:lvl w:ilvl="3" w:tplc="38D01762">
      <w:start w:val="1"/>
      <w:numFmt w:val="decimal"/>
      <w:lvlText w:val="%4."/>
      <w:lvlJc w:val="left"/>
      <w:pPr>
        <w:ind w:left="2880" w:hanging="360"/>
      </w:pPr>
    </w:lvl>
    <w:lvl w:ilvl="4" w:tplc="4C48E42C">
      <w:start w:val="1"/>
      <w:numFmt w:val="lowerLetter"/>
      <w:lvlText w:val="%5."/>
      <w:lvlJc w:val="left"/>
      <w:pPr>
        <w:ind w:left="3600" w:hanging="360"/>
      </w:pPr>
    </w:lvl>
    <w:lvl w:ilvl="5" w:tplc="2DB4D9D2">
      <w:start w:val="1"/>
      <w:numFmt w:val="lowerRoman"/>
      <w:lvlText w:val="%6."/>
      <w:lvlJc w:val="right"/>
      <w:pPr>
        <w:ind w:left="4320" w:hanging="180"/>
      </w:pPr>
    </w:lvl>
    <w:lvl w:ilvl="6" w:tplc="D1BCAE76">
      <w:start w:val="1"/>
      <w:numFmt w:val="decimal"/>
      <w:lvlText w:val="%7."/>
      <w:lvlJc w:val="left"/>
      <w:pPr>
        <w:ind w:left="5040" w:hanging="360"/>
      </w:pPr>
    </w:lvl>
    <w:lvl w:ilvl="7" w:tplc="59CA0CFC">
      <w:start w:val="1"/>
      <w:numFmt w:val="lowerLetter"/>
      <w:lvlText w:val="%8."/>
      <w:lvlJc w:val="left"/>
      <w:pPr>
        <w:ind w:left="5760" w:hanging="360"/>
      </w:pPr>
    </w:lvl>
    <w:lvl w:ilvl="8" w:tplc="8766BAF0">
      <w:start w:val="1"/>
      <w:numFmt w:val="lowerRoman"/>
      <w:lvlText w:val="%9."/>
      <w:lvlJc w:val="right"/>
      <w:pPr>
        <w:ind w:left="6480" w:hanging="180"/>
      </w:pPr>
    </w:lvl>
  </w:abstractNum>
  <w:abstractNum w:abstractNumId="3" w15:restartNumberingAfterBreak="0">
    <w:nsid w:val="668B3AD7"/>
    <w:multiLevelType w:val="multilevel"/>
    <w:tmpl w:val="12F0D9C0"/>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3"/>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E2F"/>
    <w:rsid w:val="00037AC5"/>
    <w:rsid w:val="002870E4"/>
    <w:rsid w:val="003A1902"/>
    <w:rsid w:val="003C4412"/>
    <w:rsid w:val="004E7039"/>
    <w:rsid w:val="00606783"/>
    <w:rsid w:val="00610012"/>
    <w:rsid w:val="006A3C92"/>
    <w:rsid w:val="007771FC"/>
    <w:rsid w:val="00A81C28"/>
    <w:rsid w:val="00AC303F"/>
    <w:rsid w:val="00AE2E2F"/>
    <w:rsid w:val="00BD3BF0"/>
    <w:rsid w:val="00C65CE5"/>
    <w:rsid w:val="00D130ED"/>
    <w:rsid w:val="00D533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200C4"/>
  <w15:docId w15:val="{273DD755-34C7-432E-B167-A2839D1C3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pPr>
      <w:numPr>
        <w:numId w:val="3"/>
      </w:numPr>
      <w:spacing w:before="240"/>
      <w:contextualSpacing w:val="0"/>
      <w:outlineLvl w:val="0"/>
    </w:pPr>
    <w:rPr>
      <w:b/>
    </w:rPr>
  </w:style>
  <w:style w:type="paragraph" w:styleId="Heading2">
    <w:name w:val="heading 2"/>
    <w:basedOn w:val="Heading1"/>
    <w:next w:val="Normal"/>
    <w:link w:val="Heading2Char"/>
    <w:qFormat/>
    <w:pPr>
      <w:numPr>
        <w:ilvl w:val="1"/>
      </w:numPr>
      <w:spacing w:after="200"/>
      <w:outlineLvl w:val="1"/>
    </w:pPr>
  </w:style>
  <w:style w:type="paragraph" w:styleId="Heading3">
    <w:name w:val="heading 3"/>
    <w:basedOn w:val="Normal"/>
    <w:next w:val="Normal"/>
    <w:link w:val="Heading3Char"/>
    <w:uiPriority w:val="9"/>
    <w:qFormat/>
    <w:pPr>
      <w:keepNext/>
      <w:keepLines/>
      <w:numPr>
        <w:ilvl w:val="2"/>
        <w:numId w:val="3"/>
      </w:numPr>
      <w:spacing w:before="40" w:after="120"/>
      <w:outlineLvl w:val="2"/>
    </w:pPr>
    <w:rPr>
      <w:rFonts w:eastAsia="Cambria" w:cs="Cambria"/>
      <w:b/>
      <w:szCs w:val="24"/>
    </w:rPr>
  </w:style>
  <w:style w:type="paragraph" w:styleId="Heading4">
    <w:name w:val="heading 4"/>
    <w:basedOn w:val="Heading3"/>
    <w:next w:val="Normal"/>
    <w:link w:val="Heading4Char"/>
    <w:uiPriority w:val="2"/>
    <w:qFormat/>
    <w:pPr>
      <w:numPr>
        <w:ilvl w:val="3"/>
      </w:numPr>
      <w:outlineLvl w:val="3"/>
    </w:pPr>
    <w:rPr>
      <w:iCs/>
    </w:rPr>
  </w:style>
  <w:style w:type="paragraph" w:styleId="Heading5">
    <w:name w:val="heading 5"/>
    <w:basedOn w:val="Heading4"/>
    <w:next w:val="Normal"/>
    <w:link w:val="Heading5Char"/>
    <w:uiPriority w:val="9"/>
    <w:qFormat/>
    <w:pPr>
      <w:numPr>
        <w:ilvl w:val="4"/>
      </w:numPr>
      <w:outlineLvl w:val="4"/>
    </w:p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hemeColor="light1"/>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hemeColor="light1"/>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hemeColor="light1"/>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hemeColor="light1"/>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cPr>
    </w:tblStylePr>
    <w:tblStylePr w:type="band1Horz">
      <w:rPr>
        <w:rFonts w:ascii="Arial" w:hAnsi="Arial"/>
        <w:color w:val="A6BFDD" w:themeColor="accent1" w:themeTint="80" w:themeShade="95"/>
        <w:sz w:val="22"/>
      </w:rPr>
      <w:tblPr/>
      <w:tcPr>
        <w:shd w:val="clear" w:color="DAE5F1" w:fill="DAE5F1"/>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cPr>
    </w:tblStylePr>
    <w:tblStylePr w:type="band1Horz">
      <w:rPr>
        <w:rFonts w:ascii="Arial" w:hAnsi="Arial"/>
        <w:color w:val="D99695" w:themeColor="accent2" w:themeTint="97" w:themeShade="95"/>
        <w:sz w:val="22"/>
      </w:rPr>
      <w:tblPr/>
      <w:tcPr>
        <w:shd w:val="clear" w:color="F2DCDC" w:fill="F2DCDC"/>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cPr>
    </w:tblStylePr>
    <w:tblStylePr w:type="band1Horz">
      <w:rPr>
        <w:rFonts w:ascii="Arial" w:hAnsi="Arial"/>
        <w:color w:val="9ABB59" w:themeColor="accent3" w:themeTint="FE" w:themeShade="95"/>
        <w:sz w:val="22"/>
      </w:rPr>
      <w:tblPr/>
      <w:tcPr>
        <w:shd w:val="clear" w:color="EAF1DC" w:fill="EAF1DC"/>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cPr>
    </w:tblStylePr>
    <w:tblStylePr w:type="band1Horz">
      <w:rPr>
        <w:rFonts w:ascii="Arial" w:hAnsi="Arial"/>
        <w:color w:val="B2A1C6" w:themeColor="accent4" w:themeTint="9A" w:themeShade="95"/>
        <w:sz w:val="22"/>
      </w:rPr>
      <w:tblPr/>
      <w:tcPr>
        <w:shd w:val="clear" w:color="E5DFEC" w:fill="E5DFEC"/>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cPr>
    </w:tblStylePr>
    <w:tblStylePr w:type="band1Horz">
      <w:rPr>
        <w:rFonts w:ascii="Arial" w:hAnsi="Arial"/>
        <w:color w:val="266779" w:themeColor="accent5" w:themeShade="95"/>
        <w:sz w:val="22"/>
      </w:rPr>
      <w:tblPr/>
      <w:tcPr>
        <w:shd w:val="clear" w:color="DAEEF3" w:fill="DAEEF3"/>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cPr>
    </w:tblStylePr>
    <w:tblStylePr w:type="band1Horz">
      <w:rPr>
        <w:rFonts w:ascii="Arial" w:hAnsi="Arial"/>
        <w:color w:val="266779" w:themeColor="accent5" w:themeShade="95"/>
        <w:sz w:val="22"/>
      </w:rPr>
      <w:tblPr/>
      <w:tcPr>
        <w:shd w:val="clear" w:color="FDE9D8" w:fill="FDE9D8"/>
      </w:tcPr>
    </w:tblStylePr>
    <w:tblStylePr w:type="band2Horz">
      <w:rPr>
        <w:rFonts w:ascii="Arial" w:hAnsi="Arial"/>
        <w:color w:val="266779"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cPr>
    </w:tblStylePr>
    <w:tblStylePr w:type="band1Horz">
      <w:rPr>
        <w:rFonts w:ascii="Arial" w:hAnsi="Arial"/>
        <w:color w:val="A6BFDD" w:themeColor="accent1" w:themeTint="80" w:themeShade="95"/>
        <w:sz w:val="22"/>
      </w:rPr>
      <w:tblPr/>
      <w:tcPr>
        <w:shd w:val="clear" w:color="DAE5F1" w:fill="DAE5F1"/>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cPr>
    </w:tblStylePr>
    <w:tblStylePr w:type="band1Horz">
      <w:rPr>
        <w:rFonts w:ascii="Arial" w:hAnsi="Arial"/>
        <w:color w:val="D99695" w:themeColor="accent2" w:themeTint="97" w:themeShade="95"/>
        <w:sz w:val="22"/>
      </w:rPr>
      <w:tblPr/>
      <w:tcPr>
        <w:shd w:val="clear" w:color="F2DCDC" w:fill="F2DCDC"/>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cPr>
    </w:tblStylePr>
    <w:tblStylePr w:type="band1Horz">
      <w:rPr>
        <w:rFonts w:ascii="Arial" w:hAnsi="Arial"/>
        <w:color w:val="9ABB59" w:themeColor="accent3" w:themeTint="FE" w:themeShade="95"/>
        <w:sz w:val="22"/>
      </w:rPr>
      <w:tblPr/>
      <w:tcPr>
        <w:shd w:val="clear" w:color="EAF1DC" w:fill="EAF1DC"/>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cPr>
    </w:tblStylePr>
    <w:tblStylePr w:type="band1Horz">
      <w:rPr>
        <w:rFonts w:ascii="Arial" w:hAnsi="Arial"/>
        <w:color w:val="B2A1C6" w:themeColor="accent4" w:themeTint="9A" w:themeShade="95"/>
        <w:sz w:val="22"/>
      </w:rPr>
      <w:tblPr/>
      <w:tcPr>
        <w:shd w:val="clear" w:color="E5DFEC" w:fill="E5DFEC"/>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cPr>
    </w:tblStylePr>
    <w:tblStylePr w:type="band1Horz">
      <w:rPr>
        <w:rFonts w:ascii="Arial" w:hAnsi="Arial"/>
        <w:color w:val="266779" w:themeColor="accent5" w:themeShade="95"/>
        <w:sz w:val="22"/>
      </w:rPr>
      <w:tblPr/>
      <w:tcPr>
        <w:shd w:val="clear" w:color="DAEEF3" w:fill="DAEEF3"/>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cPr>
    </w:tblStylePr>
    <w:tblStylePr w:type="band1Horz">
      <w:rPr>
        <w:rFonts w:ascii="Arial" w:hAnsi="Arial"/>
        <w:color w:val="B15407" w:themeColor="accent6" w:themeShade="95"/>
        <w:sz w:val="22"/>
      </w:rPr>
      <w:tblPr/>
      <w:tcPr>
        <w:shd w:val="clear" w:color="FDE9D8" w:fill="FDE9D8"/>
      </w:tcPr>
    </w:tblStylePr>
    <w:tblStylePr w:type="band2Horz">
      <w:rPr>
        <w:rFonts w:ascii="Arial" w:hAnsi="Arial"/>
        <w:color w:val="B15407"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cPr>
    </w:tblStylePr>
    <w:tblStylePr w:type="band2Horz">
      <w:tblPr/>
      <w:tcPr>
        <w:tcBorders>
          <w:top w:val="single" w:sz="4" w:space="0" w:color="FFFFFF" w:themeColor="light1"/>
          <w:bottom w:val="single" w:sz="4" w:space="0" w:color="FFFFFF" w:themeColor="light1"/>
        </w:tcBorders>
        <w:shd w:val="clear" w:color="4F81BD" w:fill="4F81BD"/>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cPr>
    </w:tblStylePr>
    <w:tblStylePr w:type="band2Horz">
      <w:tblPr/>
      <w:tcPr>
        <w:tcBorders>
          <w:top w:val="single" w:sz="4" w:space="0" w:color="FFFFFF" w:themeColor="light1"/>
          <w:bottom w:val="single" w:sz="4" w:space="0" w:color="FFFFFF" w:themeColor="light1"/>
        </w:tcBorders>
        <w:shd w:val="clear" w:color="D99695" w:fill="D99695"/>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cPr>
    </w:tblStylePr>
    <w:tblStylePr w:type="band2Horz">
      <w:tblPr/>
      <w:tcPr>
        <w:tcBorders>
          <w:top w:val="single" w:sz="4" w:space="0" w:color="FFFFFF" w:themeColor="light1"/>
          <w:bottom w:val="single" w:sz="4" w:space="0" w:color="FFFFFF" w:themeColor="light1"/>
        </w:tcBorders>
        <w:shd w:val="clear" w:color="C3D69B" w:fill="C3D69B"/>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cPr>
    </w:tblStylePr>
    <w:tblStylePr w:type="band2Horz">
      <w:tblPr/>
      <w:tcPr>
        <w:tcBorders>
          <w:top w:val="single" w:sz="4" w:space="0" w:color="FFFFFF" w:themeColor="light1"/>
          <w:bottom w:val="single" w:sz="4" w:space="0" w:color="FFFFFF" w:themeColor="light1"/>
        </w:tcBorders>
        <w:shd w:val="clear" w:color="B2A1C6" w:fill="B2A1C6"/>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cPr>
    </w:tblStylePr>
    <w:tblStylePr w:type="band2Horz">
      <w:tblPr/>
      <w:tcPr>
        <w:tcBorders>
          <w:top w:val="single" w:sz="4" w:space="0" w:color="FFFFFF" w:themeColor="light1"/>
          <w:bottom w:val="single" w:sz="4" w:space="0" w:color="FFFFFF" w:themeColor="light1"/>
        </w:tcBorders>
        <w:shd w:val="clear" w:color="92CCDC" w:fill="92CCDC"/>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cPr>
    </w:tblStylePr>
    <w:tblStylePr w:type="band2Horz">
      <w:tblPr/>
      <w:tcPr>
        <w:tcBorders>
          <w:top w:val="single" w:sz="4" w:space="0" w:color="FFFFFF" w:themeColor="light1"/>
          <w:bottom w:val="single" w:sz="4" w:space="0" w:color="FFFFFF" w:themeColor="light1"/>
        </w:tcBorders>
        <w:shd w:val="clear" w:color="FAC090" w:fill="FAC090"/>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cPr>
    </w:tblStylePr>
    <w:tblStylePr w:type="band1Horz">
      <w:rPr>
        <w:rFonts w:ascii="Arial" w:hAnsi="Arial"/>
        <w:color w:val="2A4A71" w:themeColor="accent1" w:themeShade="95"/>
        <w:sz w:val="22"/>
      </w:rPr>
      <w:tblPr/>
      <w:tcPr>
        <w:shd w:val="clear" w:color="D2DFEE" w:fill="D2DFEE"/>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cPr>
    </w:tblStylePr>
    <w:tblStylePr w:type="band1Horz">
      <w:rPr>
        <w:rFonts w:ascii="Arial" w:hAnsi="Arial"/>
        <w:color w:val="D99695" w:themeColor="accent2" w:themeTint="97" w:themeShade="95"/>
        <w:sz w:val="22"/>
      </w:rPr>
      <w:tblPr/>
      <w:tcPr>
        <w:shd w:val="clear" w:color="EFD2D2" w:fill="EFD2D2"/>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cPr>
    </w:tblStylePr>
    <w:tblStylePr w:type="band1Horz">
      <w:rPr>
        <w:rFonts w:ascii="Arial" w:hAnsi="Arial"/>
        <w:color w:val="C3D69B" w:themeColor="accent3" w:themeTint="98" w:themeShade="95"/>
        <w:sz w:val="22"/>
      </w:rPr>
      <w:tblPr/>
      <w:tcPr>
        <w:shd w:val="clear" w:color="E5EED5" w:fill="E5EED5"/>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cPr>
    </w:tblStylePr>
    <w:tblStylePr w:type="band1Horz">
      <w:rPr>
        <w:rFonts w:ascii="Arial" w:hAnsi="Arial"/>
        <w:color w:val="B2A1C6" w:themeColor="accent4" w:themeTint="9A" w:themeShade="95"/>
        <w:sz w:val="22"/>
      </w:rPr>
      <w:tblPr/>
      <w:tcPr>
        <w:shd w:val="clear" w:color="DFD8E7" w:fill="DFD8E7"/>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cPr>
    </w:tblStylePr>
    <w:tblStylePr w:type="band1Horz">
      <w:rPr>
        <w:rFonts w:ascii="Arial" w:hAnsi="Arial"/>
        <w:color w:val="92CCDC" w:themeColor="accent5" w:themeTint="9A" w:themeShade="95"/>
        <w:sz w:val="22"/>
      </w:rPr>
      <w:tblPr/>
      <w:tcPr>
        <w:shd w:val="clear" w:color="D1EAF0" w:fill="D1EAF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cPr>
    </w:tblStylePr>
    <w:tblStylePr w:type="band1Horz">
      <w:rPr>
        <w:rFonts w:ascii="Arial" w:hAnsi="Arial"/>
        <w:color w:val="FAC090" w:themeColor="accent6" w:themeTint="98" w:themeShade="95"/>
        <w:sz w:val="22"/>
      </w:rPr>
      <w:tblPr/>
      <w:tcPr>
        <w:shd w:val="clear" w:color="FDE4D0" w:fill="FDE4D0"/>
      </w:tcPr>
    </w:tblStylePr>
    <w:tblStylePr w:type="band2Horz">
      <w:rPr>
        <w:rFonts w:ascii="Arial" w:hAnsi="Arial"/>
        <w:color w:val="FAC090"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cPr>
    </w:tblStylePr>
    <w:tblStylePr w:type="band1Horz">
      <w:rPr>
        <w:rFonts w:ascii="Arial" w:hAnsi="Arial"/>
        <w:color w:val="2A4A71" w:themeColor="accent1" w:themeShade="95"/>
        <w:sz w:val="22"/>
      </w:rPr>
      <w:tblPr/>
      <w:tcPr>
        <w:shd w:val="clear" w:color="D2DFEE" w:fill="D2DFEE"/>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cPr>
    </w:tblStylePr>
    <w:tblStylePr w:type="band1Horz">
      <w:rPr>
        <w:rFonts w:ascii="Arial" w:hAnsi="Arial"/>
        <w:color w:val="D99695" w:themeColor="accent2" w:themeTint="97" w:themeShade="95"/>
        <w:sz w:val="22"/>
      </w:rPr>
      <w:tblPr/>
      <w:tcPr>
        <w:shd w:val="clear" w:color="EFD2D2" w:fill="EFD2D2"/>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cPr>
    </w:tblStylePr>
    <w:tblStylePr w:type="band1Horz">
      <w:rPr>
        <w:rFonts w:ascii="Arial" w:hAnsi="Arial"/>
        <w:color w:val="C3D69B" w:themeColor="accent3" w:themeTint="98" w:themeShade="95"/>
        <w:sz w:val="22"/>
      </w:rPr>
      <w:tblPr/>
      <w:tcPr>
        <w:shd w:val="clear" w:color="E5EED5" w:fill="E5EED5"/>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cPr>
    </w:tblStylePr>
    <w:tblStylePr w:type="band1Horz">
      <w:rPr>
        <w:rFonts w:ascii="Arial" w:hAnsi="Arial"/>
        <w:color w:val="B2A1C6" w:themeColor="accent4" w:themeTint="9A" w:themeShade="95"/>
        <w:sz w:val="22"/>
      </w:rPr>
      <w:tblPr/>
      <w:tcPr>
        <w:shd w:val="clear" w:color="DFD8E7" w:fill="DFD8E7"/>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cPr>
    </w:tblStylePr>
    <w:tblStylePr w:type="band1Horz">
      <w:rPr>
        <w:rFonts w:ascii="Arial" w:hAnsi="Arial"/>
        <w:color w:val="92CCDC" w:themeColor="accent5" w:themeTint="9A" w:themeShade="95"/>
        <w:sz w:val="22"/>
      </w:rPr>
      <w:tblPr/>
      <w:tcPr>
        <w:shd w:val="clear" w:color="D1EAF0" w:fill="D1EAF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cPr>
    </w:tblStylePr>
    <w:tblStylePr w:type="band1Horz">
      <w:rPr>
        <w:rFonts w:ascii="Arial" w:hAnsi="Arial"/>
        <w:color w:val="FAC090" w:themeColor="accent6" w:themeTint="98" w:themeShade="95"/>
        <w:sz w:val="22"/>
      </w:rPr>
      <w:tblPr/>
      <w:tcPr>
        <w:shd w:val="clear" w:color="FDE4D0" w:fill="FDE4D0"/>
      </w:tcPr>
    </w:tblStylePr>
    <w:tblStylePr w:type="band2Horz">
      <w:rPr>
        <w:rFonts w:ascii="Arial" w:hAnsi="Arial"/>
        <w:color w:val="FAC090" w:themeColor="accent6" w:themeTint="98" w:themeShade="95"/>
        <w:sz w:val="22"/>
      </w:rPr>
    </w:tblStylePr>
  </w:style>
  <w:style w:type="paragraph" w:styleId="TableofFigures">
    <w:name w:val="table of figures"/>
    <w:basedOn w:val="Normal"/>
    <w:next w:val="Normal"/>
    <w:uiPriority w:val="99"/>
    <w:unhideWhenUsed/>
    <w:pPr>
      <w:spacing w:after="0"/>
    </w:pPr>
  </w:style>
  <w:style w:type="character" w:customStyle="1" w:styleId="Heading1Char">
    <w:name w:val="Heading 1 Char"/>
    <w:basedOn w:val="DefaultParagraphFont"/>
    <w:link w:val="Heading1"/>
    <w:uiPriority w:val="9"/>
    <w:rPr>
      <w:rFonts w:ascii="Times New Roman" w:eastAsia="Cambria" w:hAnsi="Times New Roman" w:cs="Times New Roman"/>
      <w:b/>
      <w:sz w:val="24"/>
      <w:szCs w:val="24"/>
    </w:rPr>
  </w:style>
  <w:style w:type="character" w:customStyle="1" w:styleId="Heading2Char">
    <w:name w:val="Heading 2 Char"/>
    <w:basedOn w:val="DefaultParagraphFont"/>
    <w:link w:val="Heading2"/>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pPr>
      <w:spacing w:before="240"/>
    </w:pPr>
    <w:rPr>
      <w:rFonts w:cs="Times New Roman"/>
      <w:b/>
      <w:szCs w:val="24"/>
    </w:rPr>
  </w:style>
  <w:style w:type="character" w:customStyle="1" w:styleId="SubtitleChar">
    <w:name w:val="Subtitle Char"/>
    <w:basedOn w:val="DefaultParagraphFont"/>
    <w:link w:val="Subtitle"/>
    <w:uiPriority w:val="99"/>
    <w:rPr>
      <w:rFonts w:ascii="Times New Roman" w:hAnsi="Times New Roman" w:cs="Times New Roman"/>
      <w:b/>
      <w:sz w:val="24"/>
      <w:szCs w:val="24"/>
    </w:rPr>
  </w:style>
  <w:style w:type="paragraph" w:customStyle="1" w:styleId="AuthorList">
    <w:name w:val="Author List"/>
    <w:basedOn w:val="Subtitle"/>
    <w:next w:val="Normal"/>
    <w:uiPriority w:val="1"/>
    <w:qFormat/>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BookTitle">
    <w:name w:val="Book Title"/>
    <w:basedOn w:val="DefaultParagraphFont"/>
    <w:uiPriority w:val="33"/>
    <w:qFormat/>
    <w:rPr>
      <w:rFonts w:ascii="Times New Roman" w:hAnsi="Times New Roman"/>
      <w:b/>
      <w:bCs/>
      <w:i/>
      <w:iCs/>
      <w:spacing w:val="5"/>
    </w:rPr>
  </w:style>
  <w:style w:type="paragraph" w:styleId="Caption">
    <w:name w:val="caption"/>
    <w:basedOn w:val="Normal"/>
    <w:next w:val="NoSpacing"/>
    <w:uiPriority w:val="35"/>
    <w:unhideWhenUsed/>
    <w:qFormat/>
    <w:pPr>
      <w:keepNext/>
    </w:pPr>
    <w:rPr>
      <w:rFonts w:cs="Times New Roman"/>
      <w:b/>
      <w:bCs/>
      <w:szCs w:val="24"/>
    </w:rPr>
  </w:style>
  <w:style w:type="paragraph" w:styleId="NoSpacing">
    <w:name w:val="No Spacing"/>
    <w:uiPriority w:val="1"/>
    <w:unhideWhenUsed/>
    <w:qFormat/>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character" w:styleId="Emphasis">
    <w:name w:val="Emphasis"/>
    <w:basedOn w:val="DefaultParagraphFont"/>
    <w:uiPriority w:val="20"/>
    <w:qFormat/>
    <w:rPr>
      <w:rFonts w:ascii="Times New Roman" w:hAnsi="Times New Roman"/>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pPr>
      <w:tabs>
        <w:tab w:val="center" w:pos="4844"/>
        <w:tab w:val="right" w:pos="9689"/>
      </w:tabs>
      <w:spacing w:after="0"/>
    </w:pPr>
  </w:style>
  <w:style w:type="character" w:customStyle="1" w:styleId="FooterChar">
    <w:name w:val="Footer Char"/>
    <w:basedOn w:val="DefaultParagraphFont"/>
    <w:link w:val="Footer"/>
    <w:uiPriority w:val="99"/>
    <w:rPr>
      <w:rFonts w:ascii="Times New Roman" w:hAnsi="Times New Roman"/>
      <w:sz w:val="24"/>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sz w:val="20"/>
      <w:szCs w:val="20"/>
    </w:rPr>
  </w:style>
  <w:style w:type="paragraph" w:styleId="Header">
    <w:name w:val="header"/>
    <w:basedOn w:val="Normal"/>
    <w:link w:val="HeaderChar"/>
    <w:uiPriority w:val="99"/>
    <w:unhideWhenUsed/>
    <w:pPr>
      <w:tabs>
        <w:tab w:val="center" w:pos="4844"/>
        <w:tab w:val="right" w:pos="9689"/>
      </w:tabs>
    </w:pPr>
    <w:rPr>
      <w:b/>
    </w:rPr>
  </w:style>
  <w:style w:type="character" w:customStyle="1" w:styleId="HeaderChar">
    <w:name w:val="Header Char"/>
    <w:basedOn w:val="DefaultParagraphFont"/>
    <w:link w:val="Header"/>
    <w:uiPriority w:val="99"/>
    <w:rPr>
      <w:rFonts w:ascii="Times New Roman" w:hAnsi="Times New Roman"/>
      <w:b/>
      <w:sz w:val="24"/>
    </w:rPr>
  </w:style>
  <w:style w:type="paragraph" w:styleId="ListParagraph">
    <w:name w:val="List Paragraph"/>
    <w:basedOn w:val="Normal"/>
    <w:uiPriority w:val="34"/>
    <w:qFormat/>
    <w:pPr>
      <w:numPr>
        <w:numId w:val="1"/>
      </w:numPr>
      <w:contextualSpacing/>
    </w:pPr>
    <w:rPr>
      <w:rFonts w:eastAsia="Cambria" w:cs="Times New Roman"/>
      <w:szCs w:val="24"/>
    </w:rPr>
  </w:style>
  <w:style w:type="numbering" w:customStyle="1" w:styleId="Headings">
    <w:name w:val="Headings"/>
    <w:uiPriority w:val="99"/>
    <w:pPr>
      <w:numPr>
        <w:numId w:val="2"/>
      </w:numPr>
    </w:pPr>
  </w:style>
  <w:style w:type="character" w:styleId="Hyperlink">
    <w:name w:val="Hyperlink"/>
    <w:basedOn w:val="DefaultParagraphFont"/>
    <w:uiPriority w:val="99"/>
    <w:unhideWhenUsed/>
    <w:rPr>
      <w:color w:val="0000FF"/>
      <w:u w:val="single"/>
    </w:rPr>
  </w:style>
  <w:style w:type="character" w:styleId="IntenseEmphasis">
    <w:name w:val="Intense Emphasis"/>
    <w:basedOn w:val="DefaultParagraphFont"/>
    <w:uiPriority w:val="21"/>
    <w:unhideWhenUsed/>
    <w:rPr>
      <w:rFonts w:ascii="Times New Roman" w:hAnsi="Times New Roman"/>
      <w:i/>
      <w:iCs/>
      <w:color w:val="auto"/>
    </w:rPr>
  </w:style>
  <w:style w:type="character" w:styleId="IntenseReference">
    <w:name w:val="Intense Reference"/>
    <w:basedOn w:val="DefaultParagraphFont"/>
    <w:uiPriority w:val="32"/>
    <w:qFormat/>
    <w:rPr>
      <w:b/>
      <w:bCs/>
      <w:smallCaps/>
      <w:color w:val="auto"/>
      <w:spacing w:val="5"/>
    </w:rPr>
  </w:style>
  <w:style w:type="character" w:styleId="LineNumber">
    <w:name w:val="line number"/>
    <w:basedOn w:val="DefaultParagraphFont"/>
    <w:uiPriority w:val="99"/>
    <w:semiHidden/>
    <w:unhideWhenUsed/>
  </w:style>
  <w:style w:type="character" w:customStyle="1" w:styleId="Heading3Char">
    <w:name w:val="Heading 3 Char"/>
    <w:basedOn w:val="DefaultParagraphFont"/>
    <w:link w:val="Heading3"/>
    <w:uiPriority w:val="9"/>
    <w:rPr>
      <w:rFonts w:ascii="Times New Roman" w:eastAsia="Cambria" w:hAnsi="Times New Roman" w:cs="Cambria"/>
      <w:b/>
      <w:sz w:val="24"/>
      <w:szCs w:val="24"/>
    </w:rPr>
  </w:style>
  <w:style w:type="character" w:customStyle="1" w:styleId="Heading4Char">
    <w:name w:val="Heading 4 Char"/>
    <w:basedOn w:val="DefaultParagraphFont"/>
    <w:link w:val="Heading4"/>
    <w:uiPriority w:val="2"/>
    <w:rPr>
      <w:rFonts w:ascii="Times New Roman" w:eastAsia="Cambria" w:hAnsi="Times New Roman" w:cs="Cambria"/>
      <w:b/>
      <w:iCs/>
      <w:sz w:val="24"/>
      <w:szCs w:val="24"/>
    </w:rPr>
  </w:style>
  <w:style w:type="character" w:customStyle="1" w:styleId="Heading5Char">
    <w:name w:val="Heading 5 Char"/>
    <w:basedOn w:val="DefaultParagraphFont"/>
    <w:link w:val="Heading5"/>
    <w:uiPriority w:val="9"/>
    <w:rPr>
      <w:rFonts w:ascii="Times New Roman" w:eastAsia="Cambria" w:hAnsi="Times New Roman" w:cs="Cambria"/>
      <w:b/>
      <w:iCs/>
      <w:sz w:val="24"/>
      <w:szCs w:val="24"/>
    </w:rPr>
  </w:style>
  <w:style w:type="paragraph" w:styleId="NormalWeb">
    <w:name w:val="Normal (Web)"/>
    <w:basedOn w:val="Normal"/>
    <w:uiPriority w:val="99"/>
    <w:unhideWhenUsed/>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ascii="Times New Roman" w:hAnsi="Times New Roman"/>
      <w:i/>
      <w:iCs/>
      <w:color w:val="404040" w:themeColor="text1" w:themeTint="BF"/>
      <w:sz w:val="24"/>
    </w:rPr>
  </w:style>
  <w:style w:type="character" w:styleId="Strong">
    <w:name w:val="Strong"/>
    <w:basedOn w:val="DefaultParagraphFont"/>
    <w:uiPriority w:val="22"/>
    <w:qFormat/>
    <w:rPr>
      <w:rFonts w:ascii="Times New Roman" w:hAnsi="Times New Roman"/>
      <w:b/>
      <w:bCs/>
    </w:rPr>
  </w:style>
  <w:style w:type="character" w:styleId="SubtleEmphasis">
    <w:name w:val="Subtle Emphasis"/>
    <w:basedOn w:val="DefaultParagraphFont"/>
    <w:uiPriority w:val="19"/>
    <w:qFormat/>
    <w:rPr>
      <w:rFonts w:ascii="Times New Roman" w:hAnsi="Times New Roman"/>
      <w:i/>
      <w:iCs/>
      <w:color w:val="404040" w:themeColor="text1" w:themeTint="BF"/>
    </w:rPr>
  </w:style>
  <w:style w:type="table" w:styleId="TableGrid">
    <w:name w:val="Table Grid"/>
    <w:basedOn w:val="TableNormal"/>
    <w:uiPriority w:val="59"/>
    <w:pPr>
      <w:spacing w:after="0" w:line="240" w:lineRule="auto"/>
    </w:pPr>
    <w:rPr>
      <w:rFonts w:ascii="Cambria"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qFormat/>
    <w:pPr>
      <w:suppressLineNumbers/>
      <w:spacing w:before="240" w:after="360"/>
      <w:jc w:val="center"/>
    </w:pPr>
    <w:rPr>
      <w:rFonts w:cs="Times New Roman"/>
      <w:b/>
      <w:sz w:val="32"/>
      <w:szCs w:val="32"/>
    </w:rPr>
  </w:style>
  <w:style w:type="character" w:customStyle="1" w:styleId="TitleChar">
    <w:name w:val="Title Char"/>
    <w:basedOn w:val="DefaultParagraphFont"/>
    <w:link w:val="Title"/>
    <w:rPr>
      <w:rFonts w:ascii="Times New Roman" w:hAnsi="Times New Roman" w:cs="Times New Roman"/>
      <w:b/>
      <w:sz w:val="32"/>
      <w:szCs w:val="32"/>
    </w:rPr>
  </w:style>
  <w:style w:type="paragraph" w:customStyle="1" w:styleId="SupplementaryMaterial">
    <w:name w:val="Supplementary Material"/>
    <w:basedOn w:val="Title"/>
    <w:next w:val="Title"/>
    <w:qFormat/>
    <w:pPr>
      <w:spacing w:after="120"/>
    </w:pPr>
    <w:rPr>
      <w:i/>
    </w:rPr>
  </w:style>
  <w:style w:type="character" w:customStyle="1" w:styleId="Heading6Char">
    <w:name w:val="Heading 6 Char"/>
    <w:basedOn w:val="DefaultParagraphFont"/>
    <w:link w:val="Heading6"/>
    <w:uiPriority w:val="9"/>
    <w:rPr>
      <w:rFonts w:ascii="Arial" w:eastAsia="Arial" w:hAnsi="Arial" w:cs="Arial"/>
      <w:b/>
      <w:bCs/>
    </w:rPr>
  </w:style>
  <w:style w:type="character" w:customStyle="1" w:styleId="Heading7Char">
    <w:name w:val="Heading 7 Char"/>
    <w:basedOn w:val="DefaultParagraphFont"/>
    <w:link w:val="Heading7"/>
    <w:uiPriority w:val="9"/>
    <w:rPr>
      <w:rFonts w:ascii="Arial" w:eastAsia="Arial" w:hAnsi="Arial" w:cs="Arial"/>
      <w:b/>
      <w:bCs/>
      <w:i/>
      <w:iCs/>
    </w:rPr>
  </w:style>
  <w:style w:type="character" w:customStyle="1" w:styleId="Heading8Char">
    <w:name w:val="Heading 8 Char"/>
    <w:basedOn w:val="DefaultParagraphFont"/>
    <w:link w:val="Heading8"/>
    <w:uiPriority w:val="9"/>
    <w:rPr>
      <w:rFonts w:ascii="Arial" w:eastAsia="Arial" w:hAnsi="Arial" w:cs="Arial"/>
      <w:i/>
      <w:iCs/>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basedOn w:val="DefaultParagraphFont"/>
    <w:link w:val="IntenseQuote"/>
    <w:uiPriority w:val="30"/>
    <w:rPr>
      <w:rFonts w:ascii="Times New Roman" w:eastAsia="Calibri" w:hAnsi="Times New Roman" w:cs="Calibri"/>
      <w:i/>
      <w:sz w:val="24"/>
      <w:shd w:val="clear" w:color="F2F2F2" w:fill="F2F2F2"/>
    </w:rPr>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hemeColor="light1"/>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hemeColor="light1"/>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hemeColor="light1"/>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cPr>
    </w:tblStylePr>
    <w:tblStylePr w:type="band1Horz">
      <w:rPr>
        <w:rFonts w:ascii="Arial" w:hAnsi="Arial"/>
        <w:color w:val="7F7F7F" w:themeColor="text1" w:themeTint="80" w:themeShade="95"/>
        <w:sz w:val="22"/>
      </w:rPr>
      <w:tblPr/>
      <w:tcPr>
        <w:shd w:val="clear" w:color="CBCBCB" w:fill="CBCBCB"/>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rFonts w:ascii="Arial" w:hAnsi="Arial"/>
        <w:color w:val="7F7F7F" w:themeColor="text1" w:themeTint="80" w:themeShade="95"/>
        <w:sz w:val="22"/>
      </w:rPr>
      <w:tblPr/>
      <w:tcPr>
        <w:shd w:val="clear" w:color="F2F2F2" w:fill="F2F2F2"/>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cPr>
    </w:tblStylePr>
    <w:tblStylePr w:type="band2Horz">
      <w:tblPr/>
      <w:tcPr>
        <w:tcBorders>
          <w:top w:val="single" w:sz="4" w:space="0" w:color="FFFFFF" w:themeColor="light1"/>
          <w:bottom w:val="single" w:sz="4" w:space="0" w:color="FFFFFF" w:themeColor="light1"/>
        </w:tcBorders>
        <w:shd w:val="clear" w:color="7F7F7F" w:fill="7F7F7F"/>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cPr>
    </w:tblStylePr>
    <w:tblStylePr w:type="band1Horz">
      <w:rPr>
        <w:rFonts w:ascii="Arial" w:hAnsi="Arial"/>
        <w:color w:val="000000" w:themeColor="text1"/>
        <w:sz w:val="22"/>
      </w:rPr>
      <w:tblPr/>
      <w:tcPr>
        <w:shd w:val="clear" w:color="BFBFBF" w:fill="BFBFBF"/>
      </w:tcPr>
    </w:tblStylePr>
    <w:tblStylePr w:type="band2Horz">
      <w:rPr>
        <w:rFonts w:ascii="Arial" w:hAnsi="Arial"/>
        <w:color w:val="000000"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rFonts w:ascii="Arial" w:hAnsi="Arial"/>
        <w:color w:val="7F7F7F" w:themeColor="text1" w:themeTint="80" w:themeShade="95"/>
        <w:sz w:val="22"/>
      </w:rPr>
      <w:tblPr/>
      <w:tcPr>
        <w:shd w:val="clear" w:color="BFBFBF" w:fill="BFBFBF"/>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Table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TableNormal"/>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TableNormal"/>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TableNormal"/>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TableNormal"/>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TableNormal"/>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TableNormal"/>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character" w:customStyle="1" w:styleId="apple-converted-space">
    <w:name w:val="apple-converted-space"/>
    <w:basedOn w:val="DefaultParagraphFont"/>
  </w:style>
  <w:style w:type="character" w:customStyle="1" w:styleId="slug-doi">
    <w:name w:val="slug-doi"/>
    <w:basedOn w:val="DefaultParagraphFont"/>
  </w:style>
  <w:style w:type="paragraph" w:customStyle="1" w:styleId="EndNoteBibliographyTitle">
    <w:name w:val="EndNote Bibliography Title"/>
    <w:basedOn w:val="Normal"/>
    <w:link w:val="EndNoteBibliographyTitleChar"/>
    <w:pPr>
      <w:spacing w:before="0" w:after="0" w:line="259" w:lineRule="auto"/>
      <w:jc w:val="center"/>
    </w:pPr>
    <w:rPr>
      <w:rFonts w:cs="Times New Roman"/>
      <w:szCs w:val="24"/>
    </w:rPr>
  </w:style>
  <w:style w:type="character" w:customStyle="1" w:styleId="EndNoteBibliographyTitleChar">
    <w:name w:val="EndNote Bibliography Title Char"/>
    <w:basedOn w:val="DefaultParagraphFont"/>
    <w:link w:val="EndNoteBibliographyTitle"/>
    <w:rPr>
      <w:rFonts w:ascii="Times New Roman" w:eastAsia="Calibri" w:hAnsi="Times New Roman" w:cs="Times New Roman"/>
      <w:sz w:val="24"/>
      <w:szCs w:val="24"/>
    </w:rPr>
  </w:style>
  <w:style w:type="paragraph" w:customStyle="1" w:styleId="EndNoteBibliography">
    <w:name w:val="EndNote Bibliography"/>
    <w:basedOn w:val="Normal"/>
    <w:link w:val="EndNoteBibliographyChar"/>
    <w:pPr>
      <w:spacing w:before="0" w:after="160"/>
    </w:pPr>
    <w:rPr>
      <w:rFonts w:cs="Times New Roman"/>
      <w:szCs w:val="24"/>
    </w:rPr>
  </w:style>
  <w:style w:type="character" w:customStyle="1" w:styleId="EndNoteBibliographyChar">
    <w:name w:val="EndNote Bibliography Char"/>
    <w:basedOn w:val="DefaultParagraphFont"/>
    <w:link w:val="EndNoteBibliography"/>
    <w:rPr>
      <w:rFonts w:ascii="Times New Roman" w:eastAsia="Calibri" w:hAnsi="Times New Roman" w:cs="Times New Roman"/>
      <w:sz w:val="24"/>
      <w:szCs w:val="24"/>
    </w:rPr>
  </w:style>
  <w:style w:type="character" w:styleId="PlaceholderText">
    <w:name w:val="Placeholder Text"/>
    <w:basedOn w:val="DefaultParagraphFont"/>
    <w:uiPriority w:val="99"/>
    <w:semiHidden/>
    <w:rPr>
      <w:color w:val="808080"/>
    </w:rPr>
  </w:style>
  <w:style w:type="table" w:styleId="MediumList2">
    <w:name w:val="Medium List 2"/>
    <w:basedOn w:val="TableNormal"/>
    <w:uiPriority w:val="66"/>
    <w:pPr>
      <w:spacing w:after="0" w:line="240" w:lineRule="auto"/>
    </w:pPr>
    <w:rPr>
      <w:rFonts w:ascii="Cambria" w:eastAsia="Cambria" w:hAnsi="Cambria" w:cs="Cambria"/>
      <w:color w:val="000000" w:themeColor="text1"/>
      <w:lang w:val="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FFFFFF" w:fill="FFFFFF"/>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FFFFFF" w:fill="FFFFFF"/>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FFFFFF" w:fill="FFFFFF"/>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FFFFFF" w:fill="FFFFFF"/>
      </w:tcPr>
    </w:tblStylePr>
    <w:tblStylePr w:type="band1Vert">
      <w:tblPr/>
      <w:tcPr>
        <w:tcBorders>
          <w:left w:val="none" w:sz="4" w:space="0" w:color="000000"/>
          <w:right w:val="none" w:sz="4" w:space="0" w:color="000000"/>
          <w:insideH w:val="none" w:sz="4" w:space="0" w:color="000000"/>
          <w:insideV w:val="none" w:sz="4" w:space="0" w:color="000000"/>
        </w:tcBorders>
        <w:shd w:val="clear" w:color="C0C0C0" w:fill="C0C0C0"/>
      </w:tcPr>
    </w:tblStylePr>
    <w:tblStylePr w:type="band1Horz">
      <w:tblPr/>
      <w:tcPr>
        <w:tcBorders>
          <w:top w:val="none" w:sz="4" w:space="0" w:color="000000"/>
          <w:bottom w:val="none" w:sz="4" w:space="0" w:color="000000"/>
          <w:insideH w:val="none" w:sz="4" w:space="0" w:color="000000"/>
          <w:insideV w:val="none" w:sz="4" w:space="0" w:color="000000"/>
        </w:tcBorders>
        <w:shd w:val="clear" w:color="C0C0C0" w:fill="C0C0C0"/>
      </w:tcPr>
    </w:tblStylePr>
    <w:tblStylePr w:type="nwCell">
      <w:tblPr/>
      <w:tcPr>
        <w:shd w:val="clear" w:color="FFFFFF" w:fill="FFFFFF"/>
      </w:tcPr>
    </w:tblStylePr>
    <w:tblStylePr w:type="swCell">
      <w:tblPr/>
      <w:tcPr>
        <w:tcBorders>
          <w:top w:val="none" w:sz="4" w:space="0" w:color="000000"/>
        </w:tcBorders>
      </w:tcPr>
    </w:tblStylePr>
  </w:style>
  <w:style w:type="paragraph" w:styleId="BodyText2">
    <w:name w:val="Body Text 2"/>
    <w:basedOn w:val="Normal"/>
    <w:link w:val="BodyText2Char"/>
    <w:pPr>
      <w:spacing w:before="0" w:after="0"/>
    </w:pPr>
    <w:rPr>
      <w:rFonts w:ascii="Arial" w:eastAsia="Times New Roman" w:hAnsi="Arial" w:cs="Arial"/>
      <w:sz w:val="22"/>
      <w:szCs w:val="24"/>
      <w:lang w:val="en-GB" w:eastAsia="de-DE"/>
    </w:rPr>
  </w:style>
  <w:style w:type="character" w:customStyle="1" w:styleId="BodyText2Char">
    <w:name w:val="Body Text 2 Char"/>
    <w:basedOn w:val="DefaultParagraphFont"/>
    <w:link w:val="BodyText2"/>
    <w:rPr>
      <w:rFonts w:ascii="Arial" w:eastAsia="Times New Roman" w:hAnsi="Arial" w:cs="Arial"/>
      <w:sz w:val="24"/>
      <w:szCs w:val="24"/>
      <w:lang w:val="en-GB" w:eastAsia="de-DE"/>
    </w:rPr>
  </w:style>
  <w:style w:type="paragraph" w:styleId="Revision">
    <w:name w:val="Revision"/>
    <w:hidden/>
    <w:uiPriority w:val="99"/>
    <w:semiHidden/>
    <w:pPr>
      <w:spacing w:after="0" w:line="240" w:lineRule="auto"/>
    </w:pPr>
    <w:rPr>
      <w:rFonts w:ascii="Cambria" w:hAnsi="Cambria" w:cs="Times New Roman"/>
      <w:sz w:val="24"/>
      <w:szCs w:val="24"/>
    </w:rPr>
  </w:style>
  <w:style w:type="paragraph" w:customStyle="1" w:styleId="mb15">
    <w:name w:val="mb15"/>
    <w:basedOn w:val="Normal"/>
    <w:pPr>
      <w:spacing w:before="100" w:beforeAutospacing="1" w:after="100" w:afterAutospacing="1"/>
    </w:pPr>
    <w:rPr>
      <w:rFonts w:eastAsia="Times New Roman" w:cs="Times New Roman"/>
      <w:szCs w:val="24"/>
      <w:lang w:val="en-GB" w:eastAsia="en-GB"/>
    </w:rPr>
  </w:style>
  <w:style w:type="character" w:customStyle="1" w:styleId="mi">
    <w:name w:val="mi"/>
    <w:basedOn w:val="DefaultParagraphFont"/>
  </w:style>
  <w:style w:type="character" w:customStyle="1" w:styleId="mtext">
    <w:name w:val="mtext"/>
    <w:basedOn w:val="DefaultParagraphFont"/>
  </w:style>
  <w:style w:type="character" w:customStyle="1" w:styleId="mo">
    <w:name w:val="mo"/>
    <w:basedOn w:val="DefaultParagraphFont"/>
  </w:style>
  <w:style w:type="character" w:customStyle="1" w:styleId="mn">
    <w:name w:val="mn"/>
    <w:basedOn w:val="DefaultParagraphFont"/>
  </w:style>
  <w:style w:type="character" w:customStyle="1" w:styleId="msqrt">
    <w:name w:val="msqrt"/>
    <w:basedOn w:val="DefaultParagraphFont"/>
  </w:style>
  <w:style w:type="paragraph" w:customStyle="1" w:styleId="mb0">
    <w:name w:val="mb0"/>
    <w:basedOn w:val="Normal"/>
    <w:pPr>
      <w:spacing w:before="100" w:beforeAutospacing="1" w:after="100" w:afterAutospacing="1"/>
    </w:pPr>
    <w:rPr>
      <w:rFonts w:eastAsia="Times New Roman" w:cs="Times New Roman"/>
      <w:szCs w:val="24"/>
      <w:lang w:val="en-GB" w:eastAsia="en-GB"/>
    </w:rPr>
  </w:style>
  <w:style w:type="character" w:customStyle="1" w:styleId="figpopup-sensitive-area">
    <w:name w:val="figpopup-sensitive-area"/>
    <w:basedOn w:val="DefaultParagraphFont"/>
  </w:style>
  <w:style w:type="paragraph" w:customStyle="1" w:styleId="p">
    <w:name w:val="p"/>
    <w:basedOn w:val="Normal"/>
    <w:pPr>
      <w:spacing w:before="100" w:beforeAutospacing="1" w:after="100" w:afterAutospacing="1"/>
    </w:pPr>
    <w:rPr>
      <w:rFonts w:eastAsia="Times New Roman" w:cs="Times New Roman"/>
      <w:szCs w:val="24"/>
      <w:lang w:val="en-GB" w:eastAsia="en-GB"/>
    </w:rPr>
  </w:style>
  <w:style w:type="character" w:customStyle="1" w:styleId="mathjaxpreview">
    <w:name w:val="mathjax_preview"/>
    <w:basedOn w:val="DefaultParagraphFont"/>
  </w:style>
  <w:style w:type="character" w:styleId="HTMLCite">
    <w:name w:val="HTML Cite"/>
    <w:basedOn w:val="DefaultParagraphFont"/>
    <w:uiPriority w:val="99"/>
    <w:semiHidden/>
    <w:unhideWhenUsed/>
    <w:rPr>
      <w:i/>
      <w:iCs/>
    </w:rPr>
  </w:style>
  <w:style w:type="character" w:customStyle="1" w:styleId="UnresolvedMention1">
    <w:name w:val="Unresolved Mention1"/>
    <w:basedOn w:val="DefaultParagraphFont"/>
    <w:uiPriority w:val="99"/>
    <w:semiHidden/>
    <w:unhideWhenUsed/>
    <w:rPr>
      <w:color w:val="808080"/>
      <w:shd w:val="clear" w:color="E6E6E6" w:fill="E6E6E6"/>
    </w:rPr>
  </w:style>
  <w:style w:type="paragraph" w:customStyle="1" w:styleId="Standard1">
    <w:name w:val="Standard1"/>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Pr>
      <w:color w:val="605E5C"/>
      <w:shd w:val="clear" w:color="E1DFDD"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2.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25" Type="http://schemas.openxmlformats.org/officeDocument/2006/relationships/image" Target="media/image60.png"/><Relationship Id="rId2" Type="http://schemas.openxmlformats.org/officeDocument/2006/relationships/customXml" Target="../customXml/item2.xm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23" Type="http://schemas.openxmlformats.org/officeDocument/2006/relationships/image" Target="media/image5.jp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4.jp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4.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929DAE40-C63D-4E27-A85F-1EC4AD761C15}">
  <ds:schemaRefs>
    <ds:schemaRef ds:uri="http://schemas.openxmlformats.org/officeDocument/2006/bibliography"/>
  </ds:schemaRefs>
</ds:datastoreItem>
</file>

<file path=customXml/itemProps2.xml><?xml version="1.0" encoding="utf-8"?>
<ds:datastoreItem xmlns:ds="http://schemas.openxmlformats.org/officeDocument/2006/customXml" ds:itemID="{5849F876-7095-4F20-8A3F-5092A3AF5E15}">
  <ds:schemaRefs>
    <ds:schemaRef ds:uri="http://schemas.openxmlformats.org/wordprocessingml/2006/main"/>
  </ds:schemaRefs>
</ds:datastoreItem>
</file>

<file path=customXml/itemProps3.xml><?xml version="1.0" encoding="utf-8"?>
<ds:datastoreItem xmlns:ds="http://schemas.openxmlformats.org/officeDocument/2006/customXml" ds:itemID="{ECE06A9E-1C63-4751-BF44-5AC6E31B9FF6}">
  <ds:schemaRefs>
    <ds:schemaRef ds:uri="http://schemas.openxmlformats.org/wordprocessingml/2006/main"/>
  </ds:schemaRefs>
</ds:datastoreItem>
</file>

<file path=customXml/itemProps4.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2136</Words>
  <Characters>12181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Athanasios (Thanos) Manos</cp:lastModifiedBy>
  <cp:revision>17</cp:revision>
  <dcterms:created xsi:type="dcterms:W3CDTF">2021-07-26T01:50:00Z</dcterms:created>
  <dcterms:modified xsi:type="dcterms:W3CDTF">2021-08-24T06:42:00Z</dcterms:modified>
</cp:coreProperties>
</file>