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68E760F1" w:rsidR="00EA3D3C" w:rsidRPr="00994A3D" w:rsidRDefault="00654E8F" w:rsidP="0001436A">
      <w:pPr>
        <w:pStyle w:val="1"/>
      </w:pPr>
      <w:r w:rsidRPr="00994A3D">
        <w:t xml:space="preserve">Supplementary </w:t>
      </w:r>
      <w:r w:rsidR="00457D0D">
        <w:t>Figures</w:t>
      </w:r>
    </w:p>
    <w:p w14:paraId="0A8D0E0C" w14:textId="67D69A43" w:rsidR="00457D0D" w:rsidRPr="001549D3" w:rsidRDefault="00457D0D" w:rsidP="00457D0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EE8FCC5" wp14:editId="1C757EE6">
            <wp:extent cx="3213100" cy="1917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A9D7" w14:textId="136702FB" w:rsidR="00457D0D" w:rsidRPr="001549D3" w:rsidRDefault="00457D0D" w:rsidP="00457D0D">
      <w:pPr>
        <w:keepNext/>
        <w:jc w:val="center"/>
        <w:rPr>
          <w:rFonts w:cs="Times New Roman"/>
          <w:szCs w:val="24"/>
        </w:rPr>
      </w:pPr>
    </w:p>
    <w:p w14:paraId="776081E2" w14:textId="600F3234" w:rsidR="00457D0D" w:rsidRDefault="00457D0D" w:rsidP="00457D0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57D0D">
        <w:rPr>
          <w:rFonts w:cs="Times New Roman" w:hint="eastAsia"/>
          <w:szCs w:val="24"/>
        </w:rPr>
        <w:t xml:space="preserve">TPS score of patients (n=118). 13.6% patients possessed high expression of PD-1/PD-L1 with TPS score of </w:t>
      </w:r>
      <w:r w:rsidRPr="00457D0D">
        <w:rPr>
          <w:rFonts w:cs="Times New Roman" w:hint="eastAsia"/>
          <w:szCs w:val="24"/>
        </w:rPr>
        <w:t>≥</w:t>
      </w:r>
      <w:r w:rsidRPr="00457D0D">
        <w:rPr>
          <w:rFonts w:cs="Times New Roman" w:hint="eastAsia"/>
          <w:szCs w:val="24"/>
        </w:rPr>
        <w:t>50%, which primarily received fist-line immunotherapy. It is only known that the status of PD-1/PD-L1 expression were positive among another</w:t>
      </w:r>
      <w:r w:rsidRPr="00457D0D">
        <w:rPr>
          <w:rFonts w:cs="Times New Roman"/>
          <w:szCs w:val="24"/>
        </w:rPr>
        <w:t xml:space="preserve"> 11% patients and 75.4% remained unknown.</w:t>
      </w:r>
      <w:r w:rsidRPr="001549D3">
        <w:rPr>
          <w:rFonts w:cs="Times New Roman"/>
          <w:szCs w:val="24"/>
        </w:rPr>
        <w:t xml:space="preserve"> </w:t>
      </w:r>
    </w:p>
    <w:p w14:paraId="7E3205A3" w14:textId="74E121B4" w:rsidR="00457D0D" w:rsidRPr="00457D0D" w:rsidRDefault="00457D0D" w:rsidP="00457D0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AC4CA2E" w14:textId="756A109A" w:rsidR="00457D0D" w:rsidRDefault="00457D0D" w:rsidP="00457D0D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255155DE" wp14:editId="1C25E90B">
            <wp:extent cx="6208395" cy="239331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9444" w14:textId="7BEF9841" w:rsidR="00457D0D" w:rsidRDefault="00457D0D" w:rsidP="00457D0D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57D0D">
        <w:rPr>
          <w:rFonts w:cs="Times New Roman" w:hint="eastAsia"/>
          <w:szCs w:val="24"/>
        </w:rPr>
        <w:t xml:space="preserve">Overall Survival (OS) and time to progression (TTP) among patients of TPS score </w:t>
      </w:r>
      <w:r w:rsidRPr="00457D0D">
        <w:rPr>
          <w:rFonts w:cs="Times New Roman" w:hint="eastAsia"/>
          <w:szCs w:val="24"/>
        </w:rPr>
        <w:t>≥</w:t>
      </w:r>
      <w:r w:rsidRPr="00457D0D">
        <w:rPr>
          <w:rFonts w:cs="Times New Roman" w:hint="eastAsia"/>
          <w:szCs w:val="24"/>
        </w:rPr>
        <w:t>50% and all patients.</w:t>
      </w:r>
      <w:r>
        <w:rPr>
          <w:rFonts w:cs="Times New Roman"/>
          <w:szCs w:val="24"/>
        </w:rPr>
        <w:t xml:space="preserve"> </w:t>
      </w:r>
    </w:p>
    <w:p w14:paraId="31B10148" w14:textId="77777777" w:rsidR="00457D0D" w:rsidRDefault="00457D0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15A2FFC" w14:textId="795A1217" w:rsidR="00994A3D" w:rsidRDefault="00457D0D" w:rsidP="00457D0D">
      <w:p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44E7F2DE" wp14:editId="51A9C792">
            <wp:extent cx="6208395" cy="244030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E555" w14:textId="513F82B1" w:rsidR="00457D0D" w:rsidRDefault="00457D0D" w:rsidP="00457D0D">
      <w:pPr>
        <w:spacing w:before="100" w:beforeAutospacing="1" w:after="100" w:afterAutospacing="1"/>
        <w:jc w:val="both"/>
      </w:pPr>
      <w:r w:rsidRPr="00457D0D">
        <w:rPr>
          <w:b/>
          <w:bCs/>
        </w:rPr>
        <w:t>Figure S3.</w:t>
      </w:r>
      <w:r w:rsidRPr="00457D0D">
        <w:t xml:space="preserve"> Relationship between dosage and survival among patients receiving Atezolizumab and Nivolumab.</w:t>
      </w:r>
    </w:p>
    <w:p w14:paraId="0C859B6B" w14:textId="77777777" w:rsidR="00457D0D" w:rsidRDefault="00457D0D">
      <w:pPr>
        <w:spacing w:before="0" w:after="200" w:line="276" w:lineRule="auto"/>
      </w:pPr>
      <w:r>
        <w:br w:type="page"/>
      </w:r>
    </w:p>
    <w:p w14:paraId="533271AB" w14:textId="69C9B8CA" w:rsidR="00457D0D" w:rsidRDefault="00457D0D" w:rsidP="00457D0D">
      <w:p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68F2B1E6" wp14:editId="260D5D87">
            <wp:extent cx="3708400" cy="2552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6743" w14:textId="1DFFAAC5" w:rsidR="00457D0D" w:rsidRDefault="00457D0D" w:rsidP="00457D0D">
      <w:pPr>
        <w:rPr>
          <w:rFonts w:cs="Times New Roman"/>
        </w:rPr>
      </w:pPr>
      <w:r w:rsidRPr="00FB55D7">
        <w:rPr>
          <w:rFonts w:cs="Times New Roman" w:hint="eastAsia"/>
          <w:b/>
          <w:bCs/>
        </w:rPr>
        <w:t>F</w:t>
      </w:r>
      <w:r w:rsidRPr="00FB55D7">
        <w:rPr>
          <w:rFonts w:cs="Times New Roman"/>
          <w:b/>
          <w:bCs/>
        </w:rPr>
        <w:t>igure S</w:t>
      </w:r>
      <w:r>
        <w:rPr>
          <w:rFonts w:cs="Times New Roman"/>
          <w:b/>
          <w:bCs/>
        </w:rPr>
        <w:t>4</w:t>
      </w:r>
      <w:r w:rsidRPr="00FB55D7">
        <w:rPr>
          <w:rFonts w:cs="Times New Roman"/>
          <w:b/>
          <w:bCs/>
        </w:rPr>
        <w:t>. Disease progressed precent varies over time.</w:t>
      </w:r>
      <w:r>
        <w:rPr>
          <w:rFonts w:cs="Times New Roman"/>
        </w:rPr>
        <w:t xml:space="preserve"> 77% patients with initial clinical benefit developed disease progression during follow up interval.</w:t>
      </w:r>
    </w:p>
    <w:p w14:paraId="414477B6" w14:textId="77777777" w:rsidR="0057741E" w:rsidRPr="00B1110A" w:rsidRDefault="00457D0D" w:rsidP="0057741E">
      <w:pPr>
        <w:rPr>
          <w:rFonts w:cs="Times New Roman"/>
          <w:b/>
          <w:bCs/>
        </w:rPr>
      </w:pPr>
      <w:r>
        <w:rPr>
          <w:rFonts w:cs="Times New Roman"/>
        </w:rPr>
        <w:br w:type="page"/>
      </w:r>
      <w:r w:rsidR="0057741E" w:rsidRPr="00B1110A">
        <w:rPr>
          <w:rFonts w:cs="Times New Roman" w:hint="eastAsia"/>
          <w:b/>
          <w:bCs/>
        </w:rPr>
        <w:lastRenderedPageBreak/>
        <w:t>T</w:t>
      </w:r>
      <w:r w:rsidR="0057741E" w:rsidRPr="00B1110A">
        <w:rPr>
          <w:rFonts w:cs="Times New Roman"/>
          <w:b/>
          <w:bCs/>
        </w:rPr>
        <w:t>able</w:t>
      </w:r>
      <w:r w:rsidR="0057741E">
        <w:rPr>
          <w:rFonts w:cs="Times New Roman"/>
          <w:b/>
          <w:bCs/>
        </w:rPr>
        <w:t xml:space="preserve"> </w:t>
      </w:r>
      <w:r w:rsidR="0057741E">
        <w:rPr>
          <w:rFonts w:cs="Times New Roman" w:hint="eastAsia"/>
          <w:b/>
          <w:bCs/>
        </w:rPr>
        <w:t>S</w:t>
      </w:r>
      <w:r w:rsidR="0057741E">
        <w:rPr>
          <w:rFonts w:cs="Times New Roman"/>
          <w:b/>
          <w:bCs/>
        </w:rPr>
        <w:t>1</w:t>
      </w:r>
      <w:r w:rsidR="0057741E" w:rsidRPr="00B1110A">
        <w:rPr>
          <w:rFonts w:cs="Times New Roman"/>
          <w:b/>
          <w:bCs/>
        </w:rPr>
        <w:t>. Initial Characteristics of disease burden</w:t>
      </w:r>
    </w:p>
    <w:tbl>
      <w:tblPr>
        <w:tblStyle w:val="6"/>
        <w:tblW w:w="9781" w:type="dxa"/>
        <w:tblLook w:val="04A0" w:firstRow="1" w:lastRow="0" w:firstColumn="1" w:lastColumn="0" w:noHBand="0" w:noVBand="1"/>
      </w:tblPr>
      <w:tblGrid>
        <w:gridCol w:w="4820"/>
        <w:gridCol w:w="425"/>
        <w:gridCol w:w="2552"/>
        <w:gridCol w:w="1984"/>
      </w:tblGrid>
      <w:tr w:rsidR="0057741E" w:rsidRPr="0057741E" w14:paraId="09FE851D" w14:textId="77777777" w:rsidTr="00577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54AB7E8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V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ariable</w:t>
            </w:r>
          </w:p>
        </w:tc>
        <w:tc>
          <w:tcPr>
            <w:tcW w:w="2977" w:type="dxa"/>
            <w:gridSpan w:val="2"/>
          </w:tcPr>
          <w:p w14:paraId="5E7E22C9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n (n=118)</w:t>
            </w:r>
          </w:p>
        </w:tc>
        <w:tc>
          <w:tcPr>
            <w:tcW w:w="1984" w:type="dxa"/>
          </w:tcPr>
          <w:p w14:paraId="28095B41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%</w:t>
            </w:r>
          </w:p>
        </w:tc>
      </w:tr>
      <w:tr w:rsidR="0057741E" w:rsidRPr="0057741E" w14:paraId="211C8046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04455B5E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T stage</w:t>
            </w:r>
          </w:p>
        </w:tc>
        <w:tc>
          <w:tcPr>
            <w:tcW w:w="2552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73CED09B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6025B1A2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2B1CB6B7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D71D0E6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T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267EEBA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183E5A59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7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.6</w:t>
            </w:r>
          </w:p>
        </w:tc>
      </w:tr>
      <w:tr w:rsidR="0057741E" w:rsidRPr="0057741E" w14:paraId="6900B69A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79A4EAB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T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5C8B4D6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3FCE50DB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0.2</w:t>
            </w:r>
          </w:p>
        </w:tc>
      </w:tr>
      <w:tr w:rsidR="0057741E" w:rsidRPr="0057741E" w14:paraId="2CDD7F5B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B6A1201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T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F4184F6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F96879D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1.5</w:t>
            </w:r>
          </w:p>
        </w:tc>
      </w:tr>
      <w:tr w:rsidR="0057741E" w:rsidRPr="0057741E" w14:paraId="7EDB3C82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86BA06C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T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3F62B52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5E8CBB1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8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.5</w:t>
            </w:r>
          </w:p>
        </w:tc>
      </w:tr>
      <w:tr w:rsidR="0057741E" w:rsidRPr="0057741E" w14:paraId="491CB9D4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BAD4721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T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18E993B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699108C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32.2</w:t>
            </w:r>
          </w:p>
        </w:tc>
      </w:tr>
      <w:tr w:rsidR="0057741E" w:rsidRPr="0057741E" w14:paraId="54A3F6EA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E11DFB1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 xml:space="preserve"> stage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EBF75CC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216ED8C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35F3DD39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1444DCB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46935F8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3484109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8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.5</w:t>
            </w:r>
          </w:p>
        </w:tc>
      </w:tr>
      <w:tr w:rsidR="0057741E" w:rsidRPr="0057741E" w14:paraId="0528538A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77A9D5C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5F3C177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351D369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.4</w:t>
            </w:r>
          </w:p>
        </w:tc>
      </w:tr>
      <w:tr w:rsidR="0057741E" w:rsidRPr="0057741E" w14:paraId="0F5A763F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7199A4A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C40FBD3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40999B4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7.3</w:t>
            </w:r>
          </w:p>
        </w:tc>
      </w:tr>
      <w:tr w:rsidR="0057741E" w:rsidRPr="0057741E" w14:paraId="0D7075DF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C76F8ED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B384BC1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6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9BEF2AB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5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0.8</w:t>
            </w:r>
          </w:p>
        </w:tc>
      </w:tr>
      <w:tr w:rsidR="0057741E" w:rsidRPr="0057741E" w14:paraId="0B36F5BA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E66A722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Organs harboring metastases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32682E4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67783FDD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7F51BBD0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67D9E63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L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ung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C321030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17A3BB36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09A9878B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D9F196A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B9EE547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9CEB2AD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3.1</w:t>
            </w:r>
          </w:p>
        </w:tc>
      </w:tr>
      <w:tr w:rsidR="0057741E" w:rsidRPr="0057741E" w14:paraId="03A0B5EF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7C19A2A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9441FB6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7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5817CE1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6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6.9</w:t>
            </w:r>
          </w:p>
        </w:tc>
      </w:tr>
      <w:tr w:rsidR="0057741E" w:rsidRPr="0057741E" w14:paraId="7C8CEB72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7703E68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B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rain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816F88B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6449C163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4BACE4B0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531779D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5C69DFA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FA72E6C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1.2</w:t>
            </w:r>
          </w:p>
        </w:tc>
      </w:tr>
      <w:tr w:rsidR="0057741E" w:rsidRPr="0057741E" w14:paraId="1FCF95BA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2CE0CBA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5CB1EC6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9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0C687EA7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7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8.8</w:t>
            </w:r>
          </w:p>
        </w:tc>
      </w:tr>
      <w:tr w:rsidR="0057741E" w:rsidRPr="0057741E" w14:paraId="195FFA0D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9AFB7DD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L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iver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52D9B6F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21B0DECC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3C6F5C60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2087235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912188B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6447CA9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8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.5</w:t>
            </w:r>
          </w:p>
        </w:tc>
      </w:tr>
      <w:tr w:rsidR="0057741E" w:rsidRPr="0057741E" w14:paraId="4153BCBE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737A7D1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D2DC7B4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05328DE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9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1.5</w:t>
            </w:r>
          </w:p>
        </w:tc>
      </w:tr>
      <w:tr w:rsidR="0057741E" w:rsidRPr="0057741E" w14:paraId="1455626B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47C94AC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A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drenal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A60678B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F713043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66FC625C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AAD61D0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88E3237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62295706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8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.5</w:t>
            </w:r>
          </w:p>
        </w:tc>
      </w:tr>
      <w:tr w:rsidR="0057741E" w:rsidRPr="0057741E" w14:paraId="21AEF2D0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B5653D0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9DA3E16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048C9EA6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9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1.5</w:t>
            </w:r>
          </w:p>
        </w:tc>
      </w:tr>
      <w:tr w:rsidR="0057741E" w:rsidRPr="0057741E" w14:paraId="7B3F75A9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FA5EB5B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B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one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B42DB13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3EDB39A6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62E589E5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C91C4DD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F3A1E7E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43B070D6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5.6</w:t>
            </w:r>
          </w:p>
        </w:tc>
      </w:tr>
      <w:tr w:rsidR="0057741E" w:rsidRPr="0057741E" w14:paraId="583ABB42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AE81353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43A17AA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7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3AABDA8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6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.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4</w:t>
            </w:r>
          </w:p>
        </w:tc>
      </w:tr>
      <w:tr w:rsidR="0057741E" w:rsidRPr="0057741E" w14:paraId="07E07CD9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02EBC06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O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ther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BF02557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46D581C7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0C06F8F2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A22443C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Y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FA07C81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6AD51802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9.7</w:t>
            </w:r>
          </w:p>
        </w:tc>
      </w:tr>
      <w:tr w:rsidR="0057741E" w:rsidRPr="0057741E" w14:paraId="0890E32C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28904E7" w14:textId="77777777" w:rsidR="0057741E" w:rsidRPr="0057741E" w:rsidRDefault="0057741E" w:rsidP="0057741E">
            <w:pPr>
              <w:widowControl w:val="0"/>
              <w:spacing w:before="0" w:after="0"/>
              <w:ind w:firstLineChars="200" w:firstLine="42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D8DD31B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8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24E88DB3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7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0.3</w:t>
            </w:r>
          </w:p>
        </w:tc>
      </w:tr>
      <w:tr w:rsidR="0057741E" w:rsidRPr="0057741E" w14:paraId="773E01A7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967CBFA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umber of organs of metastases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E090A1D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1BD5E1A4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4EC9281A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0D262E6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228D584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5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3393F921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6.6</w:t>
            </w:r>
          </w:p>
        </w:tc>
      </w:tr>
      <w:tr w:rsidR="0057741E" w:rsidRPr="0057741E" w14:paraId="44E1E802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614415E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21C7769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391DBCD4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9.7</w:t>
            </w:r>
          </w:p>
        </w:tc>
      </w:tr>
      <w:tr w:rsidR="0057741E" w:rsidRPr="0057741E" w14:paraId="17433079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98E6A26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78AE9FA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073F022D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6.9</w:t>
            </w:r>
          </w:p>
        </w:tc>
      </w:tr>
      <w:tr w:rsidR="0057741E" w:rsidRPr="0057741E" w14:paraId="6BA123D6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7A7474F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76761C4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141E5B4C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.2</w:t>
            </w:r>
          </w:p>
        </w:tc>
      </w:tr>
      <w:tr w:rsidR="0057741E" w:rsidRPr="0057741E" w14:paraId="6C1E0396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FE8AF8C" w14:textId="1E1F336C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m:oMath>
              <m:r>
                <w:rPr>
                  <w:rFonts w:ascii="Cambria Math" w:eastAsia="DengXian" w:hAnsi="Cambria Math" w:cs="Times New Roman"/>
                  <w:color w:val="000000"/>
                  <w:sz w:val="21"/>
                </w:rPr>
                <m:t>≥</m:t>
              </m:r>
            </m:oMath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CA3496E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5F44C3F2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.5</w:t>
            </w:r>
          </w:p>
        </w:tc>
      </w:tr>
      <w:tr w:rsidR="0057741E" w:rsidRPr="0057741E" w14:paraId="23495A54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67C882D" w14:textId="77777777" w:rsidR="0057741E" w:rsidRPr="0057741E" w:rsidRDefault="0057741E" w:rsidP="0057741E">
            <w:pPr>
              <w:widowControl w:val="0"/>
              <w:spacing w:before="0" w:after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N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umber of metastases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2811BC4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2E12D385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</w:p>
        </w:tc>
      </w:tr>
      <w:tr w:rsidR="0057741E" w:rsidRPr="0057741E" w14:paraId="75DB7405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01B1E28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1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-5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B60D5F9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0CFD8B73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0.7</w:t>
            </w:r>
          </w:p>
        </w:tc>
      </w:tr>
      <w:tr w:rsidR="0057741E" w:rsidRPr="0057741E" w14:paraId="0F1F89F1" w14:textId="77777777" w:rsidTr="0057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EFEDB53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6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-10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230F491" w14:textId="77777777" w:rsidR="0057741E" w:rsidRPr="0057741E" w:rsidRDefault="0057741E" w:rsidP="0057741E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4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7B232A6D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3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9.0</w:t>
            </w:r>
          </w:p>
        </w:tc>
      </w:tr>
      <w:tr w:rsidR="0057741E" w:rsidRPr="0057741E" w14:paraId="03AFB535" w14:textId="77777777" w:rsidTr="0057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7FB9D38" w14:textId="77777777" w:rsidR="0057741E" w:rsidRPr="0057741E" w:rsidRDefault="0057741E" w:rsidP="0057741E">
            <w:pPr>
              <w:widowControl w:val="0"/>
              <w:spacing w:before="0" w:after="0"/>
              <w:ind w:firstLineChars="100" w:firstLine="210"/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b w:val="0"/>
                <w:bCs w:val="0"/>
                <w:color w:val="000000"/>
                <w:sz w:val="21"/>
              </w:rPr>
              <w:t>&gt;</w:t>
            </w:r>
            <w:r w:rsidRPr="0057741E">
              <w:rPr>
                <w:rFonts w:ascii="DengXian" w:eastAsia="DengXian" w:hAnsi="DengXian" w:cs="Times New Roman"/>
                <w:b w:val="0"/>
                <w:bCs w:val="0"/>
                <w:color w:val="000000"/>
                <w:sz w:val="21"/>
              </w:rPr>
              <w:t>10</w:t>
            </w:r>
          </w:p>
        </w:tc>
        <w:tc>
          <w:tcPr>
            <w:tcW w:w="2552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ACB4FCD" w14:textId="77777777" w:rsidR="0057741E" w:rsidRPr="0057741E" w:rsidRDefault="0057741E" w:rsidP="0057741E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4</w:t>
            </w:r>
          </w:p>
        </w:tc>
        <w:tc>
          <w:tcPr>
            <w:tcW w:w="1984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4C138E1" w14:textId="77777777" w:rsidR="0057741E" w:rsidRPr="0057741E" w:rsidRDefault="0057741E" w:rsidP="0057741E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Times New Roman"/>
                <w:color w:val="000000"/>
                <w:sz w:val="21"/>
              </w:rPr>
            </w:pPr>
            <w:r w:rsidRPr="0057741E">
              <w:rPr>
                <w:rFonts w:ascii="DengXian" w:eastAsia="DengXian" w:hAnsi="DengXian" w:cs="Times New Roman" w:hint="eastAsia"/>
                <w:color w:val="000000"/>
                <w:sz w:val="21"/>
              </w:rPr>
              <w:t>2</w:t>
            </w:r>
            <w:r w:rsidRPr="0057741E">
              <w:rPr>
                <w:rFonts w:ascii="DengXian" w:eastAsia="DengXian" w:hAnsi="DengXian" w:cs="Times New Roman"/>
                <w:color w:val="000000"/>
                <w:sz w:val="21"/>
              </w:rPr>
              <w:t>0.3</w:t>
            </w:r>
          </w:p>
        </w:tc>
      </w:tr>
    </w:tbl>
    <w:p w14:paraId="06C75ED7" w14:textId="77777777" w:rsidR="0057741E" w:rsidRPr="0057741E" w:rsidRDefault="0057741E" w:rsidP="0057741E">
      <w:pPr>
        <w:spacing w:before="0" w:after="0"/>
        <w:rPr>
          <w:rFonts w:ascii="DengXian" w:eastAsia="DengXian" w:hAnsi="DengXian" w:cs="Times New Roman"/>
          <w:kern w:val="2"/>
          <w:sz w:val="21"/>
          <w:szCs w:val="24"/>
          <w:lang w:eastAsia="zh-CN"/>
        </w:rPr>
      </w:pPr>
    </w:p>
    <w:p w14:paraId="7446F80B" w14:textId="7AB163FB" w:rsidR="00457D0D" w:rsidRDefault="00457D0D" w:rsidP="0057741E">
      <w:pPr>
        <w:spacing w:before="0" w:after="0"/>
        <w:rPr>
          <w:rFonts w:cs="Times New Roman"/>
        </w:rPr>
      </w:pPr>
    </w:p>
    <w:sectPr w:rsidR="00457D0D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6D012" w14:textId="77777777" w:rsidR="00953596" w:rsidRDefault="00953596" w:rsidP="00117666">
      <w:pPr>
        <w:spacing w:after="0"/>
      </w:pPr>
      <w:r>
        <w:separator/>
      </w:r>
    </w:p>
  </w:endnote>
  <w:endnote w:type="continuationSeparator" w:id="0">
    <w:p w14:paraId="7603439A" w14:textId="77777777" w:rsidR="00953596" w:rsidRDefault="0095359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EC9CF" w14:textId="77777777" w:rsidR="00953596" w:rsidRDefault="00953596" w:rsidP="00117666">
      <w:pPr>
        <w:spacing w:after="0"/>
      </w:pPr>
      <w:r>
        <w:separator/>
      </w:r>
    </w:p>
  </w:footnote>
  <w:footnote w:type="continuationSeparator" w:id="0">
    <w:p w14:paraId="1EB85C50" w14:textId="77777777" w:rsidR="00953596" w:rsidRDefault="0095359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57D0D"/>
    <w:rsid w:val="004735C8"/>
    <w:rsid w:val="004947A6"/>
    <w:rsid w:val="004961FF"/>
    <w:rsid w:val="00517A89"/>
    <w:rsid w:val="005250F2"/>
    <w:rsid w:val="0057741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53596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styleId="6">
    <w:name w:val="List Table 6 Colorful"/>
    <w:basedOn w:val="a2"/>
    <w:uiPriority w:val="51"/>
    <w:rsid w:val="00457D0D"/>
    <w:pPr>
      <w:spacing w:after="0" w:line="240" w:lineRule="auto"/>
    </w:pPr>
    <w:rPr>
      <w:color w:val="000000" w:themeColor="text1"/>
      <w:kern w:val="2"/>
      <w:sz w:val="21"/>
      <w:szCs w:val="24"/>
      <w:lang w:eastAsia="zh-CN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10</TotalTime>
  <Pages>5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435273135@qq.com</cp:lastModifiedBy>
  <cp:revision>3</cp:revision>
  <cp:lastPrinted>2013-10-03T12:51:00Z</cp:lastPrinted>
  <dcterms:created xsi:type="dcterms:W3CDTF">2018-11-23T08:58:00Z</dcterms:created>
  <dcterms:modified xsi:type="dcterms:W3CDTF">2021-08-09T10:00:00Z</dcterms:modified>
</cp:coreProperties>
</file>