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F6BE9" w14:textId="6FF4A3CC" w:rsidR="006C41D6" w:rsidRDefault="00915A1F">
      <w:pPr>
        <w:rPr>
          <w:b/>
          <w:bCs/>
        </w:rPr>
      </w:pPr>
      <w:r>
        <w:rPr>
          <w:b/>
          <w:bCs/>
        </w:rPr>
        <w:t>Supplementary Material</w:t>
      </w:r>
    </w:p>
    <w:tbl>
      <w:tblPr>
        <w:tblW w:w="6752" w:type="dxa"/>
        <w:tblCellMar>
          <w:left w:w="10" w:type="dxa"/>
          <w:right w:w="10" w:type="dxa"/>
        </w:tblCellMar>
        <w:tblLook w:val="04A0" w:firstRow="1" w:lastRow="0" w:firstColumn="1" w:lastColumn="0" w:noHBand="0" w:noVBand="1"/>
      </w:tblPr>
      <w:tblGrid>
        <w:gridCol w:w="2325"/>
        <w:gridCol w:w="1214"/>
        <w:gridCol w:w="1650"/>
        <w:gridCol w:w="1563"/>
      </w:tblGrid>
      <w:tr w:rsidR="00915A1F" w14:paraId="732F53B3"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5011" w14:textId="77777777" w:rsidR="00915A1F" w:rsidRDefault="00915A1F" w:rsidP="00414509">
            <w:pPr>
              <w:spacing w:after="0"/>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69CB" w14:textId="77777777" w:rsidR="00915A1F" w:rsidRDefault="00915A1F" w:rsidP="00414509">
            <w:pPr>
              <w:spacing w:after="0"/>
              <w:rPr>
                <w:rFonts w:cs="Calibri"/>
                <w:sz w:val="20"/>
                <w:szCs w:val="20"/>
              </w:rPr>
            </w:pPr>
            <w:r>
              <w:rPr>
                <w:rFonts w:cs="Calibri"/>
                <w:sz w:val="20"/>
                <w:szCs w:val="20"/>
              </w:rPr>
              <w:t>Ischaemic</w:t>
            </w:r>
          </w:p>
          <w:p w14:paraId="38AD6232" w14:textId="77777777" w:rsidR="00915A1F" w:rsidRDefault="00915A1F" w:rsidP="00414509">
            <w:pPr>
              <w:spacing w:after="0"/>
              <w:rPr>
                <w:rFonts w:cs="Calibri"/>
                <w:sz w:val="20"/>
                <w:szCs w:val="20"/>
              </w:rPr>
            </w:pPr>
            <w:r>
              <w:rPr>
                <w:rFonts w:cs="Calibri"/>
                <w:sz w:val="20"/>
                <w:szCs w:val="20"/>
              </w:rPr>
              <w:t>n=231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DCA5" w14:textId="77777777" w:rsidR="00915A1F" w:rsidRDefault="00915A1F" w:rsidP="00414509">
            <w:pPr>
              <w:spacing w:after="0"/>
              <w:rPr>
                <w:rFonts w:cs="Calibri"/>
                <w:sz w:val="20"/>
                <w:szCs w:val="20"/>
              </w:rPr>
            </w:pPr>
            <w:r>
              <w:rPr>
                <w:rFonts w:cs="Calibri"/>
                <w:sz w:val="20"/>
                <w:szCs w:val="20"/>
              </w:rPr>
              <w:t>Intracerebral haemorrhage</w:t>
            </w:r>
          </w:p>
          <w:p w14:paraId="12C9A6E5" w14:textId="77777777" w:rsidR="00915A1F" w:rsidRDefault="00915A1F" w:rsidP="00414509">
            <w:pPr>
              <w:spacing w:after="0"/>
              <w:rPr>
                <w:rFonts w:cs="Calibri"/>
                <w:sz w:val="20"/>
                <w:szCs w:val="20"/>
              </w:rPr>
            </w:pPr>
            <w:r>
              <w:rPr>
                <w:rFonts w:cs="Calibri"/>
                <w:sz w:val="20"/>
                <w:szCs w:val="20"/>
              </w:rPr>
              <w:t>n=85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469E5" w14:textId="77777777" w:rsidR="00915A1F" w:rsidRDefault="00915A1F" w:rsidP="00414509">
            <w:pPr>
              <w:spacing w:after="0"/>
              <w:rPr>
                <w:rFonts w:cs="Calibri"/>
                <w:sz w:val="20"/>
                <w:szCs w:val="20"/>
              </w:rPr>
            </w:pPr>
            <w:r>
              <w:rPr>
                <w:rFonts w:cs="Calibri"/>
                <w:sz w:val="20"/>
                <w:szCs w:val="20"/>
              </w:rPr>
              <w:t>P value</w:t>
            </w:r>
          </w:p>
        </w:tc>
      </w:tr>
      <w:tr w:rsidR="00915A1F" w14:paraId="798474EB"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AEE3D" w14:textId="77777777" w:rsidR="00915A1F" w:rsidRDefault="00915A1F" w:rsidP="00414509">
            <w:pPr>
              <w:spacing w:after="0"/>
              <w:rPr>
                <w:rFonts w:cs="Calibri"/>
                <w:sz w:val="20"/>
                <w:szCs w:val="20"/>
              </w:rPr>
            </w:pPr>
            <w:r>
              <w:rPr>
                <w:rFonts w:cs="Calibri"/>
                <w:sz w:val="20"/>
                <w:szCs w:val="20"/>
              </w:rPr>
              <w:t>Male (%)</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8FE0" w14:textId="77777777" w:rsidR="00915A1F" w:rsidRDefault="00915A1F" w:rsidP="00414509">
            <w:pPr>
              <w:spacing w:after="0"/>
              <w:rPr>
                <w:rFonts w:cs="Calibri"/>
                <w:sz w:val="20"/>
                <w:szCs w:val="20"/>
              </w:rPr>
            </w:pPr>
            <w:r>
              <w:rPr>
                <w:rFonts w:cs="Calibri"/>
                <w:sz w:val="20"/>
                <w:szCs w:val="20"/>
              </w:rPr>
              <w:t>116 (50.2%)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645A4" w14:textId="77777777" w:rsidR="00915A1F" w:rsidRDefault="00915A1F" w:rsidP="00414509">
            <w:pPr>
              <w:tabs>
                <w:tab w:val="left" w:pos="786"/>
              </w:tabs>
              <w:spacing w:after="0"/>
              <w:rPr>
                <w:rFonts w:cs="Calibri"/>
                <w:sz w:val="20"/>
                <w:szCs w:val="20"/>
              </w:rPr>
            </w:pPr>
            <w:r>
              <w:rPr>
                <w:rFonts w:cs="Calibri"/>
                <w:sz w:val="20"/>
                <w:szCs w:val="20"/>
              </w:rPr>
              <w:t>45 (52.9%)</w:t>
            </w:r>
            <w:r>
              <w:rPr>
                <w:rFonts w:cs="Calibri"/>
                <w:sz w:val="20"/>
                <w:szCs w:val="20"/>
              </w:rPr>
              <w:tab/>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6013" w14:textId="77777777" w:rsidR="00915A1F" w:rsidRDefault="00915A1F" w:rsidP="00414509">
            <w:pPr>
              <w:spacing w:after="0"/>
              <w:rPr>
                <w:rFonts w:cs="Calibri"/>
                <w:sz w:val="20"/>
                <w:szCs w:val="20"/>
              </w:rPr>
            </w:pPr>
            <w:r>
              <w:rPr>
                <w:rFonts w:cs="Calibri"/>
                <w:sz w:val="20"/>
                <w:szCs w:val="20"/>
              </w:rPr>
              <w:t>0.667</w:t>
            </w:r>
          </w:p>
        </w:tc>
      </w:tr>
      <w:tr w:rsidR="00915A1F" w14:paraId="592C79E4"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482A" w14:textId="77777777" w:rsidR="00915A1F" w:rsidRDefault="00915A1F" w:rsidP="00414509">
            <w:pPr>
              <w:spacing w:after="0"/>
              <w:rPr>
                <w:rFonts w:cs="Calibri"/>
                <w:sz w:val="20"/>
                <w:szCs w:val="20"/>
              </w:rPr>
            </w:pPr>
            <w:r>
              <w:rPr>
                <w:rFonts w:cs="Calibri"/>
                <w:sz w:val="20"/>
                <w:szCs w:val="20"/>
              </w:rPr>
              <w:t>Age, mean (SD)</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6991" w14:textId="77777777" w:rsidR="00915A1F" w:rsidRDefault="00915A1F" w:rsidP="00414509">
            <w:pPr>
              <w:spacing w:after="0"/>
              <w:rPr>
                <w:rFonts w:cs="Calibri"/>
                <w:sz w:val="20"/>
                <w:szCs w:val="20"/>
              </w:rPr>
            </w:pPr>
            <w:r>
              <w:rPr>
                <w:rFonts w:cs="Calibri"/>
                <w:sz w:val="20"/>
                <w:szCs w:val="20"/>
              </w:rPr>
              <w:t>61.6</w:t>
            </w:r>
          </w:p>
          <w:p w14:paraId="025DD89D" w14:textId="77777777" w:rsidR="00915A1F" w:rsidRDefault="00915A1F" w:rsidP="00414509">
            <w:pPr>
              <w:spacing w:after="0"/>
              <w:rPr>
                <w:rFonts w:cs="Calibri"/>
                <w:sz w:val="20"/>
                <w:szCs w:val="20"/>
              </w:rPr>
            </w:pPr>
            <w:r>
              <w:rPr>
                <w:rFonts w:cs="Calibri"/>
                <w:sz w:val="20"/>
                <w:szCs w:val="20"/>
              </w:rPr>
              <w:t xml:space="preserve">(13.8)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B8F4" w14:textId="77777777" w:rsidR="00915A1F" w:rsidRDefault="00915A1F" w:rsidP="00414509">
            <w:pPr>
              <w:spacing w:after="0"/>
              <w:rPr>
                <w:rFonts w:cs="Calibri"/>
                <w:sz w:val="20"/>
                <w:szCs w:val="20"/>
              </w:rPr>
            </w:pPr>
            <w:r>
              <w:rPr>
                <w:rFonts w:cs="Calibri"/>
                <w:sz w:val="20"/>
                <w:szCs w:val="20"/>
              </w:rPr>
              <w:t>52.3</w:t>
            </w:r>
          </w:p>
          <w:p w14:paraId="25035225" w14:textId="77777777" w:rsidR="00915A1F" w:rsidRDefault="00915A1F" w:rsidP="00414509">
            <w:pPr>
              <w:spacing w:after="0"/>
              <w:rPr>
                <w:rFonts w:cs="Calibri"/>
                <w:sz w:val="20"/>
                <w:szCs w:val="20"/>
              </w:rPr>
            </w:pPr>
            <w:r>
              <w:rPr>
                <w:rFonts w:cs="Calibri"/>
                <w:sz w:val="20"/>
                <w:szCs w:val="20"/>
              </w:rPr>
              <w:t>(12.0)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31655" w14:textId="77777777" w:rsidR="00915A1F" w:rsidRDefault="00915A1F" w:rsidP="00414509">
            <w:pPr>
              <w:spacing w:after="0"/>
              <w:rPr>
                <w:rFonts w:cs="Calibri"/>
                <w:sz w:val="20"/>
                <w:szCs w:val="20"/>
              </w:rPr>
            </w:pPr>
            <w:r>
              <w:rPr>
                <w:rFonts w:cs="Calibri"/>
                <w:sz w:val="20"/>
                <w:szCs w:val="20"/>
              </w:rPr>
              <w:t>&lt;0.001</w:t>
            </w:r>
          </w:p>
        </w:tc>
      </w:tr>
      <w:tr w:rsidR="00915A1F" w14:paraId="3DD60284" w14:textId="77777777" w:rsidTr="00414509">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16D1" w14:textId="77777777" w:rsidR="00915A1F" w:rsidRDefault="00915A1F" w:rsidP="00414509">
            <w:pPr>
              <w:spacing w:after="0"/>
              <w:rPr>
                <w:rFonts w:cs="Calibri"/>
                <w:sz w:val="20"/>
                <w:szCs w:val="20"/>
              </w:rPr>
            </w:pPr>
            <w:r>
              <w:rPr>
                <w:rFonts w:cs="Calibri"/>
                <w:sz w:val="20"/>
                <w:szCs w:val="20"/>
              </w:rPr>
              <w:t>Ethnicity</w:t>
            </w:r>
          </w:p>
          <w:p w14:paraId="1A71147D" w14:textId="77777777" w:rsidR="00915A1F" w:rsidRDefault="00915A1F" w:rsidP="00414509">
            <w:pPr>
              <w:spacing w:after="0"/>
              <w:jc w:val="center"/>
              <w:rPr>
                <w:rFonts w:cs="Calibri"/>
                <w:sz w:val="20"/>
                <w:szCs w:val="20"/>
              </w:rPr>
            </w:pPr>
            <w:proofErr w:type="spellStart"/>
            <w:r>
              <w:rPr>
                <w:rFonts w:cs="Calibri"/>
                <w:sz w:val="20"/>
                <w:szCs w:val="20"/>
              </w:rPr>
              <w:t>Fullah</w:t>
            </w:r>
            <w:proofErr w:type="spellEnd"/>
          </w:p>
          <w:p w14:paraId="7F2BBA9A" w14:textId="77777777" w:rsidR="00915A1F" w:rsidRDefault="00915A1F" w:rsidP="00414509">
            <w:pPr>
              <w:spacing w:after="0"/>
              <w:jc w:val="center"/>
              <w:rPr>
                <w:rFonts w:cs="Calibri"/>
                <w:sz w:val="20"/>
                <w:szCs w:val="20"/>
              </w:rPr>
            </w:pPr>
            <w:r>
              <w:rPr>
                <w:rFonts w:cs="Calibri"/>
                <w:sz w:val="20"/>
                <w:szCs w:val="20"/>
              </w:rPr>
              <w:t>Krio</w:t>
            </w:r>
          </w:p>
          <w:p w14:paraId="4BA292D1" w14:textId="77777777" w:rsidR="00915A1F" w:rsidRDefault="00915A1F" w:rsidP="00414509">
            <w:pPr>
              <w:spacing w:after="0"/>
              <w:jc w:val="center"/>
              <w:rPr>
                <w:rFonts w:cs="Calibri"/>
                <w:sz w:val="20"/>
                <w:szCs w:val="20"/>
              </w:rPr>
            </w:pPr>
            <w:proofErr w:type="spellStart"/>
            <w:r>
              <w:rPr>
                <w:rFonts w:cs="Calibri"/>
                <w:sz w:val="20"/>
                <w:szCs w:val="20"/>
              </w:rPr>
              <w:t>Limba</w:t>
            </w:r>
            <w:proofErr w:type="spellEnd"/>
          </w:p>
          <w:p w14:paraId="36E732EB" w14:textId="77777777" w:rsidR="00915A1F" w:rsidRDefault="00915A1F" w:rsidP="00414509">
            <w:pPr>
              <w:spacing w:after="0"/>
              <w:jc w:val="center"/>
              <w:rPr>
                <w:rFonts w:cs="Calibri"/>
                <w:sz w:val="20"/>
                <w:szCs w:val="20"/>
              </w:rPr>
            </w:pPr>
            <w:r>
              <w:rPr>
                <w:rFonts w:cs="Calibri"/>
                <w:sz w:val="20"/>
                <w:szCs w:val="20"/>
              </w:rPr>
              <w:t>Mende</w:t>
            </w:r>
          </w:p>
          <w:p w14:paraId="5E9936CA" w14:textId="77777777" w:rsidR="00915A1F" w:rsidRDefault="00915A1F" w:rsidP="00414509">
            <w:pPr>
              <w:spacing w:after="0"/>
              <w:jc w:val="center"/>
              <w:rPr>
                <w:rFonts w:cs="Calibri"/>
                <w:sz w:val="20"/>
                <w:szCs w:val="20"/>
              </w:rPr>
            </w:pPr>
            <w:r>
              <w:rPr>
                <w:rFonts w:cs="Calibri"/>
                <w:sz w:val="20"/>
                <w:szCs w:val="20"/>
              </w:rPr>
              <w:t>Temne</w:t>
            </w:r>
          </w:p>
          <w:p w14:paraId="36D7BFEC" w14:textId="77777777" w:rsidR="00915A1F" w:rsidRDefault="00915A1F" w:rsidP="00414509">
            <w:pPr>
              <w:spacing w:after="0"/>
              <w:jc w:val="center"/>
              <w:rPr>
                <w:rFonts w:cs="Calibri"/>
                <w:sz w:val="20"/>
                <w:szCs w:val="20"/>
              </w:rPr>
            </w:pPr>
            <w:r>
              <w:rPr>
                <w:rFonts w:cs="Calibri"/>
                <w:sz w:val="20"/>
                <w:szCs w:val="20"/>
              </w:rPr>
              <w:t>Other</w:t>
            </w:r>
          </w:p>
        </w:tc>
        <w:tc>
          <w:tcPr>
            <w:tcW w:w="1214" w:type="dxa"/>
            <w:tcBorders>
              <w:top w:val="single" w:sz="4" w:space="0" w:color="000000"/>
              <w:left w:val="doub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EA80BA" w14:textId="77777777" w:rsidR="00915A1F" w:rsidRDefault="00915A1F" w:rsidP="00414509">
            <w:pPr>
              <w:spacing w:after="0"/>
              <w:rPr>
                <w:rFonts w:cs="Calibri"/>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85917B0" w14:textId="77777777" w:rsidR="00915A1F" w:rsidRDefault="00915A1F" w:rsidP="00414509">
            <w:pPr>
              <w:spacing w:after="0"/>
              <w:rPr>
                <w:rFonts w:cs="Calibri"/>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EBD04" w14:textId="77777777" w:rsidR="00915A1F" w:rsidRDefault="00915A1F" w:rsidP="00414509">
            <w:pPr>
              <w:spacing w:after="0"/>
              <w:rPr>
                <w:rFonts w:cs="Calibri"/>
                <w:sz w:val="20"/>
                <w:szCs w:val="20"/>
              </w:rPr>
            </w:pPr>
            <w:r>
              <w:rPr>
                <w:rFonts w:cs="Calibri"/>
                <w:sz w:val="20"/>
                <w:szCs w:val="20"/>
              </w:rPr>
              <w:t>0.40</w:t>
            </w:r>
          </w:p>
        </w:tc>
      </w:tr>
      <w:tr w:rsidR="00915A1F" w14:paraId="55EB529F"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6768"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D85F" w14:textId="77777777" w:rsidR="00915A1F" w:rsidRDefault="00915A1F" w:rsidP="00414509">
            <w:pPr>
              <w:spacing w:after="0"/>
              <w:rPr>
                <w:rFonts w:cs="Calibri"/>
                <w:sz w:val="20"/>
                <w:szCs w:val="20"/>
              </w:rPr>
            </w:pPr>
            <w:r>
              <w:rPr>
                <w:rFonts w:cs="Calibri"/>
                <w:sz w:val="20"/>
                <w:szCs w:val="20"/>
              </w:rPr>
              <w:t>12 (5.2%)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B9B50" w14:textId="77777777" w:rsidR="00915A1F" w:rsidRDefault="00915A1F" w:rsidP="00414509">
            <w:pPr>
              <w:spacing w:after="0"/>
              <w:rPr>
                <w:rFonts w:cs="Calibri"/>
                <w:sz w:val="20"/>
                <w:szCs w:val="20"/>
              </w:rPr>
            </w:pPr>
            <w:r>
              <w:rPr>
                <w:rFonts w:cs="Calibri"/>
                <w:sz w:val="20"/>
                <w:szCs w:val="20"/>
              </w:rPr>
              <w:t>5 (5.9%)</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2DFF" w14:textId="77777777" w:rsidR="00915A1F" w:rsidRDefault="00915A1F" w:rsidP="00414509">
            <w:pPr>
              <w:spacing w:after="0"/>
              <w:rPr>
                <w:rFonts w:cs="Calibri"/>
                <w:sz w:val="20"/>
                <w:szCs w:val="20"/>
              </w:rPr>
            </w:pPr>
          </w:p>
        </w:tc>
      </w:tr>
      <w:tr w:rsidR="00915A1F" w14:paraId="32D87C7D"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8670"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4703" w14:textId="77777777" w:rsidR="00915A1F" w:rsidRDefault="00915A1F" w:rsidP="00414509">
            <w:pPr>
              <w:spacing w:after="0"/>
              <w:rPr>
                <w:rFonts w:cs="Calibri"/>
                <w:sz w:val="20"/>
                <w:szCs w:val="20"/>
              </w:rPr>
            </w:pPr>
            <w:r>
              <w:rPr>
                <w:rFonts w:cs="Calibri"/>
                <w:sz w:val="20"/>
                <w:szCs w:val="20"/>
              </w:rPr>
              <w:t>37 (16.0%)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00D24" w14:textId="77777777" w:rsidR="00915A1F" w:rsidRDefault="00915A1F" w:rsidP="00414509">
            <w:pPr>
              <w:spacing w:after="0"/>
              <w:rPr>
                <w:rFonts w:cs="Calibri"/>
                <w:sz w:val="20"/>
                <w:szCs w:val="20"/>
              </w:rPr>
            </w:pPr>
            <w:r>
              <w:rPr>
                <w:rFonts w:cs="Calibri"/>
                <w:sz w:val="20"/>
                <w:szCs w:val="20"/>
              </w:rPr>
              <w:t>6 (7.1%)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4E9C1" w14:textId="77777777" w:rsidR="00915A1F" w:rsidRDefault="00915A1F" w:rsidP="00414509">
            <w:pPr>
              <w:spacing w:after="0"/>
              <w:rPr>
                <w:rFonts w:cs="Calibri"/>
                <w:sz w:val="20"/>
                <w:szCs w:val="20"/>
              </w:rPr>
            </w:pPr>
          </w:p>
        </w:tc>
      </w:tr>
      <w:tr w:rsidR="00915A1F" w14:paraId="38342886"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8620"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54BC" w14:textId="77777777" w:rsidR="00915A1F" w:rsidRDefault="00915A1F" w:rsidP="00414509">
            <w:pPr>
              <w:spacing w:after="0"/>
              <w:rPr>
                <w:rFonts w:cs="Calibri"/>
                <w:sz w:val="20"/>
                <w:szCs w:val="20"/>
              </w:rPr>
            </w:pPr>
            <w:r>
              <w:rPr>
                <w:rFonts w:cs="Calibri"/>
                <w:sz w:val="20"/>
                <w:szCs w:val="20"/>
              </w:rPr>
              <w:t>26 (11.3%)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ABB3" w14:textId="77777777" w:rsidR="00915A1F" w:rsidRDefault="00915A1F" w:rsidP="00414509">
            <w:pPr>
              <w:spacing w:after="0"/>
              <w:rPr>
                <w:rFonts w:cs="Calibri"/>
                <w:sz w:val="20"/>
                <w:szCs w:val="20"/>
              </w:rPr>
            </w:pPr>
            <w:r>
              <w:rPr>
                <w:rFonts w:cs="Calibri"/>
                <w:sz w:val="20"/>
                <w:szCs w:val="20"/>
              </w:rPr>
              <w:t>9 (10.5%)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F874" w14:textId="77777777" w:rsidR="00915A1F" w:rsidRDefault="00915A1F" w:rsidP="00414509">
            <w:pPr>
              <w:spacing w:after="0"/>
              <w:rPr>
                <w:rFonts w:cs="Calibri"/>
                <w:sz w:val="20"/>
                <w:szCs w:val="20"/>
              </w:rPr>
            </w:pPr>
          </w:p>
        </w:tc>
      </w:tr>
      <w:tr w:rsidR="00915A1F" w14:paraId="140061AB"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60DE"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EED4" w14:textId="77777777" w:rsidR="00915A1F" w:rsidRDefault="00915A1F" w:rsidP="00414509">
            <w:pPr>
              <w:spacing w:after="0"/>
              <w:rPr>
                <w:rFonts w:cs="Calibri"/>
                <w:sz w:val="20"/>
                <w:szCs w:val="20"/>
              </w:rPr>
            </w:pPr>
            <w:r>
              <w:rPr>
                <w:rFonts w:cs="Calibri"/>
                <w:sz w:val="20"/>
                <w:szCs w:val="20"/>
              </w:rPr>
              <w:t>33 (14.3%)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20E1C" w14:textId="77777777" w:rsidR="00915A1F" w:rsidRDefault="00915A1F" w:rsidP="00414509">
            <w:pPr>
              <w:spacing w:after="0"/>
              <w:rPr>
                <w:rFonts w:cs="Calibri"/>
                <w:sz w:val="20"/>
                <w:szCs w:val="20"/>
              </w:rPr>
            </w:pPr>
            <w:r>
              <w:rPr>
                <w:rFonts w:cs="Calibri"/>
                <w:sz w:val="20"/>
                <w:szCs w:val="20"/>
              </w:rPr>
              <w:t>16 (18.8%)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32DE" w14:textId="77777777" w:rsidR="00915A1F" w:rsidRDefault="00915A1F" w:rsidP="00414509">
            <w:pPr>
              <w:spacing w:after="0"/>
              <w:rPr>
                <w:rFonts w:cs="Calibri"/>
                <w:sz w:val="20"/>
                <w:szCs w:val="20"/>
              </w:rPr>
            </w:pPr>
          </w:p>
        </w:tc>
      </w:tr>
      <w:tr w:rsidR="00915A1F" w14:paraId="02366F73"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89B3"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9B28" w14:textId="77777777" w:rsidR="00915A1F" w:rsidRDefault="00915A1F" w:rsidP="00414509">
            <w:pPr>
              <w:spacing w:after="0"/>
              <w:rPr>
                <w:rFonts w:cs="Calibri"/>
                <w:sz w:val="20"/>
                <w:szCs w:val="20"/>
              </w:rPr>
            </w:pPr>
            <w:r>
              <w:rPr>
                <w:rFonts w:cs="Calibri"/>
                <w:sz w:val="20"/>
                <w:szCs w:val="20"/>
              </w:rPr>
              <w:t>82 (35.5%)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FC36" w14:textId="77777777" w:rsidR="00915A1F" w:rsidRDefault="00915A1F" w:rsidP="00414509">
            <w:pPr>
              <w:spacing w:after="0"/>
              <w:rPr>
                <w:rFonts w:cs="Calibri"/>
                <w:sz w:val="20"/>
                <w:szCs w:val="20"/>
              </w:rPr>
            </w:pPr>
            <w:r>
              <w:rPr>
                <w:rFonts w:cs="Calibri"/>
                <w:sz w:val="20"/>
                <w:szCs w:val="20"/>
              </w:rPr>
              <w:t>35 (41.2%)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83AD" w14:textId="77777777" w:rsidR="00915A1F" w:rsidRDefault="00915A1F" w:rsidP="00414509">
            <w:pPr>
              <w:spacing w:after="0"/>
              <w:rPr>
                <w:rFonts w:cs="Calibri"/>
                <w:sz w:val="20"/>
                <w:szCs w:val="20"/>
              </w:rPr>
            </w:pPr>
          </w:p>
        </w:tc>
      </w:tr>
      <w:tr w:rsidR="00915A1F" w14:paraId="67814817"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3BF5"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1427" w14:textId="77777777" w:rsidR="00915A1F" w:rsidRDefault="00915A1F" w:rsidP="00414509">
            <w:pPr>
              <w:spacing w:after="0"/>
              <w:rPr>
                <w:rFonts w:cs="Calibri"/>
                <w:sz w:val="20"/>
                <w:szCs w:val="20"/>
              </w:rPr>
            </w:pPr>
            <w:r>
              <w:rPr>
                <w:rFonts w:cs="Calibri"/>
                <w:sz w:val="20"/>
                <w:szCs w:val="20"/>
              </w:rPr>
              <w:t>79 (34.2%)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E72B" w14:textId="77777777" w:rsidR="00915A1F" w:rsidRDefault="00915A1F" w:rsidP="00414509">
            <w:pPr>
              <w:spacing w:after="0"/>
              <w:rPr>
                <w:rFonts w:cs="Calibri"/>
                <w:sz w:val="20"/>
                <w:szCs w:val="20"/>
              </w:rPr>
            </w:pPr>
            <w:r>
              <w:rPr>
                <w:rFonts w:cs="Calibri"/>
                <w:sz w:val="20"/>
                <w:szCs w:val="20"/>
              </w:rPr>
              <w:t>28 (32.9%)</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55602" w14:textId="77777777" w:rsidR="00915A1F" w:rsidRDefault="00915A1F" w:rsidP="00414509">
            <w:pPr>
              <w:spacing w:after="0"/>
              <w:rPr>
                <w:rFonts w:cs="Calibri"/>
                <w:sz w:val="20"/>
                <w:szCs w:val="20"/>
              </w:rPr>
            </w:pPr>
          </w:p>
        </w:tc>
      </w:tr>
      <w:tr w:rsidR="00915A1F" w14:paraId="5E47690B"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917E" w14:textId="77777777" w:rsidR="00915A1F" w:rsidRDefault="00915A1F" w:rsidP="00414509">
            <w:pPr>
              <w:spacing w:after="0"/>
              <w:rPr>
                <w:rFonts w:cs="Calibri"/>
                <w:sz w:val="20"/>
                <w:szCs w:val="20"/>
              </w:rPr>
            </w:pPr>
            <w:r>
              <w:rPr>
                <w:rFonts w:cs="Calibri"/>
                <w:sz w:val="20"/>
                <w:szCs w:val="20"/>
              </w:rPr>
              <w:t>Pre stroke modified Rankin Score &lt;3</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7846" w14:textId="77777777" w:rsidR="00915A1F" w:rsidRDefault="00915A1F" w:rsidP="00414509">
            <w:pPr>
              <w:spacing w:after="0"/>
              <w:rPr>
                <w:rFonts w:cs="Calibri"/>
                <w:sz w:val="20"/>
                <w:szCs w:val="20"/>
              </w:rPr>
            </w:pPr>
            <w:r>
              <w:rPr>
                <w:rFonts w:cs="Calibri"/>
                <w:sz w:val="20"/>
                <w:szCs w:val="20"/>
              </w:rPr>
              <w:t>209 (90.5%)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3E5AE" w14:textId="77777777" w:rsidR="00915A1F" w:rsidRDefault="00915A1F" w:rsidP="00414509">
            <w:pPr>
              <w:spacing w:after="0"/>
              <w:rPr>
                <w:rFonts w:cs="Calibri"/>
                <w:sz w:val="20"/>
                <w:szCs w:val="20"/>
              </w:rPr>
            </w:pPr>
            <w:r>
              <w:rPr>
                <w:rFonts w:cs="Calibri"/>
                <w:sz w:val="20"/>
                <w:szCs w:val="20"/>
              </w:rPr>
              <w:t>81 (95.3%)</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0C4C" w14:textId="77777777" w:rsidR="00915A1F" w:rsidRDefault="00915A1F" w:rsidP="00414509">
            <w:pPr>
              <w:spacing w:after="0"/>
              <w:rPr>
                <w:rFonts w:cs="Calibri"/>
                <w:sz w:val="20"/>
                <w:szCs w:val="20"/>
              </w:rPr>
            </w:pPr>
            <w:r>
              <w:rPr>
                <w:rFonts w:cs="Calibri"/>
                <w:sz w:val="20"/>
                <w:szCs w:val="20"/>
              </w:rPr>
              <w:t>0.087</w:t>
            </w:r>
          </w:p>
        </w:tc>
      </w:tr>
      <w:tr w:rsidR="00915A1F" w14:paraId="6FBCBBE2"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B5FE" w14:textId="77777777" w:rsidR="00915A1F" w:rsidRDefault="00915A1F" w:rsidP="00414509">
            <w:pPr>
              <w:spacing w:after="0"/>
              <w:rPr>
                <w:rFonts w:cs="Calibri"/>
                <w:sz w:val="20"/>
                <w:szCs w:val="20"/>
              </w:rPr>
            </w:pPr>
            <w:r>
              <w:rPr>
                <w:rFonts w:cs="Calibri"/>
                <w:sz w:val="20"/>
                <w:szCs w:val="20"/>
              </w:rPr>
              <w:t>Pre stroke Barthel Index median (IQR)</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B9CD" w14:textId="77777777" w:rsidR="00915A1F" w:rsidRDefault="00915A1F" w:rsidP="00414509">
            <w:pPr>
              <w:spacing w:after="0"/>
              <w:rPr>
                <w:rFonts w:cs="Calibri"/>
                <w:sz w:val="20"/>
                <w:szCs w:val="20"/>
              </w:rPr>
            </w:pPr>
            <w:r>
              <w:rPr>
                <w:rFonts w:cs="Calibri"/>
                <w:sz w:val="20"/>
                <w:szCs w:val="20"/>
              </w:rPr>
              <w:t>100 (100-100)</w:t>
            </w:r>
          </w:p>
          <w:p w14:paraId="28ABAFF0" w14:textId="77777777" w:rsidR="00915A1F" w:rsidRDefault="00915A1F" w:rsidP="00414509">
            <w:pPr>
              <w:spacing w:after="0"/>
              <w:rPr>
                <w:rFonts w:cs="Calibri"/>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4215" w14:textId="77777777" w:rsidR="00915A1F" w:rsidRDefault="00915A1F" w:rsidP="00414509">
            <w:pPr>
              <w:spacing w:after="0"/>
              <w:rPr>
                <w:rFonts w:cs="Calibri"/>
                <w:sz w:val="20"/>
                <w:szCs w:val="20"/>
              </w:rPr>
            </w:pPr>
            <w:r>
              <w:rPr>
                <w:rFonts w:cs="Calibri"/>
                <w:sz w:val="20"/>
                <w:szCs w:val="20"/>
              </w:rPr>
              <w:t>100</w:t>
            </w:r>
          </w:p>
          <w:p w14:paraId="75B90CCC" w14:textId="77777777" w:rsidR="00915A1F" w:rsidRDefault="00915A1F" w:rsidP="00414509">
            <w:pPr>
              <w:spacing w:after="0"/>
              <w:rPr>
                <w:rFonts w:cs="Calibri"/>
                <w:sz w:val="20"/>
                <w:szCs w:val="20"/>
              </w:rPr>
            </w:pPr>
            <w:r>
              <w:rPr>
                <w:rFonts w:cs="Calibri"/>
                <w:sz w:val="20"/>
                <w:szCs w:val="20"/>
              </w:rPr>
              <w:t>(100-100)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CE0E6" w14:textId="77777777" w:rsidR="00915A1F" w:rsidRDefault="00915A1F" w:rsidP="00414509">
            <w:pPr>
              <w:spacing w:after="0"/>
              <w:rPr>
                <w:rFonts w:cs="Calibri"/>
                <w:sz w:val="20"/>
                <w:szCs w:val="20"/>
              </w:rPr>
            </w:pPr>
            <w:r>
              <w:rPr>
                <w:rFonts w:cs="Calibri"/>
                <w:sz w:val="20"/>
                <w:szCs w:val="20"/>
              </w:rPr>
              <w:t>&lt;0.001*</w:t>
            </w:r>
          </w:p>
        </w:tc>
      </w:tr>
      <w:tr w:rsidR="00915A1F" w14:paraId="377DA9D2"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AF42" w14:textId="77777777" w:rsidR="00915A1F" w:rsidRDefault="00915A1F" w:rsidP="00414509">
            <w:pPr>
              <w:spacing w:after="0"/>
              <w:rPr>
                <w:rFonts w:cs="Calibri"/>
                <w:sz w:val="20"/>
                <w:szCs w:val="20"/>
              </w:rPr>
            </w:pPr>
            <w:r>
              <w:rPr>
                <w:rFonts w:cs="Calibri"/>
                <w:sz w:val="20"/>
                <w:szCs w:val="20"/>
              </w:rPr>
              <w:t>Prior stroke</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04F05" w14:textId="77777777" w:rsidR="00915A1F" w:rsidRDefault="00915A1F" w:rsidP="00414509">
            <w:pPr>
              <w:spacing w:after="0"/>
              <w:rPr>
                <w:rFonts w:cs="Calibri"/>
                <w:sz w:val="20"/>
                <w:szCs w:val="20"/>
              </w:rPr>
            </w:pPr>
            <w:r>
              <w:rPr>
                <w:rFonts w:cs="Calibri"/>
                <w:sz w:val="20"/>
                <w:szCs w:val="20"/>
              </w:rPr>
              <w:t>41 (17.7%)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436B4" w14:textId="77777777" w:rsidR="00915A1F" w:rsidRDefault="00915A1F" w:rsidP="00414509">
            <w:pPr>
              <w:spacing w:after="0"/>
              <w:rPr>
                <w:rFonts w:cs="Calibri"/>
                <w:sz w:val="20"/>
                <w:szCs w:val="20"/>
              </w:rPr>
            </w:pPr>
            <w:r>
              <w:rPr>
                <w:rFonts w:cs="Calibri"/>
                <w:sz w:val="20"/>
                <w:szCs w:val="20"/>
              </w:rPr>
              <w:t>10 (11.8%)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3609A" w14:textId="77777777" w:rsidR="00915A1F" w:rsidRDefault="00915A1F" w:rsidP="00414509">
            <w:pPr>
              <w:spacing w:after="0"/>
              <w:rPr>
                <w:rFonts w:cs="Calibri"/>
                <w:sz w:val="20"/>
                <w:szCs w:val="20"/>
              </w:rPr>
            </w:pPr>
            <w:r>
              <w:rPr>
                <w:rFonts w:cs="Calibri"/>
                <w:sz w:val="20"/>
                <w:szCs w:val="20"/>
              </w:rPr>
              <w:t>0.388</w:t>
            </w:r>
          </w:p>
        </w:tc>
      </w:tr>
      <w:tr w:rsidR="00915A1F" w14:paraId="361CEAC2"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A7C4" w14:textId="77777777" w:rsidR="00915A1F" w:rsidRDefault="00915A1F" w:rsidP="00414509">
            <w:pPr>
              <w:spacing w:after="0"/>
              <w:rPr>
                <w:rFonts w:cs="Calibri"/>
                <w:sz w:val="20"/>
                <w:szCs w:val="20"/>
              </w:rPr>
            </w:pPr>
            <w:r>
              <w:rPr>
                <w:rFonts w:cs="Calibri"/>
                <w:sz w:val="20"/>
                <w:szCs w:val="20"/>
              </w:rPr>
              <w:t>Hypertension</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8F92B" w14:textId="77777777" w:rsidR="00915A1F" w:rsidRDefault="00915A1F" w:rsidP="00414509">
            <w:pPr>
              <w:spacing w:after="0"/>
              <w:rPr>
                <w:rFonts w:cs="Calibri"/>
                <w:sz w:val="20"/>
                <w:szCs w:val="20"/>
              </w:rPr>
            </w:pPr>
            <w:r>
              <w:rPr>
                <w:rFonts w:cs="Calibri"/>
                <w:sz w:val="20"/>
                <w:szCs w:val="20"/>
              </w:rPr>
              <w:t>188 (81.0%)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E747" w14:textId="77777777" w:rsidR="00915A1F" w:rsidRDefault="00915A1F" w:rsidP="00414509">
            <w:pPr>
              <w:spacing w:after="0"/>
              <w:rPr>
                <w:rFonts w:cs="Calibri"/>
                <w:sz w:val="20"/>
                <w:szCs w:val="20"/>
              </w:rPr>
            </w:pPr>
            <w:r>
              <w:rPr>
                <w:rFonts w:cs="Calibri"/>
                <w:sz w:val="20"/>
                <w:szCs w:val="20"/>
              </w:rPr>
              <w:t>73 (85.9%)</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43DA0" w14:textId="77777777" w:rsidR="00915A1F" w:rsidRDefault="00915A1F" w:rsidP="00414509">
            <w:pPr>
              <w:spacing w:after="0"/>
              <w:rPr>
                <w:rFonts w:cs="Calibri"/>
                <w:sz w:val="20"/>
                <w:szCs w:val="20"/>
              </w:rPr>
            </w:pPr>
            <w:r>
              <w:rPr>
                <w:rFonts w:cs="Calibri"/>
                <w:sz w:val="20"/>
                <w:szCs w:val="20"/>
              </w:rPr>
              <w:t>0.35</w:t>
            </w:r>
          </w:p>
        </w:tc>
      </w:tr>
      <w:tr w:rsidR="00915A1F" w14:paraId="2DC80769"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E0D5" w14:textId="77777777" w:rsidR="00915A1F" w:rsidRDefault="00915A1F" w:rsidP="00414509">
            <w:pPr>
              <w:spacing w:after="0"/>
              <w:rPr>
                <w:rFonts w:cs="Calibri"/>
                <w:sz w:val="20"/>
                <w:szCs w:val="20"/>
              </w:rPr>
            </w:pPr>
            <w:r>
              <w:rPr>
                <w:rFonts w:cs="Calibri"/>
                <w:sz w:val="20"/>
                <w:szCs w:val="20"/>
              </w:rPr>
              <w:t>Diabetes</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C0261" w14:textId="77777777" w:rsidR="00915A1F" w:rsidRDefault="00915A1F" w:rsidP="00414509">
            <w:pPr>
              <w:spacing w:after="0"/>
              <w:rPr>
                <w:rFonts w:cs="Calibri"/>
                <w:sz w:val="20"/>
                <w:szCs w:val="20"/>
              </w:rPr>
            </w:pPr>
            <w:r>
              <w:rPr>
                <w:rFonts w:cs="Calibri"/>
                <w:sz w:val="20"/>
                <w:szCs w:val="20"/>
              </w:rPr>
              <w:t>47 (20.3%)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40326" w14:textId="77777777" w:rsidR="00915A1F" w:rsidRDefault="00915A1F" w:rsidP="00414509">
            <w:pPr>
              <w:spacing w:after="0"/>
              <w:rPr>
                <w:rFonts w:cs="Calibri"/>
                <w:sz w:val="20"/>
                <w:szCs w:val="20"/>
              </w:rPr>
            </w:pPr>
            <w:r>
              <w:rPr>
                <w:rFonts w:cs="Calibri"/>
                <w:sz w:val="20"/>
                <w:szCs w:val="20"/>
              </w:rPr>
              <w:t>6 (7.1%)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9C6AF" w14:textId="77777777" w:rsidR="00915A1F" w:rsidRDefault="00915A1F" w:rsidP="00414509">
            <w:pPr>
              <w:spacing w:after="0"/>
              <w:rPr>
                <w:rFonts w:cs="Calibri"/>
                <w:sz w:val="20"/>
                <w:szCs w:val="20"/>
              </w:rPr>
            </w:pPr>
            <w:r>
              <w:rPr>
                <w:rFonts w:cs="Calibri"/>
                <w:sz w:val="20"/>
                <w:szCs w:val="20"/>
              </w:rPr>
              <w:t>0.006</w:t>
            </w:r>
          </w:p>
        </w:tc>
      </w:tr>
      <w:tr w:rsidR="00915A1F" w14:paraId="03BDAFCF"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06E8" w14:textId="77777777" w:rsidR="00915A1F" w:rsidRDefault="00915A1F" w:rsidP="00414509">
            <w:pPr>
              <w:spacing w:after="0"/>
              <w:rPr>
                <w:rFonts w:cs="Calibri"/>
                <w:sz w:val="20"/>
                <w:szCs w:val="20"/>
              </w:rPr>
            </w:pPr>
            <w:r>
              <w:rPr>
                <w:rFonts w:cs="Calibri"/>
                <w:sz w:val="20"/>
                <w:szCs w:val="20"/>
              </w:rPr>
              <w:t>Dyslipidaemia</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E23A" w14:textId="77777777" w:rsidR="00915A1F" w:rsidRDefault="00915A1F" w:rsidP="00414509">
            <w:pPr>
              <w:spacing w:after="0"/>
              <w:rPr>
                <w:rFonts w:cs="Calibri"/>
                <w:sz w:val="20"/>
                <w:szCs w:val="20"/>
              </w:rPr>
            </w:pPr>
            <w:r>
              <w:rPr>
                <w:rFonts w:cs="Calibri"/>
                <w:sz w:val="20"/>
                <w:szCs w:val="20"/>
              </w:rPr>
              <w:t>79 (34.2%)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8CEF" w14:textId="77777777" w:rsidR="00915A1F" w:rsidRDefault="00915A1F" w:rsidP="00414509">
            <w:pPr>
              <w:spacing w:after="0"/>
              <w:rPr>
                <w:rFonts w:cs="Calibri"/>
                <w:sz w:val="20"/>
                <w:szCs w:val="20"/>
              </w:rPr>
            </w:pPr>
            <w:r>
              <w:rPr>
                <w:rFonts w:cs="Calibri"/>
                <w:sz w:val="20"/>
                <w:szCs w:val="20"/>
              </w:rPr>
              <w:t>36 (42.4%)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479B3" w14:textId="77777777" w:rsidR="00915A1F" w:rsidRDefault="00915A1F" w:rsidP="00414509">
            <w:pPr>
              <w:spacing w:after="0"/>
              <w:rPr>
                <w:rFonts w:cs="Calibri"/>
                <w:sz w:val="20"/>
                <w:szCs w:val="20"/>
              </w:rPr>
            </w:pPr>
            <w:r>
              <w:rPr>
                <w:rFonts w:cs="Calibri"/>
                <w:sz w:val="20"/>
                <w:szCs w:val="20"/>
              </w:rPr>
              <w:t>0.259</w:t>
            </w:r>
          </w:p>
        </w:tc>
      </w:tr>
      <w:tr w:rsidR="00915A1F" w14:paraId="13FA81FE"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3B45" w14:textId="77777777" w:rsidR="00915A1F" w:rsidRDefault="00915A1F" w:rsidP="00414509">
            <w:pPr>
              <w:spacing w:after="0"/>
              <w:rPr>
                <w:rFonts w:cs="Calibri"/>
                <w:sz w:val="20"/>
                <w:szCs w:val="20"/>
              </w:rPr>
            </w:pPr>
            <w:r>
              <w:rPr>
                <w:rFonts w:cs="Calibri"/>
                <w:sz w:val="20"/>
                <w:szCs w:val="20"/>
              </w:rPr>
              <w:t>Atrial Fib</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479D9" w14:textId="77777777" w:rsidR="00915A1F" w:rsidRDefault="00915A1F" w:rsidP="00414509">
            <w:pPr>
              <w:spacing w:after="0"/>
              <w:rPr>
                <w:rFonts w:cs="Calibri"/>
                <w:sz w:val="20"/>
                <w:szCs w:val="20"/>
              </w:rPr>
            </w:pPr>
            <w:r>
              <w:rPr>
                <w:rFonts w:cs="Calibri"/>
                <w:sz w:val="20"/>
                <w:szCs w:val="20"/>
              </w:rPr>
              <w:t>11 (4.8%)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1AA7" w14:textId="77777777" w:rsidR="00915A1F" w:rsidRDefault="00915A1F" w:rsidP="00414509">
            <w:pPr>
              <w:spacing w:after="0"/>
              <w:rPr>
                <w:rFonts w:cs="Calibri"/>
                <w:sz w:val="20"/>
                <w:szCs w:val="20"/>
              </w:rPr>
            </w:pPr>
            <w:r>
              <w:rPr>
                <w:rFonts w:cs="Calibri"/>
                <w:sz w:val="20"/>
                <w:szCs w:val="20"/>
              </w:rPr>
              <w:t>2 (2.4%)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24193" w14:textId="77777777" w:rsidR="00915A1F" w:rsidRDefault="00915A1F" w:rsidP="00414509">
            <w:pPr>
              <w:spacing w:after="0"/>
              <w:rPr>
                <w:rFonts w:cs="Calibri"/>
                <w:sz w:val="20"/>
                <w:szCs w:val="20"/>
              </w:rPr>
            </w:pPr>
            <w:r>
              <w:rPr>
                <w:rFonts w:cs="Calibri"/>
                <w:sz w:val="20"/>
                <w:szCs w:val="20"/>
              </w:rPr>
              <w:t>0.339</w:t>
            </w:r>
          </w:p>
        </w:tc>
      </w:tr>
      <w:tr w:rsidR="00915A1F" w14:paraId="01156DBB"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9BBC" w14:textId="77777777" w:rsidR="00915A1F" w:rsidRDefault="00915A1F" w:rsidP="00414509">
            <w:pPr>
              <w:spacing w:after="0"/>
              <w:rPr>
                <w:rFonts w:cs="Calibri"/>
                <w:sz w:val="20"/>
                <w:szCs w:val="20"/>
              </w:rPr>
            </w:pPr>
            <w:r>
              <w:rPr>
                <w:rFonts w:cs="Calibri"/>
                <w:sz w:val="20"/>
                <w:szCs w:val="20"/>
              </w:rPr>
              <w:t>HIV</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2016" w14:textId="77777777" w:rsidR="00915A1F" w:rsidRDefault="00915A1F" w:rsidP="00414509">
            <w:pPr>
              <w:spacing w:after="0"/>
              <w:rPr>
                <w:rFonts w:cs="Calibri"/>
                <w:sz w:val="20"/>
                <w:szCs w:val="20"/>
              </w:rPr>
            </w:pPr>
            <w:r>
              <w:rPr>
                <w:rFonts w:cs="Calibri"/>
                <w:sz w:val="20"/>
                <w:szCs w:val="20"/>
              </w:rPr>
              <w:t>7 (3.0%)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CCF4" w14:textId="77777777" w:rsidR="00915A1F" w:rsidRDefault="00915A1F" w:rsidP="00414509">
            <w:pPr>
              <w:spacing w:after="0"/>
              <w:rPr>
                <w:rFonts w:cs="Calibri"/>
                <w:sz w:val="20"/>
                <w:szCs w:val="20"/>
              </w:rPr>
            </w:pPr>
            <w:r>
              <w:rPr>
                <w:rFonts w:cs="Calibri"/>
                <w:sz w:val="20"/>
                <w:szCs w:val="20"/>
              </w:rPr>
              <w:t>5 (5.9%)</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A61C4" w14:textId="77777777" w:rsidR="00915A1F" w:rsidRDefault="00915A1F" w:rsidP="00414509">
            <w:pPr>
              <w:spacing w:after="0"/>
              <w:rPr>
                <w:rFonts w:cs="Calibri"/>
                <w:sz w:val="20"/>
                <w:szCs w:val="20"/>
              </w:rPr>
            </w:pPr>
            <w:r>
              <w:rPr>
                <w:rFonts w:cs="Calibri"/>
                <w:sz w:val="20"/>
                <w:szCs w:val="20"/>
              </w:rPr>
              <w:t>0.674</w:t>
            </w:r>
          </w:p>
        </w:tc>
      </w:tr>
      <w:tr w:rsidR="00915A1F" w14:paraId="6BD0DE9C" w14:textId="77777777" w:rsidTr="00414509">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F4406" w14:textId="77777777" w:rsidR="00915A1F" w:rsidRDefault="00915A1F" w:rsidP="00414509">
            <w:pPr>
              <w:spacing w:after="0"/>
              <w:rPr>
                <w:rFonts w:cs="Calibri"/>
                <w:sz w:val="20"/>
                <w:szCs w:val="20"/>
              </w:rPr>
            </w:pPr>
            <w:r>
              <w:rPr>
                <w:rFonts w:cs="Calibri"/>
                <w:sz w:val="20"/>
                <w:szCs w:val="20"/>
              </w:rPr>
              <w:t>Waist Hip ratio</w:t>
            </w:r>
          </w:p>
          <w:p w14:paraId="008170A7" w14:textId="77777777" w:rsidR="00915A1F" w:rsidRDefault="00915A1F" w:rsidP="00414509">
            <w:pPr>
              <w:spacing w:after="0"/>
              <w:jc w:val="center"/>
              <w:rPr>
                <w:rFonts w:cs="Calibri"/>
                <w:sz w:val="20"/>
                <w:szCs w:val="20"/>
              </w:rPr>
            </w:pPr>
            <w:r>
              <w:rPr>
                <w:rFonts w:cs="Calibri"/>
                <w:sz w:val="20"/>
                <w:szCs w:val="20"/>
              </w:rPr>
              <w:t>Normal</w:t>
            </w:r>
          </w:p>
          <w:p w14:paraId="00CB66D0" w14:textId="77777777" w:rsidR="00915A1F" w:rsidRDefault="00915A1F" w:rsidP="00414509">
            <w:pPr>
              <w:spacing w:after="0"/>
              <w:jc w:val="center"/>
              <w:rPr>
                <w:rFonts w:cs="Calibri"/>
                <w:sz w:val="20"/>
                <w:szCs w:val="20"/>
              </w:rPr>
            </w:pPr>
            <w:r>
              <w:rPr>
                <w:rFonts w:cs="Calibri"/>
                <w:sz w:val="20"/>
                <w:szCs w:val="20"/>
              </w:rPr>
              <w:t>Moderate increase</w:t>
            </w:r>
          </w:p>
          <w:p w14:paraId="1633F4DF" w14:textId="77777777" w:rsidR="00915A1F" w:rsidRDefault="00915A1F" w:rsidP="00414509">
            <w:pPr>
              <w:spacing w:after="0"/>
              <w:jc w:val="center"/>
              <w:rPr>
                <w:rFonts w:cs="Calibri"/>
                <w:sz w:val="20"/>
                <w:szCs w:val="20"/>
              </w:rPr>
            </w:pPr>
            <w:r>
              <w:rPr>
                <w:rFonts w:cs="Calibri"/>
                <w:sz w:val="20"/>
                <w:szCs w:val="20"/>
              </w:rPr>
              <w:t>High increase</w:t>
            </w:r>
          </w:p>
        </w:tc>
        <w:tc>
          <w:tcPr>
            <w:tcW w:w="1214" w:type="dxa"/>
            <w:tcBorders>
              <w:top w:val="single" w:sz="4" w:space="0" w:color="000000"/>
              <w:left w:val="doub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6245D84A" w14:textId="77777777" w:rsidR="00915A1F" w:rsidRDefault="00915A1F" w:rsidP="00414509">
            <w:pPr>
              <w:spacing w:after="0"/>
              <w:rPr>
                <w:rFonts w:cs="Calibri"/>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2C876A72" w14:textId="77777777" w:rsidR="00915A1F" w:rsidRDefault="00915A1F" w:rsidP="00414509">
            <w:pPr>
              <w:spacing w:after="0"/>
              <w:rPr>
                <w:rFonts w:cs="Calibri"/>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0B6FE7" w14:textId="77777777" w:rsidR="00915A1F" w:rsidRDefault="00915A1F" w:rsidP="00414509">
            <w:pPr>
              <w:spacing w:after="0"/>
              <w:rPr>
                <w:rFonts w:cs="Calibri"/>
                <w:sz w:val="20"/>
                <w:szCs w:val="20"/>
              </w:rPr>
            </w:pPr>
            <w:r>
              <w:rPr>
                <w:rFonts w:cs="Calibri"/>
                <w:sz w:val="20"/>
                <w:szCs w:val="20"/>
              </w:rPr>
              <w:t>0.57</w:t>
            </w:r>
          </w:p>
        </w:tc>
      </w:tr>
      <w:tr w:rsidR="00915A1F" w14:paraId="0991B505"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03E1"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964B" w14:textId="77777777" w:rsidR="00915A1F" w:rsidRDefault="00915A1F" w:rsidP="00414509">
            <w:pPr>
              <w:spacing w:after="0"/>
              <w:rPr>
                <w:rFonts w:cs="Calibri"/>
                <w:sz w:val="20"/>
                <w:szCs w:val="20"/>
              </w:rPr>
            </w:pPr>
            <w:r>
              <w:rPr>
                <w:rFonts w:cs="Calibri"/>
                <w:sz w:val="20"/>
                <w:szCs w:val="20"/>
              </w:rPr>
              <w:t>75 (32.5%)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A6FF" w14:textId="77777777" w:rsidR="00915A1F" w:rsidRDefault="00915A1F" w:rsidP="00414509">
            <w:pPr>
              <w:spacing w:after="0"/>
              <w:rPr>
                <w:rFonts w:cs="Calibri"/>
                <w:sz w:val="20"/>
                <w:szCs w:val="20"/>
              </w:rPr>
            </w:pPr>
            <w:r>
              <w:rPr>
                <w:rFonts w:cs="Calibri"/>
                <w:sz w:val="20"/>
                <w:szCs w:val="20"/>
              </w:rPr>
              <w:t>24 (28.2%)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3FC1" w14:textId="77777777" w:rsidR="00915A1F" w:rsidRDefault="00915A1F" w:rsidP="00414509">
            <w:pPr>
              <w:spacing w:after="0"/>
              <w:rPr>
                <w:rFonts w:cs="Calibri"/>
                <w:sz w:val="20"/>
                <w:szCs w:val="20"/>
              </w:rPr>
            </w:pPr>
          </w:p>
        </w:tc>
      </w:tr>
      <w:tr w:rsidR="00915A1F" w14:paraId="0370A2D6"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A357E"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2F0DA" w14:textId="77777777" w:rsidR="00915A1F" w:rsidRDefault="00915A1F" w:rsidP="00414509">
            <w:pPr>
              <w:spacing w:after="0"/>
              <w:rPr>
                <w:rFonts w:cs="Calibri"/>
                <w:sz w:val="20"/>
                <w:szCs w:val="20"/>
              </w:rPr>
            </w:pPr>
            <w:r>
              <w:rPr>
                <w:rFonts w:cs="Calibri"/>
                <w:sz w:val="20"/>
                <w:szCs w:val="20"/>
              </w:rPr>
              <w:t>59 (25.5%)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E9904" w14:textId="77777777" w:rsidR="00915A1F" w:rsidRDefault="00915A1F" w:rsidP="00414509">
            <w:pPr>
              <w:spacing w:after="0"/>
              <w:rPr>
                <w:rFonts w:cs="Calibri"/>
                <w:sz w:val="20"/>
                <w:szCs w:val="20"/>
              </w:rPr>
            </w:pPr>
            <w:r>
              <w:rPr>
                <w:rFonts w:cs="Calibri"/>
                <w:sz w:val="20"/>
                <w:szCs w:val="20"/>
              </w:rPr>
              <w:t>25 (29.4%)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0DC50" w14:textId="77777777" w:rsidR="00915A1F" w:rsidRDefault="00915A1F" w:rsidP="00414509">
            <w:pPr>
              <w:spacing w:after="0"/>
              <w:rPr>
                <w:rFonts w:cs="Calibri"/>
                <w:sz w:val="20"/>
                <w:szCs w:val="20"/>
              </w:rPr>
            </w:pPr>
          </w:p>
        </w:tc>
      </w:tr>
      <w:tr w:rsidR="00915A1F" w14:paraId="70EC2CFA"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A0F2"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160A" w14:textId="77777777" w:rsidR="00915A1F" w:rsidRDefault="00915A1F" w:rsidP="00414509">
            <w:pPr>
              <w:spacing w:after="0"/>
              <w:rPr>
                <w:rFonts w:cs="Calibri"/>
                <w:sz w:val="20"/>
                <w:szCs w:val="20"/>
              </w:rPr>
            </w:pPr>
            <w:r>
              <w:rPr>
                <w:rFonts w:cs="Calibri"/>
                <w:sz w:val="20"/>
                <w:szCs w:val="20"/>
              </w:rPr>
              <w:t>63 (27.3%)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6B53" w14:textId="77777777" w:rsidR="00915A1F" w:rsidRDefault="00915A1F" w:rsidP="00414509">
            <w:pPr>
              <w:spacing w:after="0"/>
              <w:rPr>
                <w:rFonts w:cs="Calibri"/>
                <w:sz w:val="20"/>
                <w:szCs w:val="20"/>
              </w:rPr>
            </w:pPr>
            <w:r>
              <w:rPr>
                <w:rFonts w:cs="Calibri"/>
                <w:sz w:val="20"/>
                <w:szCs w:val="20"/>
              </w:rPr>
              <w:t>19 (22.4%)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64C5C" w14:textId="77777777" w:rsidR="00915A1F" w:rsidRDefault="00915A1F" w:rsidP="00414509">
            <w:pPr>
              <w:spacing w:after="0"/>
              <w:rPr>
                <w:rFonts w:cs="Calibri"/>
                <w:sz w:val="20"/>
                <w:szCs w:val="20"/>
              </w:rPr>
            </w:pPr>
          </w:p>
        </w:tc>
      </w:tr>
      <w:tr w:rsidR="00915A1F" w14:paraId="6E329543"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5E92" w14:textId="77777777" w:rsidR="00915A1F" w:rsidRDefault="00915A1F" w:rsidP="00414509">
            <w:pPr>
              <w:spacing w:after="0"/>
              <w:rPr>
                <w:rFonts w:cs="Calibri"/>
                <w:sz w:val="20"/>
                <w:szCs w:val="20"/>
              </w:rPr>
            </w:pPr>
            <w:r>
              <w:rPr>
                <w:rFonts w:cs="Calibri"/>
                <w:sz w:val="20"/>
                <w:szCs w:val="20"/>
              </w:rPr>
              <w:t>Education level high</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6C24E" w14:textId="77777777" w:rsidR="00915A1F" w:rsidRDefault="00915A1F" w:rsidP="00414509">
            <w:pPr>
              <w:spacing w:after="0"/>
              <w:rPr>
                <w:rFonts w:cs="Calibri"/>
                <w:sz w:val="20"/>
                <w:szCs w:val="20"/>
              </w:rPr>
            </w:pPr>
            <w:r>
              <w:rPr>
                <w:rFonts w:cs="Calibri"/>
                <w:sz w:val="20"/>
                <w:szCs w:val="20"/>
              </w:rPr>
              <w:t>94 (40.7%)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1E2D" w14:textId="77777777" w:rsidR="00915A1F" w:rsidRDefault="00915A1F" w:rsidP="00414509">
            <w:pPr>
              <w:spacing w:after="0"/>
              <w:rPr>
                <w:rFonts w:cs="Calibri"/>
                <w:sz w:val="20"/>
                <w:szCs w:val="20"/>
              </w:rPr>
            </w:pPr>
            <w:r>
              <w:rPr>
                <w:rFonts w:cs="Calibri"/>
                <w:sz w:val="20"/>
                <w:szCs w:val="20"/>
              </w:rPr>
              <w:t>24 (28.2%)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7725" w14:textId="77777777" w:rsidR="00915A1F" w:rsidRDefault="00915A1F" w:rsidP="00414509">
            <w:pPr>
              <w:spacing w:after="0"/>
              <w:rPr>
                <w:rFonts w:cs="Calibri"/>
                <w:sz w:val="20"/>
                <w:szCs w:val="20"/>
              </w:rPr>
            </w:pPr>
          </w:p>
        </w:tc>
      </w:tr>
      <w:tr w:rsidR="00915A1F" w14:paraId="39731C9E"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2ED7" w14:textId="77777777" w:rsidR="00915A1F" w:rsidRDefault="00915A1F" w:rsidP="00414509">
            <w:pPr>
              <w:spacing w:after="0"/>
              <w:rPr>
                <w:rFonts w:cs="Calibri"/>
                <w:sz w:val="20"/>
                <w:szCs w:val="20"/>
              </w:rPr>
            </w:pPr>
            <w:r>
              <w:rPr>
                <w:rFonts w:cs="Calibri"/>
                <w:sz w:val="20"/>
                <w:szCs w:val="20"/>
              </w:rPr>
              <w:t xml:space="preserve">Alcohol use </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BF8D" w14:textId="77777777" w:rsidR="00915A1F" w:rsidRDefault="00915A1F" w:rsidP="00414509">
            <w:pPr>
              <w:spacing w:after="0"/>
              <w:rPr>
                <w:rFonts w:cs="Calibri"/>
                <w:sz w:val="20"/>
                <w:szCs w:val="20"/>
              </w:rPr>
            </w:pPr>
            <w:r>
              <w:rPr>
                <w:rFonts w:cs="Calibri"/>
                <w:sz w:val="20"/>
                <w:szCs w:val="20"/>
              </w:rPr>
              <w:t>68 (29.4%)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6F13" w14:textId="77777777" w:rsidR="00915A1F" w:rsidRDefault="00915A1F" w:rsidP="00414509">
            <w:pPr>
              <w:spacing w:after="0"/>
              <w:rPr>
                <w:rFonts w:cs="Calibri"/>
                <w:sz w:val="20"/>
                <w:szCs w:val="20"/>
              </w:rPr>
            </w:pPr>
            <w:r>
              <w:rPr>
                <w:rFonts w:cs="Calibri"/>
                <w:sz w:val="20"/>
                <w:szCs w:val="20"/>
              </w:rPr>
              <w:t>17 (20.0%)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E022" w14:textId="77777777" w:rsidR="00915A1F" w:rsidRDefault="00915A1F" w:rsidP="00414509">
            <w:pPr>
              <w:spacing w:after="0"/>
              <w:rPr>
                <w:rFonts w:cs="Calibri"/>
                <w:sz w:val="20"/>
                <w:szCs w:val="20"/>
              </w:rPr>
            </w:pPr>
            <w:r>
              <w:rPr>
                <w:rFonts w:cs="Calibri"/>
                <w:sz w:val="20"/>
                <w:szCs w:val="20"/>
              </w:rPr>
              <w:t>0.114</w:t>
            </w:r>
          </w:p>
        </w:tc>
      </w:tr>
      <w:tr w:rsidR="00915A1F" w14:paraId="4AB05883"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AFF2" w14:textId="77777777" w:rsidR="00915A1F" w:rsidRDefault="00915A1F" w:rsidP="00414509">
            <w:pPr>
              <w:spacing w:after="0"/>
              <w:rPr>
                <w:rFonts w:cs="Calibri"/>
                <w:sz w:val="20"/>
                <w:szCs w:val="20"/>
              </w:rPr>
            </w:pPr>
            <w:r>
              <w:rPr>
                <w:rFonts w:cs="Calibri"/>
                <w:sz w:val="20"/>
                <w:szCs w:val="20"/>
              </w:rPr>
              <w:t>Current smoker</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9986" w14:textId="77777777" w:rsidR="00915A1F" w:rsidRDefault="00915A1F" w:rsidP="00414509">
            <w:pPr>
              <w:spacing w:after="0"/>
              <w:rPr>
                <w:rFonts w:cs="Calibri"/>
                <w:sz w:val="20"/>
                <w:szCs w:val="20"/>
              </w:rPr>
            </w:pPr>
            <w:r>
              <w:rPr>
                <w:rFonts w:cs="Calibri"/>
                <w:sz w:val="20"/>
                <w:szCs w:val="20"/>
              </w:rPr>
              <w:t>38 (16.5%)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95E0" w14:textId="77777777" w:rsidR="00915A1F" w:rsidRDefault="00915A1F" w:rsidP="00414509">
            <w:pPr>
              <w:spacing w:after="0"/>
              <w:rPr>
                <w:rFonts w:cs="Calibri"/>
                <w:sz w:val="20"/>
                <w:szCs w:val="20"/>
              </w:rPr>
            </w:pPr>
            <w:r>
              <w:rPr>
                <w:rFonts w:cs="Calibri"/>
                <w:sz w:val="20"/>
                <w:szCs w:val="20"/>
              </w:rPr>
              <w:t>9 (10.6%)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974E" w14:textId="77777777" w:rsidR="00915A1F" w:rsidRDefault="00915A1F" w:rsidP="00414509">
            <w:pPr>
              <w:spacing w:after="0"/>
              <w:rPr>
                <w:rFonts w:cs="Calibri"/>
                <w:sz w:val="20"/>
                <w:szCs w:val="20"/>
              </w:rPr>
            </w:pPr>
            <w:r>
              <w:rPr>
                <w:rFonts w:cs="Calibri"/>
                <w:sz w:val="20"/>
                <w:szCs w:val="20"/>
              </w:rPr>
              <w:t>0.205</w:t>
            </w:r>
          </w:p>
        </w:tc>
      </w:tr>
      <w:tr w:rsidR="00915A1F" w14:paraId="730A80A0"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076E0" w14:textId="77777777" w:rsidR="00915A1F" w:rsidRDefault="00915A1F" w:rsidP="00414509">
            <w:pPr>
              <w:spacing w:after="0"/>
              <w:rPr>
                <w:rFonts w:cs="Calibri"/>
                <w:sz w:val="20"/>
                <w:szCs w:val="20"/>
              </w:rPr>
            </w:pPr>
            <w:r>
              <w:rPr>
                <w:rFonts w:cs="Calibri"/>
                <w:sz w:val="20"/>
                <w:szCs w:val="20"/>
              </w:rPr>
              <w:t xml:space="preserve">Time from stroke onset to arrival in </w:t>
            </w:r>
            <w:proofErr w:type="gramStart"/>
            <w:r>
              <w:rPr>
                <w:rFonts w:cs="Calibri"/>
                <w:sz w:val="20"/>
                <w:szCs w:val="20"/>
              </w:rPr>
              <w:t>hours,  median</w:t>
            </w:r>
            <w:proofErr w:type="gramEnd"/>
            <w:r>
              <w:rPr>
                <w:rFonts w:cs="Calibri"/>
                <w:sz w:val="20"/>
                <w:szCs w:val="20"/>
              </w:rPr>
              <w:t xml:space="preserve"> (IQR)</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4EAF" w14:textId="77777777" w:rsidR="00915A1F" w:rsidRDefault="00915A1F" w:rsidP="00414509">
            <w:pPr>
              <w:spacing w:after="0"/>
              <w:rPr>
                <w:rFonts w:cs="Calibri"/>
                <w:sz w:val="20"/>
                <w:szCs w:val="20"/>
              </w:rPr>
            </w:pPr>
            <w:r>
              <w:rPr>
                <w:rFonts w:cs="Calibri"/>
                <w:sz w:val="20"/>
                <w:szCs w:val="20"/>
              </w:rPr>
              <w:t>31 (IQR 11-84)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06B36" w14:textId="77777777" w:rsidR="00915A1F" w:rsidRDefault="00915A1F" w:rsidP="00414509">
            <w:pPr>
              <w:spacing w:after="0"/>
              <w:rPr>
                <w:rFonts w:cs="Calibri"/>
                <w:sz w:val="20"/>
                <w:szCs w:val="20"/>
              </w:rPr>
            </w:pPr>
            <w:r>
              <w:rPr>
                <w:rFonts w:cs="Calibri"/>
                <w:sz w:val="20"/>
                <w:szCs w:val="20"/>
              </w:rPr>
              <w:t>15 (IQR 3-37)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D614" w14:textId="77777777" w:rsidR="00915A1F" w:rsidRDefault="00915A1F" w:rsidP="00414509">
            <w:pPr>
              <w:spacing w:after="0"/>
              <w:rPr>
                <w:rFonts w:cs="Calibri"/>
                <w:sz w:val="20"/>
                <w:szCs w:val="20"/>
              </w:rPr>
            </w:pPr>
            <w:r>
              <w:rPr>
                <w:rFonts w:cs="Calibri"/>
                <w:sz w:val="20"/>
                <w:szCs w:val="20"/>
              </w:rPr>
              <w:t>&lt;0.001*</w:t>
            </w:r>
          </w:p>
        </w:tc>
      </w:tr>
      <w:tr w:rsidR="00915A1F" w14:paraId="0FFE9FE0"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5F46" w14:textId="77777777" w:rsidR="00915A1F" w:rsidRDefault="00915A1F" w:rsidP="00414509">
            <w:pPr>
              <w:spacing w:after="0"/>
              <w:rPr>
                <w:rFonts w:cs="Calibri"/>
                <w:sz w:val="20"/>
                <w:szCs w:val="20"/>
              </w:rPr>
            </w:pPr>
            <w:r>
              <w:rPr>
                <w:rFonts w:cs="Calibri"/>
                <w:sz w:val="20"/>
                <w:szCs w:val="20"/>
              </w:rPr>
              <w:t>Admission NIHSS, median (IQR)</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0907" w14:textId="77777777" w:rsidR="00915A1F" w:rsidRDefault="00915A1F" w:rsidP="00414509">
            <w:pPr>
              <w:spacing w:after="0"/>
              <w:rPr>
                <w:rFonts w:cs="Calibri"/>
                <w:sz w:val="20"/>
                <w:szCs w:val="20"/>
              </w:rPr>
            </w:pPr>
            <w:r>
              <w:rPr>
                <w:rFonts w:cs="Calibri"/>
                <w:sz w:val="20"/>
                <w:szCs w:val="20"/>
              </w:rPr>
              <w:t>13</w:t>
            </w:r>
          </w:p>
          <w:p w14:paraId="4D480A1D" w14:textId="77777777" w:rsidR="00915A1F" w:rsidRDefault="00915A1F" w:rsidP="00414509">
            <w:pPr>
              <w:spacing w:after="0"/>
              <w:rPr>
                <w:rFonts w:cs="Calibri"/>
                <w:sz w:val="20"/>
                <w:szCs w:val="20"/>
              </w:rPr>
            </w:pPr>
            <w:r>
              <w:rPr>
                <w:rFonts w:cs="Calibri"/>
                <w:sz w:val="20"/>
                <w:szCs w:val="20"/>
              </w:rPr>
              <w:t>(IQR 7-22)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D9B1" w14:textId="77777777" w:rsidR="00915A1F" w:rsidRDefault="00915A1F" w:rsidP="00414509">
            <w:pPr>
              <w:spacing w:after="0"/>
              <w:rPr>
                <w:rFonts w:cs="Calibri"/>
                <w:sz w:val="20"/>
                <w:szCs w:val="20"/>
              </w:rPr>
            </w:pPr>
            <w:r>
              <w:rPr>
                <w:rFonts w:cs="Calibri"/>
                <w:sz w:val="20"/>
                <w:szCs w:val="20"/>
              </w:rPr>
              <w:t>20</w:t>
            </w:r>
          </w:p>
          <w:p w14:paraId="51844F5D" w14:textId="77777777" w:rsidR="00915A1F" w:rsidRDefault="00915A1F" w:rsidP="00414509">
            <w:pPr>
              <w:spacing w:after="0"/>
              <w:rPr>
                <w:rFonts w:cs="Calibri"/>
                <w:sz w:val="20"/>
                <w:szCs w:val="20"/>
              </w:rPr>
            </w:pPr>
            <w:r>
              <w:rPr>
                <w:rFonts w:cs="Calibri"/>
                <w:sz w:val="20"/>
                <w:szCs w:val="20"/>
              </w:rPr>
              <w:t>(IQR 12-26)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58A7C" w14:textId="77777777" w:rsidR="00915A1F" w:rsidRDefault="00915A1F" w:rsidP="00414509">
            <w:pPr>
              <w:spacing w:after="0"/>
              <w:rPr>
                <w:rFonts w:cs="Calibri"/>
                <w:sz w:val="20"/>
                <w:szCs w:val="20"/>
              </w:rPr>
            </w:pPr>
            <w:r>
              <w:rPr>
                <w:rFonts w:cs="Calibri"/>
                <w:sz w:val="20"/>
                <w:szCs w:val="20"/>
              </w:rPr>
              <w:t>&lt;0.001</w:t>
            </w:r>
          </w:p>
        </w:tc>
      </w:tr>
      <w:tr w:rsidR="00915A1F" w14:paraId="4B9D1072"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80C46" w14:textId="77777777" w:rsidR="00915A1F" w:rsidRDefault="00915A1F" w:rsidP="00414509">
            <w:pPr>
              <w:spacing w:after="0"/>
              <w:rPr>
                <w:rFonts w:cs="Calibri"/>
                <w:sz w:val="20"/>
                <w:szCs w:val="20"/>
              </w:rPr>
            </w:pPr>
            <w:r>
              <w:rPr>
                <w:rFonts w:cs="Calibri"/>
                <w:sz w:val="20"/>
                <w:szCs w:val="20"/>
              </w:rPr>
              <w:t>In Hospital Death</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A03E" w14:textId="77777777" w:rsidR="00915A1F" w:rsidRDefault="00915A1F" w:rsidP="00414509">
            <w:pPr>
              <w:spacing w:after="0"/>
              <w:rPr>
                <w:rFonts w:cs="Calibri"/>
                <w:sz w:val="20"/>
                <w:szCs w:val="20"/>
              </w:rPr>
            </w:pPr>
            <w:r>
              <w:rPr>
                <w:rFonts w:cs="Calibri"/>
                <w:sz w:val="20"/>
                <w:szCs w:val="20"/>
              </w:rPr>
              <w:t>59 (25.5%)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F1097" w14:textId="77777777" w:rsidR="00915A1F" w:rsidRDefault="00915A1F" w:rsidP="00414509">
            <w:pPr>
              <w:spacing w:after="0"/>
              <w:rPr>
                <w:rFonts w:cs="Calibri"/>
                <w:sz w:val="20"/>
                <w:szCs w:val="20"/>
              </w:rPr>
            </w:pPr>
            <w:r>
              <w:rPr>
                <w:rFonts w:cs="Calibri"/>
                <w:sz w:val="20"/>
                <w:szCs w:val="20"/>
              </w:rPr>
              <w:t>37 (43.5%)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2ED3" w14:textId="77777777" w:rsidR="00915A1F" w:rsidRDefault="00915A1F" w:rsidP="00414509">
            <w:pPr>
              <w:spacing w:after="0"/>
              <w:rPr>
                <w:rFonts w:cs="Calibri"/>
                <w:sz w:val="20"/>
                <w:szCs w:val="20"/>
              </w:rPr>
            </w:pPr>
            <w:r>
              <w:rPr>
                <w:rFonts w:cs="Calibri"/>
                <w:sz w:val="20"/>
                <w:szCs w:val="20"/>
              </w:rPr>
              <w:t>0.002</w:t>
            </w:r>
          </w:p>
        </w:tc>
      </w:tr>
      <w:tr w:rsidR="00915A1F" w14:paraId="07E7F49E"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CBD4E" w14:textId="77777777" w:rsidR="00915A1F" w:rsidRDefault="00915A1F" w:rsidP="00414509">
            <w:pPr>
              <w:spacing w:after="0"/>
              <w:rPr>
                <w:rFonts w:cs="Calibri"/>
                <w:sz w:val="20"/>
                <w:szCs w:val="20"/>
              </w:rPr>
            </w:pPr>
            <w:r>
              <w:rPr>
                <w:rFonts w:cs="Calibri"/>
                <w:sz w:val="20"/>
                <w:szCs w:val="20"/>
              </w:rPr>
              <w:t>Post stroke modified Rankin Score high</w:t>
            </w:r>
          </w:p>
          <w:p w14:paraId="294735A6" w14:textId="77777777" w:rsidR="00915A1F" w:rsidRDefault="00915A1F" w:rsidP="00414509">
            <w:pPr>
              <w:spacing w:after="0"/>
              <w:rPr>
                <w:rFonts w:cs="Calibri"/>
                <w:sz w:val="20"/>
                <w:szCs w:val="20"/>
              </w:rPr>
            </w:pPr>
            <w:r>
              <w:rPr>
                <w:rFonts w:cs="Calibri"/>
                <w:sz w:val="20"/>
                <w:szCs w:val="20"/>
              </w:rPr>
              <w:t>(3-6)</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1F2C1" w14:textId="77777777" w:rsidR="00915A1F" w:rsidRDefault="00915A1F" w:rsidP="00414509">
            <w:pPr>
              <w:spacing w:after="0"/>
              <w:rPr>
                <w:rFonts w:cs="Calibri"/>
                <w:sz w:val="20"/>
                <w:szCs w:val="20"/>
              </w:rPr>
            </w:pPr>
            <w:r>
              <w:rPr>
                <w:rFonts w:cs="Calibri"/>
                <w:sz w:val="20"/>
                <w:szCs w:val="20"/>
              </w:rPr>
              <w:t>200 (90.5%)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9A9A" w14:textId="77777777" w:rsidR="00915A1F" w:rsidRDefault="00915A1F" w:rsidP="00414509">
            <w:pPr>
              <w:spacing w:after="0"/>
              <w:rPr>
                <w:rFonts w:cs="Calibri"/>
                <w:sz w:val="20"/>
                <w:szCs w:val="20"/>
              </w:rPr>
            </w:pPr>
            <w:r>
              <w:rPr>
                <w:rFonts w:cs="Calibri"/>
                <w:sz w:val="20"/>
                <w:szCs w:val="20"/>
              </w:rPr>
              <w:t>80 (94.1%)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9BA2B" w14:textId="77777777" w:rsidR="00915A1F" w:rsidRDefault="00915A1F" w:rsidP="00414509">
            <w:pPr>
              <w:spacing w:after="0"/>
              <w:rPr>
                <w:rFonts w:cs="Calibri"/>
                <w:sz w:val="20"/>
                <w:szCs w:val="20"/>
              </w:rPr>
            </w:pPr>
            <w:r>
              <w:rPr>
                <w:rFonts w:cs="Calibri"/>
                <w:sz w:val="20"/>
                <w:szCs w:val="20"/>
              </w:rPr>
              <w:t>0.074</w:t>
            </w:r>
          </w:p>
        </w:tc>
      </w:tr>
      <w:tr w:rsidR="00915A1F" w14:paraId="7BC1787E" w14:textId="77777777" w:rsidTr="00414509">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0193" w14:textId="77777777" w:rsidR="00915A1F" w:rsidRDefault="00915A1F" w:rsidP="00414509">
            <w:pPr>
              <w:spacing w:after="0"/>
              <w:rPr>
                <w:rFonts w:cs="Calibri"/>
                <w:sz w:val="20"/>
                <w:szCs w:val="20"/>
              </w:rPr>
            </w:pPr>
            <w:r>
              <w:rPr>
                <w:rFonts w:cs="Calibri"/>
                <w:sz w:val="20"/>
                <w:szCs w:val="20"/>
              </w:rPr>
              <w:t>Post stroke Barthel Index median (IQR)</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95CBC" w14:textId="77777777" w:rsidR="00915A1F" w:rsidRDefault="00915A1F" w:rsidP="00414509">
            <w:pPr>
              <w:spacing w:after="0"/>
              <w:rPr>
                <w:rFonts w:cs="Calibri"/>
                <w:sz w:val="20"/>
                <w:szCs w:val="20"/>
              </w:rPr>
            </w:pPr>
            <w:r>
              <w:rPr>
                <w:rFonts w:cs="Calibri"/>
                <w:sz w:val="20"/>
                <w:szCs w:val="20"/>
              </w:rPr>
              <w:t>0</w:t>
            </w:r>
          </w:p>
          <w:p w14:paraId="2E178D90" w14:textId="77777777" w:rsidR="00915A1F" w:rsidRDefault="00915A1F" w:rsidP="00414509">
            <w:pPr>
              <w:spacing w:after="0"/>
              <w:rPr>
                <w:rFonts w:cs="Calibri"/>
                <w:sz w:val="20"/>
                <w:szCs w:val="20"/>
              </w:rPr>
            </w:pPr>
            <w:r>
              <w:rPr>
                <w:rFonts w:cs="Calibri"/>
                <w:sz w:val="20"/>
                <w:szCs w:val="20"/>
              </w:rPr>
              <w:t>(0-0)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8B0D" w14:textId="77777777" w:rsidR="00915A1F" w:rsidRDefault="00915A1F" w:rsidP="00414509">
            <w:pPr>
              <w:spacing w:after="0"/>
              <w:rPr>
                <w:rFonts w:cs="Calibri"/>
                <w:sz w:val="20"/>
                <w:szCs w:val="20"/>
              </w:rPr>
            </w:pPr>
            <w:r>
              <w:rPr>
                <w:rFonts w:cs="Calibri"/>
                <w:sz w:val="20"/>
                <w:szCs w:val="20"/>
              </w:rPr>
              <w:t>0 (0-0)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6556" w14:textId="77777777" w:rsidR="00915A1F" w:rsidRDefault="00915A1F" w:rsidP="00414509">
            <w:pPr>
              <w:spacing w:after="0"/>
              <w:rPr>
                <w:rFonts w:cs="Calibri"/>
                <w:sz w:val="20"/>
                <w:szCs w:val="20"/>
              </w:rPr>
            </w:pPr>
            <w:r>
              <w:rPr>
                <w:rFonts w:cs="Calibri"/>
                <w:sz w:val="20"/>
                <w:szCs w:val="20"/>
              </w:rPr>
              <w:t>0.006*</w:t>
            </w:r>
          </w:p>
        </w:tc>
      </w:tr>
      <w:tr w:rsidR="00915A1F" w14:paraId="7E79EA60" w14:textId="77777777" w:rsidTr="00414509">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87B53" w14:textId="77777777" w:rsidR="00915A1F" w:rsidRDefault="00915A1F" w:rsidP="00414509">
            <w:pPr>
              <w:spacing w:after="0"/>
              <w:rPr>
                <w:rFonts w:cs="Calibri"/>
                <w:sz w:val="20"/>
                <w:szCs w:val="20"/>
              </w:rPr>
            </w:pPr>
            <w:r>
              <w:rPr>
                <w:rFonts w:cs="Calibri"/>
                <w:sz w:val="20"/>
                <w:szCs w:val="20"/>
              </w:rPr>
              <w:t>Complication ≥1</w:t>
            </w:r>
          </w:p>
          <w:p w14:paraId="39DFFB3D" w14:textId="77777777" w:rsidR="00915A1F" w:rsidRDefault="00915A1F" w:rsidP="00414509">
            <w:pPr>
              <w:spacing w:after="0"/>
              <w:jc w:val="right"/>
              <w:rPr>
                <w:rFonts w:cs="Calibri"/>
                <w:sz w:val="20"/>
                <w:szCs w:val="20"/>
              </w:rPr>
            </w:pPr>
            <w:r>
              <w:rPr>
                <w:rFonts w:cs="Calibri"/>
                <w:sz w:val="20"/>
                <w:szCs w:val="20"/>
              </w:rPr>
              <w:t>Pneumonia</w:t>
            </w:r>
          </w:p>
          <w:p w14:paraId="60B63610" w14:textId="77777777" w:rsidR="00915A1F" w:rsidRDefault="00915A1F" w:rsidP="00414509">
            <w:pPr>
              <w:spacing w:after="0"/>
              <w:jc w:val="right"/>
              <w:rPr>
                <w:rFonts w:cs="Calibri"/>
                <w:sz w:val="20"/>
                <w:szCs w:val="20"/>
              </w:rPr>
            </w:pPr>
            <w:r>
              <w:rPr>
                <w:rFonts w:cs="Calibri"/>
                <w:sz w:val="20"/>
                <w:szCs w:val="20"/>
              </w:rPr>
              <w:t>Urinary tract infection</w:t>
            </w:r>
          </w:p>
          <w:p w14:paraId="4944FB06" w14:textId="77777777" w:rsidR="00915A1F" w:rsidRDefault="00915A1F" w:rsidP="00414509">
            <w:pPr>
              <w:spacing w:after="0"/>
              <w:jc w:val="right"/>
              <w:rPr>
                <w:rFonts w:cs="Calibri"/>
                <w:sz w:val="20"/>
                <w:szCs w:val="20"/>
              </w:rPr>
            </w:pPr>
            <w:r>
              <w:rPr>
                <w:rFonts w:cs="Calibri"/>
                <w:sz w:val="20"/>
                <w:szCs w:val="20"/>
              </w:rPr>
              <w:t>Seizures</w:t>
            </w:r>
          </w:p>
          <w:p w14:paraId="765EEEA4" w14:textId="77777777" w:rsidR="00915A1F" w:rsidRDefault="00915A1F" w:rsidP="00414509">
            <w:pPr>
              <w:spacing w:after="0"/>
              <w:jc w:val="right"/>
              <w:rPr>
                <w:rFonts w:cs="Calibri"/>
                <w:sz w:val="20"/>
                <w:szCs w:val="20"/>
              </w:rPr>
            </w:pPr>
            <w:r>
              <w:rPr>
                <w:rFonts w:cs="Calibri"/>
                <w:sz w:val="20"/>
                <w:szCs w:val="20"/>
              </w:rPr>
              <w:t>Pressure sores</w:t>
            </w:r>
          </w:p>
          <w:p w14:paraId="32F60523" w14:textId="77777777" w:rsidR="00915A1F" w:rsidRDefault="00915A1F" w:rsidP="00414509">
            <w:pPr>
              <w:spacing w:after="0"/>
              <w:jc w:val="right"/>
              <w:rPr>
                <w:rFonts w:cs="Calibri"/>
                <w:sz w:val="20"/>
                <w:szCs w:val="20"/>
              </w:rPr>
            </w:pPr>
            <w:r>
              <w:rPr>
                <w:rFonts w:cs="Calibri"/>
                <w:sz w:val="20"/>
                <w:szCs w:val="20"/>
              </w:rPr>
              <w:t>Deep vein thrombosis</w:t>
            </w: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D76C" w14:textId="77777777" w:rsidR="00915A1F" w:rsidRDefault="00915A1F" w:rsidP="00414509">
            <w:pPr>
              <w:spacing w:after="0"/>
              <w:rPr>
                <w:rFonts w:cs="Calibri"/>
                <w:sz w:val="20"/>
                <w:szCs w:val="20"/>
              </w:rPr>
            </w:pPr>
            <w:r>
              <w:rPr>
                <w:rFonts w:cs="Calibri"/>
                <w:sz w:val="20"/>
                <w:szCs w:val="20"/>
              </w:rPr>
              <w:t>100 (43.3%)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1D8D" w14:textId="77777777" w:rsidR="00915A1F" w:rsidRDefault="00915A1F" w:rsidP="00414509">
            <w:pPr>
              <w:spacing w:after="0"/>
              <w:rPr>
                <w:rFonts w:cs="Calibri"/>
                <w:sz w:val="20"/>
                <w:szCs w:val="20"/>
              </w:rPr>
            </w:pPr>
            <w:r>
              <w:rPr>
                <w:rFonts w:cs="Calibri"/>
                <w:sz w:val="20"/>
                <w:szCs w:val="20"/>
              </w:rPr>
              <w:t>39 (45.9%)</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A9D4" w14:textId="77777777" w:rsidR="00915A1F" w:rsidRDefault="00915A1F" w:rsidP="00414509">
            <w:pPr>
              <w:spacing w:after="0"/>
              <w:rPr>
                <w:rFonts w:cs="Calibri"/>
                <w:sz w:val="20"/>
                <w:szCs w:val="20"/>
              </w:rPr>
            </w:pPr>
            <w:r>
              <w:rPr>
                <w:rFonts w:cs="Calibri"/>
                <w:sz w:val="20"/>
                <w:szCs w:val="20"/>
              </w:rPr>
              <w:t>0.68</w:t>
            </w:r>
          </w:p>
        </w:tc>
      </w:tr>
      <w:tr w:rsidR="00915A1F" w14:paraId="27C81EF8"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6634"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AA025" w14:textId="77777777" w:rsidR="00915A1F" w:rsidRDefault="00915A1F" w:rsidP="00414509">
            <w:pPr>
              <w:spacing w:after="0"/>
              <w:rPr>
                <w:rFonts w:cs="Calibri"/>
                <w:sz w:val="20"/>
                <w:szCs w:val="20"/>
              </w:rPr>
            </w:pPr>
            <w:r>
              <w:rPr>
                <w:rFonts w:cs="Calibri"/>
                <w:sz w:val="20"/>
                <w:szCs w:val="20"/>
              </w:rPr>
              <w:t>50 (21.6%)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A1AE" w14:textId="77777777" w:rsidR="00915A1F" w:rsidRDefault="00915A1F" w:rsidP="00414509">
            <w:pPr>
              <w:spacing w:after="0"/>
              <w:rPr>
                <w:rFonts w:cs="Calibri"/>
                <w:sz w:val="20"/>
                <w:szCs w:val="20"/>
              </w:rPr>
            </w:pPr>
            <w:r>
              <w:rPr>
                <w:rFonts w:cs="Calibri"/>
                <w:sz w:val="20"/>
                <w:szCs w:val="20"/>
              </w:rPr>
              <w:t>19 (22.4%)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D5BCF" w14:textId="77777777" w:rsidR="00915A1F" w:rsidRDefault="00915A1F" w:rsidP="00414509">
            <w:pPr>
              <w:spacing w:after="0"/>
              <w:rPr>
                <w:rFonts w:cs="Calibri"/>
                <w:sz w:val="20"/>
                <w:szCs w:val="20"/>
              </w:rPr>
            </w:pPr>
            <w:r>
              <w:rPr>
                <w:rFonts w:cs="Calibri"/>
                <w:sz w:val="20"/>
                <w:szCs w:val="20"/>
              </w:rPr>
              <w:t>0.85</w:t>
            </w:r>
          </w:p>
        </w:tc>
      </w:tr>
      <w:tr w:rsidR="00915A1F" w14:paraId="05E7562C"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D2DB"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DEF54" w14:textId="77777777" w:rsidR="00915A1F" w:rsidRDefault="00915A1F" w:rsidP="00414509">
            <w:pPr>
              <w:spacing w:after="0"/>
              <w:rPr>
                <w:rFonts w:cs="Calibri"/>
                <w:sz w:val="20"/>
                <w:szCs w:val="20"/>
              </w:rPr>
            </w:pPr>
            <w:r>
              <w:rPr>
                <w:rFonts w:cs="Calibri"/>
                <w:sz w:val="20"/>
                <w:szCs w:val="20"/>
              </w:rPr>
              <w:t>23 (10.0%)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34633" w14:textId="77777777" w:rsidR="00915A1F" w:rsidRDefault="00915A1F" w:rsidP="00414509">
            <w:pPr>
              <w:spacing w:after="0"/>
              <w:rPr>
                <w:rFonts w:cs="Calibri"/>
                <w:sz w:val="20"/>
                <w:szCs w:val="20"/>
              </w:rPr>
            </w:pPr>
            <w:r>
              <w:rPr>
                <w:rFonts w:cs="Calibri"/>
                <w:sz w:val="20"/>
                <w:szCs w:val="20"/>
              </w:rPr>
              <w:t>8 (9.4%)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906D1" w14:textId="77777777" w:rsidR="00915A1F" w:rsidRDefault="00915A1F" w:rsidP="00414509">
            <w:pPr>
              <w:spacing w:after="0"/>
              <w:rPr>
                <w:rFonts w:cs="Calibri"/>
                <w:sz w:val="20"/>
                <w:szCs w:val="20"/>
              </w:rPr>
            </w:pPr>
            <w:r>
              <w:rPr>
                <w:rFonts w:cs="Calibri"/>
                <w:sz w:val="20"/>
                <w:szCs w:val="20"/>
              </w:rPr>
              <w:t>0.89</w:t>
            </w:r>
          </w:p>
        </w:tc>
      </w:tr>
      <w:tr w:rsidR="00915A1F" w14:paraId="6E8173F2"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18C16"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E103" w14:textId="77777777" w:rsidR="00915A1F" w:rsidRDefault="00915A1F" w:rsidP="00414509">
            <w:pPr>
              <w:spacing w:after="0"/>
              <w:rPr>
                <w:rFonts w:cs="Calibri"/>
                <w:sz w:val="20"/>
                <w:szCs w:val="20"/>
              </w:rPr>
            </w:pPr>
            <w:r>
              <w:rPr>
                <w:rFonts w:cs="Calibri"/>
                <w:sz w:val="20"/>
                <w:szCs w:val="20"/>
              </w:rPr>
              <w:t>14 (6.1%)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012B2" w14:textId="77777777" w:rsidR="00915A1F" w:rsidRDefault="00915A1F" w:rsidP="00414509">
            <w:pPr>
              <w:spacing w:after="0"/>
              <w:rPr>
                <w:rFonts w:cs="Calibri"/>
                <w:sz w:val="20"/>
                <w:szCs w:val="20"/>
              </w:rPr>
            </w:pPr>
            <w:r>
              <w:rPr>
                <w:rFonts w:cs="Calibri"/>
                <w:sz w:val="20"/>
                <w:szCs w:val="20"/>
              </w:rPr>
              <w:t>4 (4.7%)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1200" w14:textId="77777777" w:rsidR="00915A1F" w:rsidRDefault="00915A1F" w:rsidP="00414509">
            <w:pPr>
              <w:spacing w:after="0"/>
              <w:rPr>
                <w:rFonts w:cs="Calibri"/>
                <w:sz w:val="20"/>
                <w:szCs w:val="20"/>
              </w:rPr>
            </w:pPr>
            <w:r>
              <w:rPr>
                <w:rFonts w:cs="Calibri"/>
                <w:sz w:val="20"/>
                <w:szCs w:val="20"/>
              </w:rPr>
              <w:t>0.65</w:t>
            </w:r>
          </w:p>
        </w:tc>
      </w:tr>
      <w:tr w:rsidR="00915A1F" w14:paraId="631111E5"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A04F8"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9A3F" w14:textId="77777777" w:rsidR="00915A1F" w:rsidRDefault="00915A1F" w:rsidP="00414509">
            <w:pPr>
              <w:spacing w:after="0"/>
              <w:rPr>
                <w:rFonts w:cs="Calibri"/>
                <w:sz w:val="20"/>
                <w:szCs w:val="20"/>
              </w:rPr>
            </w:pPr>
            <w:r>
              <w:rPr>
                <w:rFonts w:cs="Calibri"/>
                <w:sz w:val="20"/>
                <w:szCs w:val="20"/>
              </w:rPr>
              <w:t>8 (3.5%)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6257" w14:textId="77777777" w:rsidR="00915A1F" w:rsidRDefault="00915A1F" w:rsidP="00414509">
            <w:pPr>
              <w:spacing w:after="0"/>
              <w:rPr>
                <w:rFonts w:cs="Calibri"/>
                <w:sz w:val="20"/>
                <w:szCs w:val="20"/>
              </w:rPr>
            </w:pPr>
            <w:r>
              <w:rPr>
                <w:rFonts w:cs="Calibri"/>
                <w:sz w:val="20"/>
                <w:szCs w:val="20"/>
              </w:rPr>
              <w:t>1 (1.2%)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07C65" w14:textId="77777777" w:rsidR="00915A1F" w:rsidRDefault="00915A1F" w:rsidP="00414509">
            <w:pPr>
              <w:spacing w:after="0"/>
              <w:rPr>
                <w:rFonts w:cs="Calibri"/>
                <w:sz w:val="20"/>
                <w:szCs w:val="20"/>
              </w:rPr>
            </w:pPr>
            <w:r>
              <w:rPr>
                <w:rFonts w:cs="Calibri"/>
                <w:sz w:val="20"/>
                <w:szCs w:val="20"/>
              </w:rPr>
              <w:t>0.28</w:t>
            </w:r>
          </w:p>
        </w:tc>
      </w:tr>
      <w:tr w:rsidR="00915A1F" w14:paraId="44C36637" w14:textId="77777777" w:rsidTr="00414509">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6AEA" w14:textId="77777777" w:rsidR="00915A1F" w:rsidRDefault="00915A1F" w:rsidP="00414509">
            <w:pPr>
              <w:spacing w:after="0"/>
              <w:jc w:val="right"/>
              <w:rPr>
                <w:rFonts w:cs="Calibri"/>
                <w:sz w:val="20"/>
                <w:szCs w:val="20"/>
              </w:rPr>
            </w:pPr>
          </w:p>
        </w:tc>
        <w:tc>
          <w:tcPr>
            <w:tcW w:w="121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5BFE" w14:textId="77777777" w:rsidR="00915A1F" w:rsidRDefault="00915A1F" w:rsidP="00414509">
            <w:pPr>
              <w:spacing w:after="0"/>
              <w:rPr>
                <w:rFonts w:cs="Calibri"/>
                <w:sz w:val="20"/>
                <w:szCs w:val="20"/>
              </w:rPr>
            </w:pPr>
            <w:r>
              <w:rPr>
                <w:rFonts w:cs="Calibri"/>
                <w:sz w:val="20"/>
                <w:szCs w:val="20"/>
              </w:rPr>
              <w:t>2 (0.8%)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CF9B" w14:textId="77777777" w:rsidR="00915A1F" w:rsidRDefault="00915A1F" w:rsidP="00414509">
            <w:pPr>
              <w:spacing w:after="0"/>
              <w:rPr>
                <w:rFonts w:cs="Calibri"/>
                <w:sz w:val="20"/>
                <w:szCs w:val="20"/>
              </w:rPr>
            </w:pPr>
            <w:r>
              <w:rPr>
                <w:rFonts w:cs="Calibri"/>
                <w:sz w:val="20"/>
                <w:szCs w:val="20"/>
              </w:rPr>
              <w:t>2 (2.4%)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426DB" w14:textId="77777777" w:rsidR="00915A1F" w:rsidRDefault="00915A1F" w:rsidP="00414509">
            <w:pPr>
              <w:spacing w:after="0"/>
              <w:rPr>
                <w:rFonts w:cs="Calibri"/>
                <w:sz w:val="20"/>
                <w:szCs w:val="20"/>
              </w:rPr>
            </w:pPr>
            <w:r>
              <w:rPr>
                <w:rFonts w:cs="Calibri"/>
                <w:sz w:val="20"/>
                <w:szCs w:val="20"/>
              </w:rPr>
              <w:t>0.29</w:t>
            </w:r>
          </w:p>
        </w:tc>
      </w:tr>
    </w:tbl>
    <w:p w14:paraId="173530D6" w14:textId="77777777" w:rsidR="00915A1F" w:rsidRPr="00565613" w:rsidRDefault="00915A1F" w:rsidP="00915A1F">
      <w:pPr>
        <w:rPr>
          <w:rFonts w:cs="Calibri"/>
          <w:i/>
          <w:iCs/>
        </w:rPr>
      </w:pPr>
      <w:r>
        <w:rPr>
          <w:rFonts w:cs="Calibri"/>
          <w:i/>
          <w:iCs/>
        </w:rPr>
        <w:lastRenderedPageBreak/>
        <w:t xml:space="preserve">Supplementary material </w:t>
      </w:r>
      <w:r w:rsidRPr="00565613">
        <w:rPr>
          <w:rFonts w:cs="Calibri"/>
          <w:i/>
          <w:iCs/>
        </w:rPr>
        <w:t xml:space="preserve">Table </w:t>
      </w:r>
      <w:r>
        <w:rPr>
          <w:rFonts w:cs="Calibri"/>
          <w:i/>
          <w:iCs/>
        </w:rPr>
        <w:t>1</w:t>
      </w:r>
      <w:r w:rsidRPr="00565613">
        <w:rPr>
          <w:rFonts w:cs="Calibri"/>
          <w:i/>
          <w:iCs/>
        </w:rPr>
        <w:t xml:space="preserve">: Factors associated with ischaemic stroke and intracerebral haemorrhage </w:t>
      </w:r>
    </w:p>
    <w:p w14:paraId="6E9F47F3" w14:textId="77777777" w:rsidR="00915A1F" w:rsidRDefault="00915A1F" w:rsidP="00915A1F">
      <w:pPr>
        <w:rPr>
          <w:i/>
          <w:iCs/>
        </w:rPr>
      </w:pPr>
      <w:r w:rsidRPr="0047343F">
        <w:rPr>
          <w:i/>
          <w:iCs/>
        </w:rPr>
        <w:t>*Mann Whitney U Test.</w:t>
      </w:r>
    </w:p>
    <w:p w14:paraId="7ACD7B88" w14:textId="77777777" w:rsidR="00915A1F" w:rsidRDefault="00915A1F">
      <w:pPr>
        <w:rPr>
          <w:b/>
          <w:bCs/>
        </w:rPr>
      </w:pPr>
    </w:p>
    <w:p w14:paraId="09CA4A6D" w14:textId="0C645EDD" w:rsidR="00C10B9A" w:rsidRDefault="00C10B9A" w:rsidP="00C10B9A"/>
    <w:p w14:paraId="4653051A" w14:textId="0AE495B6" w:rsidR="00565613" w:rsidRDefault="00915A1F" w:rsidP="00C10B9A">
      <w:pPr>
        <w:rPr>
          <w:b/>
          <w:bCs/>
        </w:rPr>
      </w:pPr>
      <w:r>
        <w:rPr>
          <w:b/>
          <w:bCs/>
        </w:rPr>
        <w:t>Statistical Analysis Plan</w:t>
      </w:r>
    </w:p>
    <w:p w14:paraId="2F4D37AE" w14:textId="77777777" w:rsidR="00915A1F" w:rsidRPr="004C251C" w:rsidRDefault="00915A1F" w:rsidP="00915A1F">
      <w:pPr>
        <w:rPr>
          <w:rFonts w:cstheme="minorHAnsi"/>
          <w:b/>
          <w:bCs/>
        </w:rPr>
      </w:pPr>
      <w:r w:rsidRPr="004C251C">
        <w:rPr>
          <w:rFonts w:cstheme="minorHAnsi"/>
          <w:b/>
          <w:bCs/>
        </w:rPr>
        <w:t>Statistical analysis plan</w:t>
      </w:r>
    </w:p>
    <w:p w14:paraId="405DDBD6" w14:textId="77777777" w:rsidR="00915A1F" w:rsidRDefault="00915A1F" w:rsidP="00915A1F">
      <w:pPr>
        <w:rPr>
          <w:rFonts w:cstheme="minorHAnsi"/>
        </w:rPr>
      </w:pPr>
      <w:r>
        <w:rPr>
          <w:rFonts w:cstheme="minorHAnsi"/>
        </w:rPr>
        <w:t>Time Period for analysis: 01/05/2019 – 31/04/2020. Justification: The SISLE stroke register began with a one month pilot period in April 2018. The pilot period ensured that case ascertainment methods were reinforced, raised awareness of the register amongst clinicians and tested recruitment processes and pathways of access to clinical investigations.</w:t>
      </w:r>
    </w:p>
    <w:p w14:paraId="6BC78179" w14:textId="77777777" w:rsidR="00915A1F" w:rsidRPr="006716A2" w:rsidRDefault="00915A1F" w:rsidP="00915A1F">
      <w:pPr>
        <w:rPr>
          <w:rFonts w:cstheme="minorHAnsi"/>
          <w:b/>
          <w:bCs/>
        </w:rPr>
      </w:pPr>
      <w:r>
        <w:rPr>
          <w:rFonts w:cstheme="minorHAnsi"/>
        </w:rPr>
        <w:t>The overall aim of this analysis plan is to provide a description of the natural history of stroke in Freetown, Sierra Leone. We will describe the demographics of stroke by stroke subtype and evaluate stroke in hospital mortality.</w:t>
      </w:r>
    </w:p>
    <w:p w14:paraId="5FBEEBE7" w14:textId="77777777" w:rsidR="00915A1F" w:rsidRPr="000342EC" w:rsidRDefault="00915A1F" w:rsidP="00915A1F">
      <w:pPr>
        <w:rPr>
          <w:rFonts w:cstheme="minorHAnsi"/>
          <w:b/>
          <w:bCs/>
        </w:rPr>
      </w:pPr>
      <w:r>
        <w:rPr>
          <w:rFonts w:cstheme="minorHAnsi"/>
          <w:b/>
          <w:bCs/>
        </w:rPr>
        <w:t xml:space="preserve">Objectives </w:t>
      </w:r>
      <w:r w:rsidRPr="000342EC">
        <w:rPr>
          <w:rFonts w:cstheme="minorHAnsi"/>
          <w:b/>
          <w:bCs/>
        </w:rPr>
        <w:t>and hypothesis:</w:t>
      </w:r>
    </w:p>
    <w:p w14:paraId="3A6CDAF4" w14:textId="77777777" w:rsidR="00915A1F" w:rsidRPr="00267150" w:rsidRDefault="00915A1F" w:rsidP="00915A1F">
      <w:pPr>
        <w:pStyle w:val="ListParagraph"/>
        <w:numPr>
          <w:ilvl w:val="0"/>
          <w:numId w:val="2"/>
        </w:numPr>
        <w:rPr>
          <w:rFonts w:cstheme="minorHAnsi"/>
          <w:i/>
          <w:iCs/>
        </w:rPr>
      </w:pPr>
      <w:r w:rsidRPr="00267150">
        <w:rPr>
          <w:rFonts w:cstheme="minorHAnsi"/>
        </w:rPr>
        <w:t>To describe the basic demographics, risk factors and prevalence of stroke subtypes, in a hospital-based register in Sierra Leone.</w:t>
      </w:r>
      <w:r>
        <w:rPr>
          <w:rFonts w:cstheme="minorHAnsi"/>
        </w:rPr>
        <w:t xml:space="preserve"> </w:t>
      </w:r>
      <w:r w:rsidRPr="00267150">
        <w:rPr>
          <w:rFonts w:cstheme="minorHAnsi"/>
          <w:i/>
          <w:iCs/>
        </w:rPr>
        <w:t>Hypothesis: There is a difference in risk factors and basic demographics between haemorrhagic and ischaemic strokes in Sierra Leone</w:t>
      </w:r>
    </w:p>
    <w:p w14:paraId="7D189AE7" w14:textId="77777777" w:rsidR="00915A1F" w:rsidRDefault="00915A1F" w:rsidP="00915A1F">
      <w:pPr>
        <w:pStyle w:val="ListParagraph"/>
        <w:rPr>
          <w:rFonts w:cstheme="minorHAnsi"/>
          <w:i/>
          <w:iCs/>
        </w:rPr>
      </w:pPr>
    </w:p>
    <w:p w14:paraId="33FB8F13" w14:textId="08E7170B" w:rsidR="00915A1F" w:rsidRPr="00267150" w:rsidRDefault="00915A1F" w:rsidP="00915A1F">
      <w:pPr>
        <w:pStyle w:val="ListParagraph"/>
        <w:numPr>
          <w:ilvl w:val="0"/>
          <w:numId w:val="2"/>
        </w:numPr>
        <w:rPr>
          <w:rFonts w:cstheme="minorHAnsi"/>
          <w:i/>
          <w:iCs/>
        </w:rPr>
      </w:pPr>
      <w:r w:rsidRPr="00267150">
        <w:rPr>
          <w:rFonts w:cstheme="minorHAnsi"/>
        </w:rPr>
        <w:t>To analyse which variables are related</w:t>
      </w:r>
      <w:r>
        <w:rPr>
          <w:rFonts w:cstheme="minorHAnsi"/>
        </w:rPr>
        <w:t xml:space="preserve"> to in hospital stroke mortality</w:t>
      </w:r>
      <w:r w:rsidRPr="00267150">
        <w:rPr>
          <w:rFonts w:cstheme="minorHAnsi"/>
        </w:rPr>
        <w:t>.</w:t>
      </w:r>
      <w:r>
        <w:rPr>
          <w:rFonts w:cstheme="minorHAnsi"/>
        </w:rPr>
        <w:t xml:space="preserve"> </w:t>
      </w:r>
      <w:r w:rsidRPr="00267150">
        <w:rPr>
          <w:rFonts w:cstheme="minorHAnsi"/>
          <w:i/>
          <w:iCs/>
        </w:rPr>
        <w:t xml:space="preserve">Hypothesis: Certain variables will be associated with </w:t>
      </w:r>
      <w:r>
        <w:rPr>
          <w:rFonts w:cstheme="minorHAnsi"/>
          <w:i/>
          <w:iCs/>
        </w:rPr>
        <w:t>in hospital mortality</w:t>
      </w:r>
      <w:r w:rsidRPr="00267150">
        <w:rPr>
          <w:rFonts w:cstheme="minorHAnsi"/>
          <w:i/>
          <w:iCs/>
        </w:rPr>
        <w:t>.</w:t>
      </w:r>
    </w:p>
    <w:p w14:paraId="54AC88D1" w14:textId="77777777" w:rsidR="00915A1F" w:rsidRPr="00C674D8" w:rsidRDefault="00915A1F" w:rsidP="00915A1F">
      <w:pPr>
        <w:ind w:left="720"/>
        <w:rPr>
          <w:rFonts w:cstheme="minorHAnsi"/>
          <w:i/>
          <w:iCs/>
        </w:rPr>
      </w:pPr>
    </w:p>
    <w:p w14:paraId="7A09AD9D" w14:textId="77777777" w:rsidR="00915A1F" w:rsidRDefault="00915A1F" w:rsidP="00915A1F">
      <w:pPr>
        <w:rPr>
          <w:rFonts w:cstheme="minorHAnsi"/>
          <w:b/>
          <w:bCs/>
        </w:rPr>
      </w:pPr>
      <w:r w:rsidRPr="000342EC">
        <w:rPr>
          <w:rFonts w:cstheme="minorHAnsi"/>
          <w:b/>
          <w:bCs/>
        </w:rPr>
        <w:t>Descriptive characteristics of cohort</w:t>
      </w:r>
    </w:p>
    <w:p w14:paraId="60564B42" w14:textId="77777777" w:rsidR="00915A1F" w:rsidRDefault="00915A1F" w:rsidP="00915A1F">
      <w:pPr>
        <w:rPr>
          <w:rFonts w:cstheme="minorHAnsi"/>
        </w:rPr>
      </w:pPr>
      <w:r w:rsidRPr="000342EC">
        <w:rPr>
          <w:rFonts w:cstheme="minorHAnsi"/>
        </w:rPr>
        <w:t>Age in years will be categorised into mid-decade ten year age bands as standard for stroke incidence studies</w:t>
      </w:r>
      <w:r>
        <w:rPr>
          <w:rFonts w:cstheme="minorHAnsi"/>
        </w:rPr>
        <w:fldChar w:fldCharType="begin" w:fldLock="1"/>
      </w:r>
      <w:r>
        <w:rPr>
          <w:rFonts w:cstheme="minorHAnsi"/>
        </w:rPr>
        <w:instrText>ADDIN CSL_CITATION {"citationItems":[{"id":"ITEM-1","itemData":{"DOI":"10.1161/STROKEAHA.118.022161","ISSN":"15244628","PMID":"30355005","author":[{"dropping-particle":"","family":"Feigin","given":"Valery","non-dropping-particle":"","parse-names":false,"suffix":""},{"dropping-particle":"","family":"Norrving","given":"Bo","non-dropping-particle":"","parse-names":false,"suffix":""},{"dropping-particle":"","family":"Sudlow","given":"Cathie L.M.","non-dropping-particle":"","parse-names":false,"suffix":""},{"dropping-particle":"","family":"Sacco","given":"Ralph L.","non-dropping-particle":"","parse-names":false,"suffix":""}],"container-title":"Stroke","id":"ITEM-1","issue":"9","issued":{"date-parts":[["2018"]]},"page":"2248-2255","title":"Updated criteria for population-based stroke and transient ischemic attack incidence studies for the 21st century","type":"article-journal","volume":"49"},"uris":["http://www.mendeley.com/documents/?uuid=25aed011-503a-43b8-bb10-68be94b6cfbe"]}],"mendeley":{"formattedCitation":"&lt;sup&gt;17&lt;/sup&gt;","plainTextFormattedCitation":"17","previouslyFormattedCitation":"&lt;sup&gt;16&lt;/sup&gt;"},"properties":{"noteIndex":0},"schema":"https://github.com/citation-style-language/schema/raw/master/csl-citation.json"}</w:instrText>
      </w:r>
      <w:r>
        <w:rPr>
          <w:rFonts w:cstheme="minorHAnsi"/>
        </w:rPr>
        <w:fldChar w:fldCharType="separate"/>
      </w:r>
      <w:r w:rsidRPr="00F572F0">
        <w:rPr>
          <w:rFonts w:cstheme="minorHAnsi"/>
          <w:noProof/>
          <w:vertAlign w:val="superscript"/>
        </w:rPr>
        <w:t>17</w:t>
      </w:r>
      <w:r>
        <w:rPr>
          <w:rFonts w:cstheme="minorHAnsi"/>
        </w:rPr>
        <w:fldChar w:fldCharType="end"/>
      </w:r>
      <w:r w:rsidRPr="000342EC">
        <w:rPr>
          <w:rFonts w:cstheme="minorHAnsi"/>
        </w:rPr>
        <w:t>.</w:t>
      </w:r>
      <w:r>
        <w:rPr>
          <w:rFonts w:cstheme="minorHAnsi"/>
        </w:rPr>
        <w:t xml:space="preserve"> Sex will remain as categorical male / female. Hypertension, diabetes, dyslipidaemia, hip to waist ratio will be categorised as present or absent as per the definitions above.  Education level ordinal variables 0-6 will be transformed to categorical variable 0-2 and 3-6, cut off will be finishing secondary school.  Across stroke studies the NIHSS is used both as a continuous variables as well as categorical</w:t>
      </w:r>
      <w:r>
        <w:rPr>
          <w:rFonts w:cstheme="minorHAnsi"/>
        </w:rPr>
        <w:fldChar w:fldCharType="begin" w:fldLock="1"/>
      </w:r>
      <w:r>
        <w:rPr>
          <w:rFonts w:cstheme="minorHAnsi"/>
        </w:rPr>
        <w:instrText>ADDIN CSL_CITATION {"citationItems":[{"id":"ITEM-1","itemData":{"DOI":"10.1186/1745-6215-14-98","ISSN":"17456215","abstract":"Traditionally in acute stroke clinical trials, the primary clinical outcome employed is a dichotomized modified Rankin Scale (mRS). New statistical methods, such as responder analysis, are being used in stroke studies to address the concern that baseline prognostic variables, such as stroke severity, impact the likelihood of a successful outcome. Responder analysis allows the definition of success to vary according to baseline prognostic variables, producing a more clinically relevant insight into the actual effect of investigational treatments. It is unclear whether or not statistical analyses should adjust for prognostic variables when responder analysis is used, as the outcome already takes these prognostic variables into account. This research aims to investigate the effect of covariate adjustment in the responder analysis framework in order to determine the appropriate analytic method. Using a current stroke clinical trial and its pilot studies to guide simulation parameters, 1,000 clinical trials were simulated at varying sample sizes under several treatment effects to assess power and type I error. Covariate-adjusted and unadjusted logistic regressions were used to estimate the treatment effect under each scenario. In the case of covariate-adjusted logistic regression, the trichotomized National Institute of Health Stroke Scale (NIHSS) was used in adjustment. Under various treatment effect settings, the operating characteristics of the unadjusted and adjusted analyses do not substantially differ. Power and type I error are preserved for both the unadjusted and adjusted analyses. Our results suggest that, under the given treatment effect scenarios, the decision whether or not to adjust for baseline severity when using a responder analysis outcome should be guided by the needs of the study, as type I error rates and power do not appear to vary largely between the methods. These findings are applicable to stroke trials which use the mRS for the primary outcome, but also provide a broader insight into the analysis of binary outcomes that are defined based on baseline prognostic variables. This research is part of the Stroke Hyperglycemia Insulin Network Effort (SHINE) trial, Identification Number NCT01369069.","author":[{"dropping-particle":"","family":"Garofolo","given":"Kyra M.","non-dropping-particle":"","parse-names":false,"suffix":""},{"dropping-particle":"","family":"Yeatts","given":"Sharon D.","non-dropping-particle":"","parse-names":false,"suffix":""},{"dropping-particle":"","family":"Ramakrishnan","given":"Viswanathan","non-dropping-particle":"","parse-names":false,"suffix":""},{"dropping-particle":"","family":"Jauch","given":"Edward C.","non-dropping-particle":"","parse-names":false,"suffix":""},{"dropping-particle":"","family":"Johnston","given":"Karen C.","non-dropping-particle":"","parse-names":false,"suffix":""},{"dropping-particle":"","family":"Durkalski","given":"Valerie L.","non-dropping-particle":"","parse-names":false,"suffix":""}],"container-title":"Trials","id":"ITEM-1","issued":{"date-parts":[["2013"]]},"page":"1-9","title":"The effect of covariate adjustment for baseline severity in acute stroke clinical trials with responder analysis outcomes.","type":"article-journal","volume":"14"},"uris":["http://www.mendeley.com/documents/?uuid=e85d0e19-30a4-439f-b622-af4e46c30779"]}],"mendeley":{"formattedCitation":"&lt;sup&gt;18&lt;/sup&gt;","plainTextFormattedCitation":"18","previouslyFormattedCitation":"&lt;sup&gt;17&lt;/sup&gt;"},"properties":{"noteIndex":0},"schema":"https://github.com/citation-style-language/schema/raw/master/csl-citation.json"}</w:instrText>
      </w:r>
      <w:r>
        <w:rPr>
          <w:rFonts w:cstheme="minorHAnsi"/>
        </w:rPr>
        <w:fldChar w:fldCharType="separate"/>
      </w:r>
      <w:r w:rsidRPr="00F572F0">
        <w:rPr>
          <w:rFonts w:cstheme="minorHAnsi"/>
          <w:noProof/>
          <w:vertAlign w:val="superscript"/>
        </w:rPr>
        <w:t>18</w:t>
      </w:r>
      <w:r>
        <w:rPr>
          <w:rFonts w:cstheme="minorHAnsi"/>
        </w:rPr>
        <w:fldChar w:fldCharType="end"/>
      </w:r>
      <w:r>
        <w:rPr>
          <w:rFonts w:cstheme="minorHAnsi"/>
        </w:rPr>
        <w:t>. There are a variety of different cut offs for NIHSS across publications for how to classify mild moderate and severe stroke. We used mild 0-6, moderate 7-16 and severe 17-40 as our cut-offs, based on global stroke comparison studies</w:t>
      </w:r>
      <w:r>
        <w:rPr>
          <w:rFonts w:cstheme="minorHAnsi"/>
        </w:rPr>
        <w:fldChar w:fldCharType="begin" w:fldLock="1"/>
      </w:r>
      <w:r>
        <w:rPr>
          <w:rFonts w:cstheme="minorHAnsi"/>
        </w:rPr>
        <w:instrText>ADDIN CSL_CITATION {"citationItems":[{"id":"ITEM-1","itemData":{"DOI":"10.1161/JAHA.115.002433","ISSN":"20479980","PMID":"26796252","abstract":"Background-Stroke is among the leading causes of morbidity and mortality worldwide. Without reliable prediction models and outcome measurements, comparison of care systems is impossible. We analyzed prospectively collected data from 4 countries to explore the importance of stroke severity in outcome prediction. Methods and Results-For 2 months, all acute ischemic stroke patients from the hospitals participating in the Global Comparators Stroke GOAL (Global Outcomes Accelerated Learning) collaboration received a National Institutes of Health Stroke Scale (NIHSS) score on admission and a modified Rankin Scale score at 30 and 90 days. These data were added to the administrative data set, and risk prediction models including age, sex, comorbidity index, and NIHSS were derived for in-hospital death within 7 days, all in-hospital death, and death and good outcome at 30 and 90 days. The relative importance of each variable was assessed using the proportion of explained variation. Of 1034 admissions for acute ischemic stroke, 614 had a full set of NIHSS and both modified Rankin Scale values recorded; of these, 507 patients could be linked to administrative data. The marginal proportion of explained variation was 0.7% to 4.0% for comorbidity index, and 11.3 to 25.0 for NIHSS score. The percentage explained by the model varied by outcome (16.6-29.1%) and was highest for good outcome at 30 and 90 days. There was high agreement between 30- and 90-day modified Rankin Scale scores (weighted j=0.82). Conclusions-In this prospective pilot study, the baseline NIHSS score was essential for prediction of acute ischemic stroke outcomes, followed by age; whereas traditional comorbidity index contributed little to the overall model. Future studies of stroke outcomes between different care systems will benefit from including a baseline NIHSS score.","author":[{"dropping-particle":"","family":"Rost","given":"Natalia S.","non-dropping-particle":"","parse-names":false,"suffix":""},{"dropping-particle":"","family":"Bottle","given":"Alex","non-dropping-particle":"","parse-names":false,"suffix":""},{"dropping-particle":"","family":"Lee","given":"Jin Moo","non-dropping-particle":"","parse-names":false,"suffix":""},{"dropping-particle":"","family":"Randall","given":"Marc","non-dropping-particle":"","parse-names":false,"suffix":""},{"dropping-particle":"","family":"Middleton","given":"Steven","non-dropping-particle":"","parse-names":false,"suffix":""},{"dropping-particle":"","family":"Shaw","given":"Louise","non-dropping-particle":"","parse-names":false,"suffix":""},{"dropping-particle":"","family":"Thijs","given":"Vincent","non-dropping-particle":"","parse-names":false,"suffix":""},{"dropping-particle":"","family":"Rinkel","given":"Gabriel J.E.","non-dropping-particle":"","parse-names":false,"suffix":""},{"dropping-particle":"","family":"Hemmen","given":"Thomas M.","non-dropping-particle":"","parse-names":false,"suffix":""},{"dropping-particle":"","family":"Eleopra","given":"Roberto","non-dropping-particle":"","parse-names":false,"suffix":""},{"dropping-particle":"","family":"Oostenbrugge","given":"R. J.","non-dropping-particle":"van","parse-names":false,"suffix":""},{"dropping-particle":"","family":"Fenwick","given":"Caroline","non-dropping-particle":"","parse-names":false,"suffix":""},{"dropping-particle":"","family":"Pelly","given":"Michael","non-dropping-particle":"","parse-names":false,"suffix":""},{"dropping-particle":"","family":"Vaux","given":"Emma","non-dropping-particle":"","parse-names":false,"suffix":""},{"dropping-particle":"","family":"Wyk","given":"André","non-dropping-particle":"van","parse-names":false,"suffix":""},{"dropping-particle":"","family":"Spencer","given":"Mary","non-dropping-particle":"","parse-names":false,"suffix":""},{"dropping-particle":"","family":"Peggy","given":"Gudridur","non-dropping-particle":"","parse-names":false,"suffix":""},{"dropping-particle":"","family":"Matzkiw","given":"H.","non-dropping-particle":"","parse-names":false,"suffix":""},{"dropping-particle":"","family":"Newman","given":"Jillian","non-dropping-particle":"","parse-names":false,"suffix":""}],"container-title":"Journal of the American Heart Association","id":"ITEM-1","issue":"1","issued":{"date-parts":[["2016"]]},"page":"1-7","title":"Stroke severity is a crucial predictor of outcome: An international prospective validation study","type":"article-journal","volume":"5"},"uris":["http://www.mendeley.com/documents/?uuid=8e61ef7c-d1f6-4ac5-a123-375cde23641c"]}],"mendeley":{"formattedCitation":"&lt;sup&gt;19&lt;/sup&gt;","plainTextFormattedCitation":"19","previouslyFormattedCitation":"&lt;sup&gt;18&lt;/sup&gt;"},"properties":{"noteIndex":0},"schema":"https://github.com/citation-style-language/schema/raw/master/csl-citation.json"}</w:instrText>
      </w:r>
      <w:r>
        <w:rPr>
          <w:rFonts w:cstheme="minorHAnsi"/>
        </w:rPr>
        <w:fldChar w:fldCharType="separate"/>
      </w:r>
      <w:r w:rsidRPr="00F572F0">
        <w:rPr>
          <w:rFonts w:cstheme="minorHAnsi"/>
          <w:noProof/>
          <w:vertAlign w:val="superscript"/>
        </w:rPr>
        <w:t>19</w:t>
      </w:r>
      <w:r>
        <w:rPr>
          <w:rFonts w:cstheme="minorHAnsi"/>
        </w:rPr>
        <w:fldChar w:fldCharType="end"/>
      </w:r>
      <w:r>
        <w:rPr>
          <w:rFonts w:cstheme="minorHAnsi"/>
        </w:rPr>
        <w:t>. T-test or Mann Whitney test will be used to compare groups, dependent on distribution.</w:t>
      </w:r>
    </w:p>
    <w:p w14:paraId="246BAE1B" w14:textId="77777777" w:rsidR="00915A1F" w:rsidRPr="006C41D6" w:rsidRDefault="00915A1F" w:rsidP="00915A1F">
      <w:pPr>
        <w:rPr>
          <w:b/>
          <w:bCs/>
        </w:rPr>
      </w:pPr>
      <w:r w:rsidRPr="006C41D6">
        <w:rPr>
          <w:b/>
          <w:bCs/>
        </w:rPr>
        <w:t>Variable Definitions</w:t>
      </w:r>
    </w:p>
    <w:p w14:paraId="5203029F" w14:textId="77777777" w:rsidR="00915A1F" w:rsidRDefault="00915A1F" w:rsidP="00915A1F">
      <w:pPr>
        <w:pStyle w:val="ListParagraph"/>
        <w:numPr>
          <w:ilvl w:val="0"/>
          <w:numId w:val="1"/>
        </w:numPr>
      </w:pPr>
      <w:r>
        <w:t>Ethnicity was self-reported and categorised as per Sierra Leone census groupings</w:t>
      </w:r>
      <w:r>
        <w:fldChar w:fldCharType="begin"/>
      </w:r>
      <w:r>
        <w:instrText xml:space="preserve"> ADDIN EN.CITE &lt;EndNote&gt;&lt;Cite&gt;&lt;RecNum&gt;1229&lt;/RecNum&gt;&lt;DisplayText&gt;(17)&lt;/DisplayText&gt;&lt;record&gt;&lt;rec-number&gt;1229&lt;/rec-number&gt;&lt;foreign-keys&gt;&lt;key app="EN" db-id="9fdfpr99uwd5w0eadeup5fa1see9sdre2tpt" timestamp="1614360176"&gt;1229&lt;/key&gt;&lt;/foreign-keys&gt;&lt;ref-type name="Journal Article"&gt;17&lt;/ref-type&gt;&lt;contributors&gt;&lt;/contributors&gt;&lt;titles&gt;&lt;title&gt;&amp;lt;Statistics Sierra Leone - 2016 - Statistics Sierra Leone 2015 Population and Housing Census Summary of Final Results.pdf&amp;gt;&lt;/title&gt;&lt;/titles&gt;&lt;dates&gt;&lt;/dates&gt;&lt;urls&gt;&lt;/urls&gt;&lt;/record&gt;&lt;/Cite&gt;&lt;/EndNote&gt;</w:instrText>
      </w:r>
      <w:r>
        <w:fldChar w:fldCharType="separate"/>
      </w:r>
      <w:r>
        <w:rPr>
          <w:noProof/>
        </w:rPr>
        <w:t>(17)</w:t>
      </w:r>
      <w:r>
        <w:fldChar w:fldCharType="end"/>
      </w:r>
      <w:r>
        <w:t xml:space="preserve">.  For analysis we included the five most frequent ethnic categories in our dataset and coded the remainder as “other”. </w:t>
      </w:r>
    </w:p>
    <w:p w14:paraId="58886C2C" w14:textId="77777777" w:rsidR="00915A1F" w:rsidRPr="003F7680" w:rsidRDefault="00915A1F" w:rsidP="00915A1F">
      <w:pPr>
        <w:pStyle w:val="ListParagraph"/>
        <w:numPr>
          <w:ilvl w:val="0"/>
          <w:numId w:val="1"/>
        </w:numPr>
      </w:pPr>
      <w:r w:rsidRPr="003F7680">
        <w:rPr>
          <w:rFonts w:cs="Calibri"/>
        </w:rPr>
        <w:t xml:space="preserve">Hypertension was defined as: serial blood pressure readings ≥140/90mmHg from 72 hours after stroke </w:t>
      </w:r>
      <w:proofErr w:type="gramStart"/>
      <w:r w:rsidRPr="003F7680">
        <w:rPr>
          <w:rFonts w:cs="Calibri"/>
        </w:rPr>
        <w:t>or;</w:t>
      </w:r>
      <w:proofErr w:type="gramEnd"/>
      <w:r w:rsidRPr="003F7680">
        <w:rPr>
          <w:rFonts w:cs="Calibri"/>
        </w:rPr>
        <w:t xml:space="preserve"> patient reported history of hypertension or; history of antihypertensive use or continuing use of antihypertensives 72 hours post stroke. </w:t>
      </w:r>
    </w:p>
    <w:p w14:paraId="04AAA8BB" w14:textId="77777777" w:rsidR="00915A1F" w:rsidRPr="003F7680" w:rsidRDefault="00915A1F" w:rsidP="00915A1F">
      <w:pPr>
        <w:pStyle w:val="ListParagraph"/>
        <w:numPr>
          <w:ilvl w:val="0"/>
          <w:numId w:val="1"/>
        </w:numPr>
      </w:pPr>
      <w:r w:rsidRPr="003F7680">
        <w:rPr>
          <w:rFonts w:cs="Calibri"/>
        </w:rPr>
        <w:lastRenderedPageBreak/>
        <w:t xml:space="preserve">Type two diabetes mellitus was defined as: previous documented history of diabetes or patient reported history of diabetes; previous prescription of diabetic medication; or a HbA1C &gt;6.5% on admission. </w:t>
      </w:r>
    </w:p>
    <w:p w14:paraId="2217D21F" w14:textId="77777777" w:rsidR="00915A1F" w:rsidRPr="003F7680" w:rsidRDefault="00915A1F" w:rsidP="00915A1F">
      <w:pPr>
        <w:pStyle w:val="ListParagraph"/>
        <w:numPr>
          <w:ilvl w:val="0"/>
          <w:numId w:val="1"/>
        </w:numPr>
      </w:pPr>
      <w:r w:rsidRPr="003F7680">
        <w:rPr>
          <w:rFonts w:cs="Calibri"/>
        </w:rPr>
        <w:t xml:space="preserve">Dyslipidaemia was defined as; previous history of dyslipidaemia or; previous prescription of lipid controlling drugs; or any of a fasting total cholesterol concentration of ≥5·2 mmol/L, HDL cholesterol ≤1·03 mmol/L, triglyceride ≥1·7 mmol/L, or LDL cholesterol ≥3·4 mmol/L on admission. </w:t>
      </w:r>
    </w:p>
    <w:p w14:paraId="06E4ADFB" w14:textId="77777777" w:rsidR="00915A1F" w:rsidRPr="003F7680" w:rsidRDefault="00915A1F" w:rsidP="00915A1F">
      <w:pPr>
        <w:pStyle w:val="ListParagraph"/>
        <w:numPr>
          <w:ilvl w:val="0"/>
          <w:numId w:val="1"/>
        </w:numPr>
      </w:pPr>
      <w:r w:rsidRPr="003F7680">
        <w:rPr>
          <w:rFonts w:cs="Calibri"/>
        </w:rPr>
        <w:t xml:space="preserve">Participants were categorised as current smokers, ex-smokers or never smoked. Smoking exposure was recorded in pack years. </w:t>
      </w:r>
    </w:p>
    <w:p w14:paraId="0DF32AF0" w14:textId="77777777" w:rsidR="00915A1F" w:rsidRPr="003F7680" w:rsidRDefault="00915A1F" w:rsidP="00915A1F">
      <w:pPr>
        <w:pStyle w:val="ListParagraph"/>
        <w:numPr>
          <w:ilvl w:val="0"/>
          <w:numId w:val="1"/>
        </w:numPr>
      </w:pPr>
      <w:r w:rsidRPr="003F7680">
        <w:rPr>
          <w:rFonts w:cs="Calibri"/>
        </w:rPr>
        <w:t xml:space="preserve">Participants were categorised as current alcohol drinkers, ex drinkers or never drank alcohol and alcohol exposure was calculated as units/week. </w:t>
      </w:r>
    </w:p>
    <w:p w14:paraId="44C2E7DE" w14:textId="77777777" w:rsidR="00915A1F" w:rsidRPr="003F7680" w:rsidRDefault="00915A1F" w:rsidP="00915A1F">
      <w:pPr>
        <w:pStyle w:val="ListParagraph"/>
        <w:numPr>
          <w:ilvl w:val="0"/>
          <w:numId w:val="1"/>
        </w:numPr>
      </w:pPr>
      <w:r w:rsidRPr="003F7680">
        <w:rPr>
          <w:rFonts w:cs="Calibri"/>
        </w:rPr>
        <w:t xml:space="preserve">Waist-to-hip ratio was </w:t>
      </w:r>
      <w:r>
        <w:t>categorised using the INTERSTROKE classifications as low (</w:t>
      </w:r>
      <w:r w:rsidRPr="003F7680">
        <w:rPr>
          <w:rFonts w:cs="Calibri"/>
        </w:rPr>
        <w:t>≤</w:t>
      </w:r>
      <w:r>
        <w:t>0.91), moderate (0.91-0.96), or high (</w:t>
      </w:r>
      <w:r w:rsidRPr="003F7680">
        <w:rPr>
          <w:rFonts w:cs="Calibri"/>
        </w:rPr>
        <w:t>≥</w:t>
      </w:r>
      <w:r>
        <w:t>0.97) for males, and low (</w:t>
      </w:r>
      <w:r w:rsidRPr="003F7680">
        <w:rPr>
          <w:rFonts w:cs="Calibri"/>
        </w:rPr>
        <w:t>≤</w:t>
      </w:r>
      <w:r>
        <w:t>0.86), moderate (0.86- 0.93), or high (</w:t>
      </w:r>
      <w:r w:rsidRPr="003F7680">
        <w:rPr>
          <w:rFonts w:cs="Calibri"/>
        </w:rPr>
        <w:t>≥</w:t>
      </w:r>
      <w:r>
        <w:t>0.93) for females.</w:t>
      </w:r>
      <w:r w:rsidRPr="003F7680">
        <w:rPr>
          <w:rFonts w:cs="Calibri"/>
        </w:rPr>
        <w:t xml:space="preserve"> </w:t>
      </w:r>
    </w:p>
    <w:p w14:paraId="04460FB6" w14:textId="77777777" w:rsidR="00915A1F" w:rsidRPr="003F7680" w:rsidRDefault="00915A1F" w:rsidP="00915A1F">
      <w:pPr>
        <w:pStyle w:val="ListParagraph"/>
        <w:numPr>
          <w:ilvl w:val="0"/>
          <w:numId w:val="1"/>
        </w:numPr>
      </w:pPr>
      <w:r w:rsidRPr="003F7680">
        <w:rPr>
          <w:rFonts w:cs="Calibri"/>
        </w:rPr>
        <w:t xml:space="preserve">Highest level of educational attainment was classified as; no school; completion of primary school; completion of Basic Education Certificate Examination (BECE); completion of West African Senior school certificate examination (WASCE); graduate degree; and </w:t>
      </w:r>
      <w:proofErr w:type="spellStart"/>
      <w:proofErr w:type="gramStart"/>
      <w:r w:rsidRPr="003F7680">
        <w:rPr>
          <w:rFonts w:cs="Calibri"/>
        </w:rPr>
        <w:t>Masters</w:t>
      </w:r>
      <w:proofErr w:type="spellEnd"/>
      <w:proofErr w:type="gramEnd"/>
      <w:r w:rsidRPr="003F7680">
        <w:rPr>
          <w:rFonts w:cs="Calibri"/>
        </w:rPr>
        <w:t xml:space="preserve"> degree or higher. A binary variable for educational attainment was created, with the cut-off completion of high school (WASCE). </w:t>
      </w:r>
    </w:p>
    <w:p w14:paraId="0ED5675A" w14:textId="77777777" w:rsidR="00915A1F" w:rsidRPr="00C10B9A" w:rsidRDefault="00915A1F" w:rsidP="00915A1F">
      <w:pPr>
        <w:pStyle w:val="ListParagraph"/>
        <w:numPr>
          <w:ilvl w:val="0"/>
          <w:numId w:val="1"/>
        </w:numPr>
      </w:pPr>
      <w:r w:rsidRPr="003F7680">
        <w:rPr>
          <w:rFonts w:cs="Calibri"/>
        </w:rPr>
        <w:t>Referral hospital was defined as tertiary and district government hospitals nationwide, or community health centres in the Western Area.</w:t>
      </w:r>
    </w:p>
    <w:p w14:paraId="7B806A76" w14:textId="088119FF" w:rsidR="00915A1F" w:rsidRDefault="00915A1F" w:rsidP="00C10B9A">
      <w:pPr>
        <w:rPr>
          <w:b/>
          <w:bCs/>
        </w:rPr>
      </w:pPr>
    </w:p>
    <w:p w14:paraId="5BCEF91E" w14:textId="77777777" w:rsidR="00915A1F" w:rsidRDefault="00915A1F" w:rsidP="00C10B9A">
      <w:pPr>
        <w:rPr>
          <w:b/>
          <w:bCs/>
        </w:rPr>
      </w:pPr>
    </w:p>
    <w:p w14:paraId="2B9D58B7" w14:textId="77777777" w:rsidR="00565613" w:rsidRDefault="00565613" w:rsidP="00C10B9A">
      <w:pPr>
        <w:rPr>
          <w:b/>
          <w:bCs/>
        </w:rPr>
      </w:pPr>
    </w:p>
    <w:p w14:paraId="02A3ACD8" w14:textId="77777777" w:rsidR="00565613" w:rsidRDefault="00565613" w:rsidP="00C10B9A">
      <w:pPr>
        <w:rPr>
          <w:b/>
          <w:bCs/>
        </w:rPr>
      </w:pPr>
    </w:p>
    <w:p w14:paraId="6A1DF15C" w14:textId="77777777" w:rsidR="00565613" w:rsidRDefault="00565613" w:rsidP="00C10B9A">
      <w:pPr>
        <w:rPr>
          <w:b/>
          <w:bCs/>
        </w:rPr>
      </w:pPr>
    </w:p>
    <w:p w14:paraId="252E5773" w14:textId="77777777" w:rsidR="00565613" w:rsidRDefault="00565613" w:rsidP="00C10B9A">
      <w:pPr>
        <w:rPr>
          <w:b/>
          <w:bCs/>
        </w:rPr>
      </w:pPr>
    </w:p>
    <w:p w14:paraId="3C465526" w14:textId="77777777" w:rsidR="00565613" w:rsidRDefault="00565613" w:rsidP="00C10B9A">
      <w:pPr>
        <w:rPr>
          <w:b/>
          <w:bCs/>
        </w:rPr>
      </w:pPr>
    </w:p>
    <w:p w14:paraId="5CB74506" w14:textId="77777777" w:rsidR="00565613" w:rsidRDefault="00565613" w:rsidP="00C10B9A">
      <w:pPr>
        <w:rPr>
          <w:b/>
          <w:bCs/>
        </w:rPr>
      </w:pPr>
    </w:p>
    <w:p w14:paraId="133C469F" w14:textId="77777777" w:rsidR="00565613" w:rsidRDefault="00565613" w:rsidP="00C10B9A">
      <w:pPr>
        <w:rPr>
          <w:b/>
          <w:bCs/>
        </w:rPr>
      </w:pPr>
    </w:p>
    <w:p w14:paraId="3AC45009" w14:textId="77777777" w:rsidR="00565613" w:rsidRDefault="00565613" w:rsidP="00C10B9A">
      <w:pPr>
        <w:rPr>
          <w:b/>
          <w:bCs/>
        </w:rPr>
      </w:pPr>
    </w:p>
    <w:p w14:paraId="5F98911B" w14:textId="77777777" w:rsidR="00565613" w:rsidRDefault="00565613" w:rsidP="00C10B9A">
      <w:pPr>
        <w:rPr>
          <w:b/>
          <w:bCs/>
        </w:rPr>
      </w:pPr>
    </w:p>
    <w:p w14:paraId="56A065D7" w14:textId="6CDC3B4F" w:rsidR="00C10B9A" w:rsidRDefault="00C10B9A" w:rsidP="00C10B9A">
      <w:pPr>
        <w:rPr>
          <w:i/>
          <w:iCs/>
        </w:rPr>
      </w:pPr>
    </w:p>
    <w:sectPr w:rsidR="00C1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02B"/>
    <w:multiLevelType w:val="hybridMultilevel"/>
    <w:tmpl w:val="854C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35E8A"/>
    <w:multiLevelType w:val="hybridMultilevel"/>
    <w:tmpl w:val="4BCC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6F"/>
    <w:rsid w:val="0020665A"/>
    <w:rsid w:val="003353BB"/>
    <w:rsid w:val="003F7680"/>
    <w:rsid w:val="0052426F"/>
    <w:rsid w:val="00565613"/>
    <w:rsid w:val="00647559"/>
    <w:rsid w:val="006C41D6"/>
    <w:rsid w:val="008318DE"/>
    <w:rsid w:val="00877A69"/>
    <w:rsid w:val="00915A1F"/>
    <w:rsid w:val="00AE7970"/>
    <w:rsid w:val="00B6180A"/>
    <w:rsid w:val="00C10B9A"/>
    <w:rsid w:val="00E0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9F20"/>
  <w15:chartTrackingRefBased/>
  <w15:docId w15:val="{27521A38-4D13-4256-B1E3-E0D32BD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6F"/>
    <w:rPr>
      <w:rFonts w:ascii="Segoe UI" w:hAnsi="Segoe UI" w:cs="Segoe UI"/>
      <w:sz w:val="18"/>
      <w:szCs w:val="18"/>
    </w:rPr>
  </w:style>
  <w:style w:type="paragraph" w:styleId="ListParagraph">
    <w:name w:val="List Paragraph"/>
    <w:basedOn w:val="Normal"/>
    <w:uiPriority w:val="34"/>
    <w:qFormat/>
    <w:rsid w:val="003F7680"/>
    <w:pPr>
      <w:ind w:left="720"/>
      <w:contextualSpacing/>
    </w:pPr>
  </w:style>
  <w:style w:type="character" w:styleId="CommentReference">
    <w:name w:val="annotation reference"/>
    <w:uiPriority w:val="99"/>
    <w:rsid w:val="00C10B9A"/>
    <w:rPr>
      <w:sz w:val="16"/>
      <w:szCs w:val="16"/>
    </w:rPr>
  </w:style>
  <w:style w:type="paragraph" w:styleId="CommentText">
    <w:name w:val="annotation text"/>
    <w:basedOn w:val="Normal"/>
    <w:link w:val="CommentTextChar1"/>
    <w:uiPriority w:val="99"/>
    <w:rsid w:val="00C10B9A"/>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uiPriority w:val="99"/>
    <w:semiHidden/>
    <w:rsid w:val="00C10B9A"/>
    <w:rPr>
      <w:sz w:val="20"/>
      <w:szCs w:val="20"/>
    </w:rPr>
  </w:style>
  <w:style w:type="character" w:customStyle="1" w:styleId="CommentTextChar1">
    <w:name w:val="Comment Text Char1"/>
    <w:link w:val="CommentText"/>
    <w:uiPriority w:val="99"/>
    <w:rsid w:val="00C10B9A"/>
    <w:rPr>
      <w:rFonts w:ascii="Calibri" w:eastAsia="Calibri" w:hAnsi="Calibri" w:cs="Times New Roman"/>
      <w:sz w:val="20"/>
      <w:szCs w:val="20"/>
    </w:rPr>
  </w:style>
  <w:style w:type="paragraph" w:customStyle="1" w:styleId="EndNoteBibliography">
    <w:name w:val="EndNote Bibliography"/>
    <w:basedOn w:val="Normal"/>
    <w:rsid w:val="00B6180A"/>
    <w:pPr>
      <w:suppressAutoHyphens/>
      <w:autoSpaceDN w:val="0"/>
      <w:spacing w:line="240" w:lineRule="auto"/>
      <w:textAlignment w:val="baseline"/>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Youkee, Daniel</dc:creator>
  <cp:keywords/>
  <dc:description/>
  <cp:lastModifiedBy>Youkee, Daniel</cp:lastModifiedBy>
  <cp:revision>2</cp:revision>
  <dcterms:created xsi:type="dcterms:W3CDTF">2021-07-05T07:43:00Z</dcterms:created>
  <dcterms:modified xsi:type="dcterms:W3CDTF">2021-07-05T07:43:00Z</dcterms:modified>
</cp:coreProperties>
</file>