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7D" w:rsidRPr="001C44BD" w:rsidRDefault="00AC167D" w:rsidP="00AC167D">
      <w:pPr>
        <w:spacing w:line="480" w:lineRule="auto"/>
        <w:jc w:val="center"/>
        <w:rPr>
          <w:b/>
          <w:bCs/>
          <w:sz w:val="22"/>
          <w:szCs w:val="22"/>
        </w:rPr>
      </w:pPr>
      <w:r w:rsidRPr="001C44BD">
        <w:rPr>
          <w:rFonts w:hint="eastAsia"/>
          <w:b/>
          <w:bCs/>
          <w:sz w:val="22"/>
          <w:szCs w:val="22"/>
        </w:rPr>
        <w:t>G</w:t>
      </w:r>
      <w:r w:rsidRPr="001C44BD">
        <w:rPr>
          <w:b/>
          <w:bCs/>
          <w:sz w:val="22"/>
          <w:szCs w:val="22"/>
        </w:rPr>
        <w:t xml:space="preserve">eneration of </w:t>
      </w:r>
      <w:r w:rsidRPr="001C44BD">
        <w:rPr>
          <w:rFonts w:hint="eastAsia"/>
          <w:b/>
          <w:bCs/>
          <w:sz w:val="22"/>
          <w:szCs w:val="22"/>
        </w:rPr>
        <w:t xml:space="preserve">multipotential </w:t>
      </w:r>
      <w:r>
        <w:rPr>
          <w:b/>
          <w:bCs/>
          <w:sz w:val="22"/>
          <w:szCs w:val="22"/>
        </w:rPr>
        <w:t>NG2 progenitors</w:t>
      </w:r>
      <w:r w:rsidRPr="001C44BD">
        <w:rPr>
          <w:b/>
          <w:bCs/>
          <w:sz w:val="22"/>
          <w:szCs w:val="22"/>
        </w:rPr>
        <w:t>from mouse embryonic stem cell-derived neural stem cells</w:t>
      </w:r>
    </w:p>
    <w:p w:rsidR="00AF2168" w:rsidRPr="00A72EF9" w:rsidRDefault="00AF2168" w:rsidP="00AF2168">
      <w:pPr>
        <w:spacing w:line="480" w:lineRule="auto"/>
        <w:rPr>
          <w:sz w:val="22"/>
          <w:szCs w:val="22"/>
        </w:rPr>
      </w:pPr>
    </w:p>
    <w:p w:rsidR="00AF2168" w:rsidRPr="00A72EF9" w:rsidRDefault="00AF2168" w:rsidP="00AF2168">
      <w:pPr>
        <w:spacing w:line="480" w:lineRule="auto"/>
        <w:jc w:val="center"/>
        <w:outlineLvl w:val="0"/>
        <w:rPr>
          <w:sz w:val="22"/>
          <w:szCs w:val="22"/>
        </w:rPr>
      </w:pPr>
      <w:r w:rsidRPr="00A72EF9">
        <w:rPr>
          <w:sz w:val="22"/>
          <w:szCs w:val="22"/>
        </w:rPr>
        <w:t>Masahiro Otsu</w:t>
      </w:r>
      <w:r w:rsidRPr="00A72EF9">
        <w:rPr>
          <w:sz w:val="22"/>
          <w:szCs w:val="22"/>
          <w:vertAlign w:val="superscript"/>
        </w:rPr>
        <w:t>1,2</w:t>
      </w:r>
      <w:r w:rsidRPr="00A72EF9">
        <w:rPr>
          <w:sz w:val="22"/>
          <w:szCs w:val="22"/>
        </w:rPr>
        <w:t>, Zubair Ahmed</w:t>
      </w:r>
      <w:r w:rsidRPr="00A72EF9">
        <w:rPr>
          <w:sz w:val="22"/>
          <w:szCs w:val="22"/>
          <w:vertAlign w:val="superscript"/>
        </w:rPr>
        <w:t>1</w:t>
      </w:r>
      <w:r w:rsidRPr="00A72EF9">
        <w:rPr>
          <w:sz w:val="22"/>
          <w:szCs w:val="22"/>
        </w:rPr>
        <w:t xml:space="preserve"> and Daniel Fulton</w:t>
      </w:r>
      <w:r w:rsidRPr="00A72EF9">
        <w:rPr>
          <w:sz w:val="22"/>
          <w:szCs w:val="22"/>
          <w:vertAlign w:val="superscript"/>
        </w:rPr>
        <w:t>1</w:t>
      </w:r>
      <w:r w:rsidRPr="00A72EF9">
        <w:rPr>
          <w:sz w:val="22"/>
          <w:szCs w:val="22"/>
        </w:rPr>
        <w:t>*</w:t>
      </w:r>
    </w:p>
    <w:p w:rsidR="00AF2168" w:rsidRPr="00A72EF9" w:rsidRDefault="00AF2168" w:rsidP="00AF2168">
      <w:pPr>
        <w:spacing w:line="480" w:lineRule="auto"/>
        <w:jc w:val="center"/>
        <w:rPr>
          <w:sz w:val="22"/>
          <w:szCs w:val="22"/>
        </w:rPr>
      </w:pPr>
    </w:p>
    <w:p w:rsidR="00AF2168" w:rsidRPr="00630142" w:rsidRDefault="00AF2168" w:rsidP="00AF2168">
      <w:pPr>
        <w:spacing w:line="480" w:lineRule="auto"/>
        <w:rPr>
          <w:sz w:val="22"/>
          <w:szCs w:val="22"/>
        </w:rPr>
      </w:pPr>
      <w:r w:rsidRPr="00A72EF9">
        <w:rPr>
          <w:sz w:val="22"/>
          <w:szCs w:val="22"/>
          <w:vertAlign w:val="superscript"/>
        </w:rPr>
        <w:t>1</w:t>
      </w:r>
      <w:r w:rsidRPr="00A72EF9">
        <w:rPr>
          <w:sz w:val="22"/>
          <w:szCs w:val="22"/>
        </w:rPr>
        <w:t xml:space="preserve">Neuroscience and Ophthalmology Research Group, Institute of Inflammation and Ageing, College of Medical and Dental Sciences, University of Birmingham, Edgbaston, Birmingham B15 2TT, UK. </w:t>
      </w:r>
      <w:r w:rsidRPr="00A72EF9">
        <w:rPr>
          <w:sz w:val="22"/>
          <w:szCs w:val="22"/>
          <w:vertAlign w:val="superscript"/>
        </w:rPr>
        <w:t xml:space="preserve">2 </w:t>
      </w:r>
      <w:r w:rsidRPr="00630142">
        <w:rPr>
          <w:sz w:val="22"/>
          <w:szCs w:val="22"/>
        </w:rPr>
        <w:t xml:space="preserve">present address Braizon Therapeutics, Inc. Kanagawa, Japan. </w:t>
      </w:r>
      <w:r w:rsidRPr="00A72EF9">
        <w:rPr>
          <w:sz w:val="22"/>
          <w:szCs w:val="22"/>
          <w:u w:val="single"/>
        </w:rPr>
        <w:t>*To whom correspondence should be addressed</w:t>
      </w:r>
      <w:r w:rsidRPr="00A72EF9">
        <w:rPr>
          <w:b/>
          <w:sz w:val="22"/>
          <w:szCs w:val="22"/>
        </w:rPr>
        <w:t xml:space="preserve">. </w:t>
      </w:r>
      <w:r w:rsidRPr="00A72EF9">
        <w:rPr>
          <w:i/>
          <w:sz w:val="22"/>
          <w:szCs w:val="22"/>
        </w:rPr>
        <w:t>Tel</w:t>
      </w:r>
      <w:r w:rsidRPr="00A72EF9">
        <w:rPr>
          <w:sz w:val="22"/>
          <w:szCs w:val="22"/>
        </w:rPr>
        <w:t xml:space="preserve">: +44-121-455-48441; </w:t>
      </w:r>
      <w:r w:rsidRPr="00A72EF9">
        <w:rPr>
          <w:i/>
          <w:sz w:val="22"/>
          <w:szCs w:val="22"/>
        </w:rPr>
        <w:t>Fax</w:t>
      </w:r>
      <w:r w:rsidRPr="00A72EF9">
        <w:rPr>
          <w:sz w:val="22"/>
          <w:szCs w:val="22"/>
        </w:rPr>
        <w:t>: +44-1214-148-867</w:t>
      </w:r>
      <w:r w:rsidRPr="00A72EF9">
        <w:rPr>
          <w:i/>
          <w:sz w:val="22"/>
          <w:szCs w:val="22"/>
        </w:rPr>
        <w:t>E-mail</w:t>
      </w:r>
      <w:r w:rsidRPr="00A72EF9">
        <w:rPr>
          <w:sz w:val="22"/>
          <w:szCs w:val="22"/>
        </w:rPr>
        <w:t xml:space="preserve">: </w:t>
      </w:r>
      <w:hyperlink r:id="rId7" w:history="1">
        <w:r w:rsidRPr="00A72EF9">
          <w:rPr>
            <w:rStyle w:val="Hyperlink"/>
            <w:sz w:val="22"/>
            <w:szCs w:val="22"/>
          </w:rPr>
          <w:t>d.fulton@bham.ac.uk</w:t>
        </w:r>
      </w:hyperlink>
      <w:r w:rsidRPr="00A72EF9">
        <w:rPr>
          <w:sz w:val="22"/>
          <w:szCs w:val="22"/>
        </w:rPr>
        <w:t xml:space="preserve">. </w:t>
      </w:r>
    </w:p>
    <w:p w:rsidR="00AF2168" w:rsidRPr="00630142" w:rsidRDefault="00AF2168" w:rsidP="00AF2168">
      <w:pPr>
        <w:spacing w:line="480" w:lineRule="auto"/>
        <w:rPr>
          <w:sz w:val="22"/>
          <w:szCs w:val="22"/>
        </w:rPr>
      </w:pPr>
    </w:p>
    <w:p w:rsidR="00AF2168" w:rsidRPr="0096647C" w:rsidRDefault="00AF2168" w:rsidP="00AF2168">
      <w:pPr>
        <w:spacing w:line="480" w:lineRule="auto"/>
        <w:rPr>
          <w:sz w:val="22"/>
          <w:szCs w:val="22"/>
        </w:rPr>
      </w:pPr>
      <w:r w:rsidRPr="00A72EF9">
        <w:rPr>
          <w:b/>
          <w:sz w:val="22"/>
          <w:szCs w:val="22"/>
          <w:u w:val="single"/>
        </w:rPr>
        <w:t>Keywords:</w:t>
      </w:r>
      <w:r w:rsidRPr="000C0031">
        <w:rPr>
          <w:sz w:val="22"/>
          <w:szCs w:val="22"/>
        </w:rPr>
        <w:t xml:space="preserve"> oligodendrocyte precursor cell, oligodendrocyte, oligodendrocyte lineage cells, embryonic stem cell, neural stem cell, NG2</w:t>
      </w:r>
      <w:r w:rsidRPr="0096647C">
        <w:rPr>
          <w:sz w:val="22"/>
          <w:szCs w:val="22"/>
        </w:rPr>
        <w:t>glia, PDGFR</w:t>
      </w:r>
      <w:r w:rsidR="00835631" w:rsidRPr="0096647C">
        <w:rPr>
          <w:rFonts w:hint="eastAsia"/>
          <w:sz w:val="22"/>
          <w:szCs w:val="22"/>
        </w:rPr>
        <w:t>α</w:t>
      </w:r>
      <w:r w:rsidRPr="0096647C">
        <w:rPr>
          <w:sz w:val="22"/>
          <w:szCs w:val="22"/>
        </w:rPr>
        <w:t>, Gpr17, multipotential</w:t>
      </w:r>
    </w:p>
    <w:p w:rsidR="00DD45E4" w:rsidRPr="00630142" w:rsidRDefault="00DD45E4">
      <w:pPr>
        <w:rPr>
          <w:sz w:val="22"/>
          <w:szCs w:val="22"/>
        </w:rPr>
      </w:pPr>
      <w:r w:rsidRPr="00630142">
        <w:rPr>
          <w:sz w:val="22"/>
          <w:szCs w:val="22"/>
        </w:rPr>
        <w:br w:type="page"/>
      </w:r>
    </w:p>
    <w:p w:rsidR="00DD45E4" w:rsidRPr="00630142" w:rsidRDefault="00DD45E4" w:rsidP="00DD45E4">
      <w:pPr>
        <w:spacing w:line="480" w:lineRule="auto"/>
        <w:outlineLvl w:val="0"/>
        <w:rPr>
          <w:b/>
          <w:bCs/>
          <w:sz w:val="22"/>
          <w:szCs w:val="22"/>
        </w:rPr>
      </w:pPr>
      <w:r w:rsidRPr="00630142">
        <w:rPr>
          <w:b/>
          <w:bCs/>
          <w:sz w:val="22"/>
          <w:szCs w:val="22"/>
        </w:rPr>
        <w:lastRenderedPageBreak/>
        <w:t>Supplementary Material</w:t>
      </w:r>
    </w:p>
    <w:p w:rsidR="00DD45E4" w:rsidRPr="00630142" w:rsidRDefault="00DD45E4" w:rsidP="00DD45E4">
      <w:pPr>
        <w:spacing w:line="480" w:lineRule="auto"/>
        <w:outlineLvl w:val="0"/>
        <w:rPr>
          <w:b/>
          <w:bCs/>
          <w:sz w:val="22"/>
          <w:szCs w:val="22"/>
        </w:rPr>
      </w:pPr>
    </w:p>
    <w:p w:rsidR="00DD45E4" w:rsidRPr="00630142" w:rsidRDefault="00DD45E4" w:rsidP="00DD45E4">
      <w:pPr>
        <w:spacing w:line="480" w:lineRule="auto"/>
        <w:outlineLvl w:val="0"/>
        <w:rPr>
          <w:b/>
          <w:bCs/>
          <w:sz w:val="22"/>
          <w:szCs w:val="22"/>
        </w:rPr>
      </w:pPr>
      <w:r w:rsidRPr="00630142">
        <w:rPr>
          <w:b/>
          <w:bCs/>
          <w:sz w:val="22"/>
          <w:szCs w:val="22"/>
        </w:rPr>
        <w:t>Supplementary Figure Legends</w:t>
      </w:r>
    </w:p>
    <w:p w:rsidR="00DD45E4" w:rsidRPr="00630142" w:rsidRDefault="00DD45E4" w:rsidP="00DD45E4">
      <w:pPr>
        <w:spacing w:line="480" w:lineRule="auto"/>
        <w:outlineLvl w:val="0"/>
        <w:rPr>
          <w:b/>
          <w:bCs/>
          <w:sz w:val="22"/>
          <w:szCs w:val="22"/>
        </w:rPr>
      </w:pPr>
    </w:p>
    <w:p w:rsidR="00DD45E4" w:rsidRPr="00630142" w:rsidRDefault="00DD45E4" w:rsidP="0005084D">
      <w:pPr>
        <w:spacing w:line="480" w:lineRule="auto"/>
        <w:rPr>
          <w:b/>
          <w:bCs/>
          <w:sz w:val="22"/>
          <w:szCs w:val="22"/>
        </w:rPr>
      </w:pPr>
      <w:r w:rsidRPr="00630142">
        <w:rPr>
          <w:b/>
          <w:bCs/>
          <w:sz w:val="22"/>
          <w:szCs w:val="22"/>
        </w:rPr>
        <w:t xml:space="preserve">Supplementary Figure </w:t>
      </w:r>
      <w:r w:rsidR="0004356F">
        <w:rPr>
          <w:b/>
          <w:bCs/>
          <w:sz w:val="22"/>
          <w:szCs w:val="22"/>
        </w:rPr>
        <w:t>1</w:t>
      </w:r>
      <w:r w:rsidRPr="00630142">
        <w:rPr>
          <w:b/>
          <w:bCs/>
          <w:sz w:val="22"/>
          <w:szCs w:val="22"/>
        </w:rPr>
        <w:t xml:space="preserve">. Schematic representation of </w:t>
      </w:r>
      <w:r w:rsidR="0005084D">
        <w:rPr>
          <w:b/>
          <w:bCs/>
          <w:sz w:val="22"/>
          <w:szCs w:val="22"/>
        </w:rPr>
        <w:t xml:space="preserve">culture protocols </w:t>
      </w:r>
    </w:p>
    <w:p w:rsidR="00DD45E4" w:rsidRPr="00630142" w:rsidRDefault="00B708ED" w:rsidP="00DD45E4">
      <w:pPr>
        <w:spacing w:line="480" w:lineRule="auto"/>
        <w:rPr>
          <w:sz w:val="22"/>
          <w:szCs w:val="22"/>
        </w:rPr>
      </w:pPr>
      <w:r w:rsidRPr="00630142">
        <w:rPr>
          <w:sz w:val="22"/>
          <w:szCs w:val="22"/>
        </w:rPr>
        <w:t xml:space="preserve">Schematic </w:t>
      </w:r>
      <w:r w:rsidR="0005084D">
        <w:rPr>
          <w:sz w:val="22"/>
          <w:szCs w:val="22"/>
        </w:rPr>
        <w:t>depicting the culture protocols used to generate NOP, NOP-derived cells, and NSC-derived neural cell populations from NSC</w:t>
      </w:r>
      <w:r w:rsidR="00DD45E4" w:rsidRPr="00630142">
        <w:rPr>
          <w:sz w:val="22"/>
          <w:szCs w:val="22"/>
        </w:rPr>
        <w:t xml:space="preserve">. </w:t>
      </w:r>
      <w:r w:rsidR="001011F5">
        <w:rPr>
          <w:sz w:val="22"/>
          <w:szCs w:val="22"/>
        </w:rPr>
        <w:t>NSC are maintained as a homogenous population by culture in medium containing FGF-2. NSC are converted to the neural cell population containing astrocytes, neurons and NG2</w:t>
      </w:r>
      <w:r w:rsidR="001011F5">
        <w:rPr>
          <w:sz w:val="22"/>
          <w:szCs w:val="22"/>
          <w:vertAlign w:val="superscript"/>
        </w:rPr>
        <w:t>+</w:t>
      </w:r>
      <w:r w:rsidR="001011F5">
        <w:rPr>
          <w:sz w:val="22"/>
          <w:szCs w:val="22"/>
        </w:rPr>
        <w:t xml:space="preserve"> cells by culturing in med</w:t>
      </w:r>
      <w:r w:rsidR="00327963">
        <w:rPr>
          <w:sz w:val="22"/>
          <w:szCs w:val="22"/>
        </w:rPr>
        <w:t>i</w:t>
      </w:r>
      <w:r w:rsidR="001011F5">
        <w:rPr>
          <w:sz w:val="22"/>
          <w:szCs w:val="22"/>
        </w:rPr>
        <w:t>um lacking FGF-2 for 6 days. NSC are converted to NG2</w:t>
      </w:r>
      <w:r w:rsidR="001011F5">
        <w:rPr>
          <w:sz w:val="22"/>
          <w:szCs w:val="22"/>
          <w:vertAlign w:val="superscript"/>
        </w:rPr>
        <w:t>+</w:t>
      </w:r>
      <w:r w:rsidR="001011F5">
        <w:rPr>
          <w:sz w:val="22"/>
          <w:szCs w:val="22"/>
        </w:rPr>
        <w:t>/OLIG2</w:t>
      </w:r>
      <w:r w:rsidR="001011F5">
        <w:rPr>
          <w:sz w:val="22"/>
          <w:szCs w:val="22"/>
          <w:vertAlign w:val="superscript"/>
        </w:rPr>
        <w:t>+</w:t>
      </w:r>
      <w:r w:rsidR="001011F5">
        <w:rPr>
          <w:sz w:val="22"/>
          <w:szCs w:val="22"/>
        </w:rPr>
        <w:t xml:space="preserve"> progenitors (NOP) by culture in OPC medium containing IGF-1 and PDGF-AA for 7 days. NOP grown in OL medium lacking growth factors and supplemented with T3 differentiate into a population of oligodendroglial lineage cells including committed OPC and differentiated OL. NOP undergo neurogenesis when grown in medium lacking growth factors, and can also be converted to astrocyte-like cells by sustained stimulation with BMP4 and LIF.  </w:t>
      </w:r>
    </w:p>
    <w:p w:rsidR="00DD45E4" w:rsidRDefault="00DD45E4" w:rsidP="00DD45E4">
      <w:pPr>
        <w:spacing w:line="480" w:lineRule="auto"/>
        <w:outlineLvl w:val="0"/>
        <w:rPr>
          <w:b/>
          <w:bCs/>
          <w:sz w:val="22"/>
          <w:szCs w:val="22"/>
        </w:rPr>
      </w:pPr>
    </w:p>
    <w:p w:rsidR="00AC167D" w:rsidRDefault="00AC167D" w:rsidP="00AC167D">
      <w:pPr>
        <w:spacing w:line="480" w:lineRule="auto"/>
        <w:rPr>
          <w:b/>
          <w:bCs/>
          <w:sz w:val="20"/>
          <w:szCs w:val="20"/>
        </w:rPr>
      </w:pPr>
      <w:r>
        <w:rPr>
          <w:b/>
          <w:bCs/>
          <w:sz w:val="20"/>
          <w:szCs w:val="20"/>
        </w:rPr>
        <w:t xml:space="preserve">Supplementary Figure 2. Schematic representation of oligodendrocyte cell lineage identified by marker proteins and genes during </w:t>
      </w:r>
      <w:r w:rsidR="00F22C80" w:rsidRPr="00F22C80">
        <w:rPr>
          <w:b/>
          <w:bCs/>
          <w:sz w:val="20"/>
          <w:szCs w:val="20"/>
        </w:rPr>
        <w:t>oligogenesis</w:t>
      </w:r>
    </w:p>
    <w:p w:rsidR="00AC167D" w:rsidRDefault="00AC167D" w:rsidP="00AC167D">
      <w:pPr>
        <w:spacing w:line="480" w:lineRule="auto"/>
        <w:rPr>
          <w:sz w:val="20"/>
          <w:szCs w:val="20"/>
        </w:rPr>
      </w:pPr>
      <w:r>
        <w:rPr>
          <w:sz w:val="20"/>
          <w:szCs w:val="20"/>
        </w:rPr>
        <w:t xml:space="preserve">Schematic of the oligodendroglial lineage spanning </w:t>
      </w:r>
      <w:r>
        <w:rPr>
          <w:rFonts w:hint="eastAsia"/>
          <w:sz w:val="20"/>
          <w:szCs w:val="20"/>
        </w:rPr>
        <w:t>NSC</w:t>
      </w:r>
      <w:r>
        <w:rPr>
          <w:sz w:val="20"/>
          <w:szCs w:val="20"/>
        </w:rPr>
        <w:t xml:space="preserve"> to differentiated oligodendrocyte via early and late OPC, and depicting the stage specific expression patterns for key marker genes and proteins during this process. Colour intensity of each marker shows the degree of expression at each stage.</w:t>
      </w:r>
    </w:p>
    <w:p w:rsidR="00AC167D" w:rsidRPr="00630142" w:rsidRDefault="00AC167D" w:rsidP="00DD45E4">
      <w:pPr>
        <w:spacing w:line="480" w:lineRule="auto"/>
        <w:outlineLvl w:val="0"/>
        <w:rPr>
          <w:b/>
          <w:bCs/>
          <w:sz w:val="22"/>
          <w:szCs w:val="22"/>
        </w:rPr>
      </w:pPr>
    </w:p>
    <w:p w:rsidR="000C0031" w:rsidRDefault="000C0031" w:rsidP="000C0031">
      <w:pPr>
        <w:spacing w:line="480" w:lineRule="auto"/>
        <w:outlineLvl w:val="0"/>
        <w:rPr>
          <w:b/>
          <w:bCs/>
          <w:sz w:val="22"/>
          <w:szCs w:val="22"/>
        </w:rPr>
      </w:pPr>
      <w:r w:rsidRPr="00035B3C">
        <w:rPr>
          <w:b/>
          <w:bCs/>
          <w:sz w:val="22"/>
          <w:szCs w:val="22"/>
        </w:rPr>
        <w:t xml:space="preserve">Supplementary Figure </w:t>
      </w:r>
      <w:r w:rsidR="00AC167D">
        <w:rPr>
          <w:b/>
          <w:bCs/>
          <w:sz w:val="22"/>
          <w:szCs w:val="22"/>
        </w:rPr>
        <w:t>3</w:t>
      </w:r>
      <w:r w:rsidRPr="00035B3C">
        <w:rPr>
          <w:b/>
          <w:bCs/>
          <w:sz w:val="22"/>
          <w:szCs w:val="22"/>
        </w:rPr>
        <w:t xml:space="preserve">. </w:t>
      </w:r>
      <w:r w:rsidR="00D32C55">
        <w:rPr>
          <w:b/>
          <w:bCs/>
          <w:sz w:val="22"/>
          <w:szCs w:val="22"/>
        </w:rPr>
        <w:t xml:space="preserve">Imaging pOPC and </w:t>
      </w:r>
      <w:r>
        <w:rPr>
          <w:b/>
          <w:bCs/>
          <w:sz w:val="22"/>
          <w:szCs w:val="22"/>
        </w:rPr>
        <w:t xml:space="preserve">NOP differentiation in DRGN co-cultures </w:t>
      </w:r>
    </w:p>
    <w:p w:rsidR="00554B00" w:rsidRPr="00035B3C" w:rsidRDefault="0083309B" w:rsidP="00554B00">
      <w:pPr>
        <w:spacing w:line="480" w:lineRule="auto"/>
        <w:outlineLvl w:val="0"/>
        <w:rPr>
          <w:rFonts w:eastAsiaTheme="minorEastAsia"/>
          <w:sz w:val="22"/>
          <w:szCs w:val="22"/>
          <w:lang w:eastAsia="ja-JP"/>
        </w:rPr>
      </w:pPr>
      <w:r>
        <w:rPr>
          <w:rFonts w:eastAsiaTheme="minorEastAsia"/>
          <w:sz w:val="22"/>
          <w:szCs w:val="22"/>
          <w:lang w:eastAsia="ja-JP"/>
        </w:rPr>
        <w:t>I</w:t>
      </w:r>
      <w:r w:rsidR="000C0031" w:rsidRPr="00035B3C">
        <w:rPr>
          <w:rFonts w:eastAsiaTheme="minorEastAsia"/>
          <w:sz w:val="22"/>
          <w:szCs w:val="22"/>
          <w:lang w:eastAsia="ja-JP"/>
        </w:rPr>
        <w:t xml:space="preserve">mages of immunofluorescent staining for myelin basic protein (MBP, myelin), and neurofilament heavy-chain polypeptide (NF, axons) </w:t>
      </w:r>
      <w:r w:rsidR="000C0031">
        <w:rPr>
          <w:rFonts w:eastAsiaTheme="minorEastAsia"/>
          <w:sz w:val="22"/>
          <w:szCs w:val="22"/>
          <w:lang w:eastAsia="ja-JP"/>
        </w:rPr>
        <w:t>in DRGN cultures seeded with pOPC (</w:t>
      </w:r>
      <w:r w:rsidR="00771F82">
        <w:rPr>
          <w:rFonts w:eastAsiaTheme="minorEastAsia"/>
          <w:sz w:val="22"/>
          <w:szCs w:val="22"/>
          <w:lang w:eastAsia="ja-JP"/>
        </w:rPr>
        <w:t>A&amp;B</w:t>
      </w:r>
      <w:r w:rsidR="000C0031">
        <w:rPr>
          <w:rFonts w:eastAsiaTheme="minorEastAsia"/>
          <w:sz w:val="22"/>
          <w:szCs w:val="22"/>
          <w:lang w:eastAsia="ja-JP"/>
        </w:rPr>
        <w:t>)</w:t>
      </w:r>
      <w:r w:rsidR="00DA0E53">
        <w:rPr>
          <w:rFonts w:eastAsiaTheme="minorEastAsia"/>
          <w:sz w:val="22"/>
          <w:szCs w:val="22"/>
          <w:lang w:eastAsia="ja-JP"/>
        </w:rPr>
        <w:t>, NSC (C)</w:t>
      </w:r>
      <w:r w:rsidR="000C0031">
        <w:rPr>
          <w:rFonts w:eastAsiaTheme="minorEastAsia"/>
          <w:sz w:val="22"/>
          <w:szCs w:val="22"/>
          <w:lang w:eastAsia="ja-JP"/>
        </w:rPr>
        <w:t xml:space="preserve"> and NOP (</w:t>
      </w:r>
      <w:r w:rsidR="00DA0E53">
        <w:rPr>
          <w:rFonts w:eastAsiaTheme="minorEastAsia"/>
          <w:sz w:val="22"/>
          <w:szCs w:val="22"/>
          <w:lang w:eastAsia="ja-JP"/>
        </w:rPr>
        <w:t>D</w:t>
      </w:r>
      <w:r w:rsidR="000C0031">
        <w:rPr>
          <w:rFonts w:eastAsiaTheme="minorEastAsia"/>
          <w:sz w:val="22"/>
          <w:szCs w:val="22"/>
          <w:lang w:eastAsia="ja-JP"/>
        </w:rPr>
        <w:t xml:space="preserve">). </w:t>
      </w:r>
      <w:r w:rsidR="005F432C">
        <w:rPr>
          <w:rFonts w:eastAsiaTheme="minorEastAsia"/>
          <w:sz w:val="22"/>
          <w:szCs w:val="22"/>
          <w:lang w:eastAsia="ja-JP"/>
        </w:rPr>
        <w:t>White arrows indicate MBP</w:t>
      </w:r>
      <w:r w:rsidR="005F432C">
        <w:rPr>
          <w:rFonts w:eastAsiaTheme="minorEastAsia"/>
          <w:sz w:val="22"/>
          <w:szCs w:val="22"/>
          <w:vertAlign w:val="superscript"/>
          <w:lang w:eastAsia="ja-JP"/>
        </w:rPr>
        <w:t>+</w:t>
      </w:r>
      <w:r w:rsidR="005F432C">
        <w:rPr>
          <w:rFonts w:eastAsiaTheme="minorEastAsia"/>
          <w:sz w:val="22"/>
          <w:szCs w:val="22"/>
          <w:lang w:eastAsia="ja-JP"/>
        </w:rPr>
        <w:t xml:space="preserve"> OL. </w:t>
      </w:r>
      <w:r w:rsidR="000C0031">
        <w:rPr>
          <w:rFonts w:eastAsiaTheme="minorEastAsia"/>
          <w:sz w:val="22"/>
          <w:szCs w:val="22"/>
          <w:lang w:eastAsia="ja-JP"/>
        </w:rPr>
        <w:t>MBP</w:t>
      </w:r>
      <w:r w:rsidR="000C0031">
        <w:rPr>
          <w:rFonts w:eastAsiaTheme="minorEastAsia"/>
          <w:sz w:val="22"/>
          <w:szCs w:val="22"/>
          <w:vertAlign w:val="superscript"/>
          <w:lang w:eastAsia="ja-JP"/>
        </w:rPr>
        <w:t>+</w:t>
      </w:r>
      <w:r w:rsidR="000C0031">
        <w:rPr>
          <w:rFonts w:eastAsiaTheme="minorEastAsia"/>
          <w:sz w:val="22"/>
          <w:szCs w:val="22"/>
          <w:lang w:eastAsia="ja-JP"/>
        </w:rPr>
        <w:t xml:space="preserve"> OL were </w:t>
      </w:r>
      <w:r w:rsidR="00554B00">
        <w:rPr>
          <w:rFonts w:eastAsiaTheme="minorEastAsia"/>
          <w:sz w:val="22"/>
          <w:szCs w:val="22"/>
          <w:lang w:eastAsia="ja-JP"/>
        </w:rPr>
        <w:t>easily</w:t>
      </w:r>
      <w:r w:rsidR="000C0031">
        <w:rPr>
          <w:rFonts w:eastAsiaTheme="minorEastAsia"/>
          <w:sz w:val="22"/>
          <w:szCs w:val="22"/>
          <w:lang w:eastAsia="ja-JP"/>
        </w:rPr>
        <w:t xml:space="preserve"> observed in co-cultures seeded</w:t>
      </w:r>
      <w:r w:rsidR="00554B00">
        <w:rPr>
          <w:rFonts w:eastAsiaTheme="minorEastAsia"/>
          <w:sz w:val="22"/>
          <w:szCs w:val="22"/>
          <w:lang w:eastAsia="ja-JP"/>
        </w:rPr>
        <w:t xml:space="preserve"> with pOPC</w:t>
      </w:r>
      <w:r w:rsidR="00DA0E53">
        <w:rPr>
          <w:rFonts w:eastAsiaTheme="minorEastAsia"/>
          <w:sz w:val="22"/>
          <w:szCs w:val="22"/>
          <w:lang w:eastAsia="ja-JP"/>
        </w:rPr>
        <w:t xml:space="preserve"> (A&amp;B)</w:t>
      </w:r>
      <w:r w:rsidR="00554B00">
        <w:rPr>
          <w:rFonts w:eastAsiaTheme="minorEastAsia"/>
          <w:sz w:val="22"/>
          <w:szCs w:val="22"/>
          <w:lang w:eastAsia="ja-JP"/>
        </w:rPr>
        <w:t>. In these cultures differentiated OL were seen to align MBP</w:t>
      </w:r>
      <w:r w:rsidR="00554B00">
        <w:rPr>
          <w:rFonts w:eastAsiaTheme="minorEastAsia"/>
          <w:sz w:val="22"/>
          <w:szCs w:val="22"/>
          <w:vertAlign w:val="superscript"/>
          <w:lang w:eastAsia="ja-JP"/>
        </w:rPr>
        <w:t>+</w:t>
      </w:r>
      <w:r w:rsidR="00554B00">
        <w:rPr>
          <w:rFonts w:eastAsiaTheme="minorEastAsia"/>
          <w:sz w:val="22"/>
          <w:szCs w:val="22"/>
          <w:lang w:eastAsia="ja-JP"/>
        </w:rPr>
        <w:t xml:space="preserve"> profiles with NF</w:t>
      </w:r>
      <w:r w:rsidR="00554B00">
        <w:rPr>
          <w:rFonts w:eastAsiaTheme="minorEastAsia"/>
          <w:sz w:val="22"/>
          <w:szCs w:val="22"/>
          <w:vertAlign w:val="superscript"/>
          <w:lang w:eastAsia="ja-JP"/>
        </w:rPr>
        <w:t>+</w:t>
      </w:r>
      <w:r w:rsidR="00554B00">
        <w:rPr>
          <w:rFonts w:eastAsiaTheme="minorEastAsia"/>
          <w:sz w:val="22"/>
          <w:szCs w:val="22"/>
          <w:lang w:eastAsia="ja-JP"/>
        </w:rPr>
        <w:t xml:space="preserve"> DRGN axons</w:t>
      </w:r>
      <w:r w:rsidR="0096647C">
        <w:rPr>
          <w:rFonts w:eastAsiaTheme="minorEastAsia"/>
          <w:sz w:val="22"/>
          <w:szCs w:val="22"/>
          <w:lang w:eastAsia="ja-JP"/>
        </w:rPr>
        <w:t xml:space="preserve"> (yellow profiles)</w:t>
      </w:r>
      <w:r w:rsidR="00554B00">
        <w:rPr>
          <w:rFonts w:eastAsiaTheme="minorEastAsia"/>
          <w:sz w:val="22"/>
          <w:szCs w:val="22"/>
          <w:lang w:eastAsia="ja-JP"/>
        </w:rPr>
        <w:t>. MBP</w:t>
      </w:r>
      <w:r w:rsidR="00554B00">
        <w:rPr>
          <w:rFonts w:eastAsiaTheme="minorEastAsia"/>
          <w:sz w:val="22"/>
          <w:szCs w:val="22"/>
          <w:vertAlign w:val="superscript"/>
          <w:lang w:eastAsia="ja-JP"/>
        </w:rPr>
        <w:t>+</w:t>
      </w:r>
      <w:r w:rsidR="00554B00">
        <w:rPr>
          <w:rFonts w:eastAsiaTheme="minorEastAsia"/>
          <w:sz w:val="22"/>
          <w:szCs w:val="22"/>
          <w:lang w:eastAsia="ja-JP"/>
        </w:rPr>
        <w:t xml:space="preserve"> OL were</w:t>
      </w:r>
      <w:r w:rsidR="00DA0E53">
        <w:rPr>
          <w:rFonts w:eastAsiaTheme="minorEastAsia"/>
          <w:sz w:val="22"/>
          <w:szCs w:val="22"/>
          <w:lang w:eastAsia="ja-JP"/>
        </w:rPr>
        <w:t xml:space="preserve"> absent in NSC seeded cultures(C), and </w:t>
      </w:r>
      <w:r w:rsidR="00554B00">
        <w:rPr>
          <w:rFonts w:eastAsiaTheme="minorEastAsia"/>
          <w:sz w:val="22"/>
          <w:szCs w:val="22"/>
          <w:lang w:eastAsia="ja-JP"/>
        </w:rPr>
        <w:t>scarcely encountered in NOP seeded cultures</w:t>
      </w:r>
      <w:r w:rsidR="00DA0E53">
        <w:rPr>
          <w:rFonts w:eastAsiaTheme="minorEastAsia"/>
          <w:sz w:val="22"/>
          <w:szCs w:val="22"/>
          <w:lang w:eastAsia="ja-JP"/>
        </w:rPr>
        <w:t xml:space="preserve"> (D)</w:t>
      </w:r>
      <w:r w:rsidR="00554B00">
        <w:rPr>
          <w:rFonts w:eastAsiaTheme="minorEastAsia"/>
          <w:sz w:val="22"/>
          <w:szCs w:val="22"/>
          <w:lang w:eastAsia="ja-JP"/>
        </w:rPr>
        <w:t xml:space="preserve">. </w:t>
      </w:r>
      <w:r w:rsidR="00DA0E53">
        <w:rPr>
          <w:rFonts w:eastAsiaTheme="minorEastAsia"/>
          <w:sz w:val="22"/>
          <w:szCs w:val="22"/>
          <w:lang w:eastAsia="ja-JP"/>
        </w:rPr>
        <w:t>Note, MBP</w:t>
      </w:r>
      <w:r w:rsidR="00DA0E53">
        <w:rPr>
          <w:rFonts w:eastAsiaTheme="minorEastAsia"/>
          <w:sz w:val="22"/>
          <w:szCs w:val="22"/>
          <w:vertAlign w:val="superscript"/>
          <w:lang w:eastAsia="ja-JP"/>
        </w:rPr>
        <w:t>+</w:t>
      </w:r>
      <w:r w:rsidR="00DA0E53">
        <w:rPr>
          <w:rFonts w:eastAsiaTheme="minorEastAsia"/>
          <w:sz w:val="22"/>
          <w:szCs w:val="22"/>
          <w:lang w:eastAsia="ja-JP"/>
        </w:rPr>
        <w:t xml:space="preserve"> OL in panel D exhibits</w:t>
      </w:r>
      <w:r w:rsidR="00554B00">
        <w:rPr>
          <w:rFonts w:eastAsiaTheme="minorEastAsia"/>
          <w:sz w:val="22"/>
          <w:szCs w:val="22"/>
          <w:lang w:eastAsia="ja-JP"/>
        </w:rPr>
        <w:t xml:space="preserve"> contact with an </w:t>
      </w:r>
      <w:r w:rsidR="00554B00">
        <w:rPr>
          <w:rFonts w:eastAsiaTheme="minorEastAsia"/>
          <w:sz w:val="22"/>
          <w:szCs w:val="22"/>
          <w:lang w:eastAsia="ja-JP"/>
        </w:rPr>
        <w:lastRenderedPageBreak/>
        <w:t>NF</w:t>
      </w:r>
      <w:r w:rsidR="00554B00">
        <w:rPr>
          <w:rFonts w:eastAsiaTheme="minorEastAsia"/>
          <w:sz w:val="22"/>
          <w:szCs w:val="22"/>
          <w:vertAlign w:val="superscript"/>
          <w:lang w:eastAsia="ja-JP"/>
        </w:rPr>
        <w:t>+</w:t>
      </w:r>
      <w:r w:rsidR="00554B00">
        <w:rPr>
          <w:rFonts w:eastAsiaTheme="minorEastAsia"/>
          <w:sz w:val="22"/>
          <w:szCs w:val="22"/>
          <w:lang w:eastAsia="ja-JP"/>
        </w:rPr>
        <w:t xml:space="preserve">axons consistent with the early stages of myelination. </w:t>
      </w:r>
      <w:r w:rsidR="00554B00" w:rsidRPr="00035B3C">
        <w:rPr>
          <w:rFonts w:eastAsiaTheme="minorEastAsia"/>
          <w:sz w:val="22"/>
          <w:szCs w:val="22"/>
          <w:lang w:eastAsia="ja-JP"/>
        </w:rPr>
        <w:t xml:space="preserve">Nuclei were counterstained with DAPI. Scale bar: </w:t>
      </w:r>
      <w:r w:rsidR="00554B00">
        <w:rPr>
          <w:rFonts w:eastAsiaTheme="minorEastAsia"/>
          <w:sz w:val="22"/>
          <w:szCs w:val="22"/>
          <w:lang w:eastAsia="ja-JP"/>
        </w:rPr>
        <w:t>2</w:t>
      </w:r>
      <w:r w:rsidR="00554B00" w:rsidRPr="00035B3C">
        <w:rPr>
          <w:rFonts w:eastAsiaTheme="minorEastAsia"/>
          <w:sz w:val="22"/>
          <w:szCs w:val="22"/>
          <w:lang w:eastAsia="ja-JP"/>
        </w:rPr>
        <w:t>0um.</w:t>
      </w:r>
    </w:p>
    <w:p w:rsidR="000C0031" w:rsidRDefault="000C0031" w:rsidP="00DD45E4">
      <w:pPr>
        <w:spacing w:line="480" w:lineRule="auto"/>
        <w:outlineLvl w:val="0"/>
        <w:rPr>
          <w:rFonts w:eastAsiaTheme="minorEastAsia"/>
          <w:sz w:val="22"/>
          <w:szCs w:val="22"/>
          <w:lang w:eastAsia="ja-JP"/>
        </w:rPr>
      </w:pPr>
    </w:p>
    <w:p w:rsidR="00F80B31" w:rsidRDefault="00F80B31" w:rsidP="00F80B31">
      <w:pPr>
        <w:spacing w:line="480" w:lineRule="auto"/>
        <w:rPr>
          <w:b/>
          <w:bCs/>
          <w:sz w:val="22"/>
          <w:szCs w:val="22"/>
        </w:rPr>
      </w:pPr>
      <w:r w:rsidRPr="00035B3C">
        <w:rPr>
          <w:b/>
          <w:bCs/>
          <w:sz w:val="22"/>
          <w:szCs w:val="22"/>
        </w:rPr>
        <w:t xml:space="preserve">Supplementary Figure </w:t>
      </w:r>
      <w:r w:rsidR="00AC167D">
        <w:rPr>
          <w:b/>
          <w:bCs/>
          <w:sz w:val="22"/>
          <w:szCs w:val="22"/>
        </w:rPr>
        <w:t>4</w:t>
      </w:r>
      <w:r w:rsidRPr="00035B3C">
        <w:rPr>
          <w:b/>
          <w:bCs/>
          <w:sz w:val="22"/>
          <w:szCs w:val="22"/>
        </w:rPr>
        <w:t xml:space="preserve">. </w:t>
      </w:r>
      <w:r>
        <w:rPr>
          <w:b/>
          <w:bCs/>
          <w:sz w:val="22"/>
          <w:szCs w:val="22"/>
        </w:rPr>
        <w:t>E</w:t>
      </w:r>
      <w:r w:rsidRPr="00035B3C">
        <w:rPr>
          <w:b/>
          <w:bCs/>
          <w:sz w:val="22"/>
          <w:szCs w:val="22"/>
        </w:rPr>
        <w:t>xpression</w:t>
      </w:r>
      <w:r>
        <w:rPr>
          <w:b/>
          <w:bCs/>
          <w:sz w:val="22"/>
          <w:szCs w:val="22"/>
        </w:rPr>
        <w:t xml:space="preserve"> of neural lineage marker proteins</w:t>
      </w:r>
      <w:r w:rsidRPr="00035B3C">
        <w:rPr>
          <w:b/>
          <w:bCs/>
          <w:sz w:val="22"/>
          <w:szCs w:val="22"/>
        </w:rPr>
        <w:t xml:space="preserve"> in </w:t>
      </w:r>
      <w:r>
        <w:rPr>
          <w:b/>
          <w:bCs/>
          <w:sz w:val="22"/>
          <w:szCs w:val="22"/>
        </w:rPr>
        <w:t xml:space="preserve">NSC-derived neural cells. </w:t>
      </w:r>
    </w:p>
    <w:p w:rsidR="00F80B31" w:rsidRDefault="008A1B84" w:rsidP="00DD45E4">
      <w:pPr>
        <w:spacing w:line="480" w:lineRule="auto"/>
        <w:outlineLvl w:val="0"/>
      </w:pPr>
      <w:r w:rsidRPr="005D3DF7">
        <w:t>Expression of neural cell marker proteins Tubulinβ3 (neurons, A), GFAP (astrocytes, B) and NG2 (OPC, C) in NSC-derived neural cells. Scale bar: 50um.</w:t>
      </w:r>
    </w:p>
    <w:p w:rsidR="008A1B84" w:rsidRDefault="008A1B84" w:rsidP="00DD45E4">
      <w:pPr>
        <w:spacing w:line="480" w:lineRule="auto"/>
        <w:outlineLvl w:val="0"/>
        <w:rPr>
          <w:b/>
          <w:bCs/>
          <w:sz w:val="22"/>
          <w:szCs w:val="22"/>
        </w:rPr>
      </w:pPr>
    </w:p>
    <w:p w:rsidR="00DD45E4" w:rsidRPr="00630142" w:rsidRDefault="00DD45E4" w:rsidP="00DD45E4">
      <w:pPr>
        <w:spacing w:line="480" w:lineRule="auto"/>
        <w:outlineLvl w:val="0"/>
        <w:rPr>
          <w:b/>
          <w:bCs/>
          <w:sz w:val="22"/>
          <w:szCs w:val="22"/>
        </w:rPr>
      </w:pPr>
      <w:r w:rsidRPr="00630142">
        <w:rPr>
          <w:b/>
          <w:bCs/>
          <w:sz w:val="22"/>
          <w:szCs w:val="22"/>
        </w:rPr>
        <w:t xml:space="preserve">Supplementary Figure </w:t>
      </w:r>
      <w:r w:rsidR="00AC167D">
        <w:rPr>
          <w:b/>
          <w:bCs/>
          <w:sz w:val="22"/>
          <w:szCs w:val="22"/>
        </w:rPr>
        <w:t>5</w:t>
      </w:r>
      <w:r w:rsidRPr="00630142">
        <w:rPr>
          <w:b/>
          <w:bCs/>
          <w:sz w:val="22"/>
          <w:szCs w:val="22"/>
        </w:rPr>
        <w:t xml:space="preserve">. </w:t>
      </w:r>
      <w:r w:rsidR="006E06DC">
        <w:rPr>
          <w:b/>
          <w:bCs/>
          <w:sz w:val="22"/>
          <w:szCs w:val="22"/>
        </w:rPr>
        <w:t>E</w:t>
      </w:r>
      <w:r w:rsidRPr="00630142">
        <w:rPr>
          <w:b/>
          <w:bCs/>
          <w:sz w:val="22"/>
          <w:szCs w:val="22"/>
        </w:rPr>
        <w:t>xpression</w:t>
      </w:r>
      <w:r w:rsidR="006E06DC">
        <w:rPr>
          <w:b/>
          <w:bCs/>
          <w:sz w:val="22"/>
          <w:szCs w:val="22"/>
        </w:rPr>
        <w:t xml:space="preserve"> of OL marker proteins</w:t>
      </w:r>
      <w:r w:rsidRPr="00630142">
        <w:rPr>
          <w:b/>
          <w:bCs/>
          <w:sz w:val="22"/>
          <w:szCs w:val="22"/>
        </w:rPr>
        <w:t xml:space="preserve"> in </w:t>
      </w:r>
      <w:r w:rsidR="007915F9">
        <w:rPr>
          <w:b/>
          <w:bCs/>
          <w:sz w:val="22"/>
          <w:szCs w:val="22"/>
        </w:rPr>
        <w:t>NOP</w:t>
      </w:r>
      <w:r w:rsidR="006E06DC">
        <w:rPr>
          <w:b/>
          <w:bCs/>
          <w:sz w:val="22"/>
          <w:szCs w:val="22"/>
        </w:rPr>
        <w:t xml:space="preserve">/OL </w:t>
      </w:r>
    </w:p>
    <w:p w:rsidR="009E2427" w:rsidRDefault="00BF7B3E" w:rsidP="00CD0EA2">
      <w:pPr>
        <w:spacing w:line="480" w:lineRule="auto"/>
        <w:rPr>
          <w:sz w:val="22"/>
          <w:szCs w:val="22"/>
        </w:rPr>
      </w:pPr>
      <w:r w:rsidRPr="00630142">
        <w:rPr>
          <w:sz w:val="22"/>
          <w:szCs w:val="22"/>
        </w:rPr>
        <w:t xml:space="preserve">Expressionof OL </w:t>
      </w:r>
      <w:r w:rsidR="006E06DC">
        <w:rPr>
          <w:sz w:val="22"/>
          <w:szCs w:val="22"/>
        </w:rPr>
        <w:t>lineage</w:t>
      </w:r>
      <w:r w:rsidR="00DD45E4" w:rsidRPr="00630142">
        <w:rPr>
          <w:sz w:val="22"/>
          <w:szCs w:val="22"/>
        </w:rPr>
        <w:t>marker proteins</w:t>
      </w:r>
      <w:r w:rsidR="00072B54">
        <w:rPr>
          <w:sz w:val="22"/>
          <w:szCs w:val="22"/>
        </w:rPr>
        <w:t xml:space="preserve"> for committed </w:t>
      </w:r>
      <w:r w:rsidR="00072B54" w:rsidRPr="00FB5701">
        <w:rPr>
          <w:sz w:val="22"/>
          <w:szCs w:val="22"/>
        </w:rPr>
        <w:t>OPC (</w:t>
      </w:r>
      <w:r w:rsidR="00467E50" w:rsidRPr="00FB5701">
        <w:rPr>
          <w:iCs/>
          <w:sz w:val="22"/>
          <w:szCs w:val="22"/>
        </w:rPr>
        <w:t>O4</w:t>
      </w:r>
      <w:r w:rsidR="00072B54" w:rsidRPr="00FB5701">
        <w:rPr>
          <w:sz w:val="22"/>
          <w:szCs w:val="22"/>
        </w:rPr>
        <w:t>) and</w:t>
      </w:r>
      <w:r w:rsidR="00072B54">
        <w:rPr>
          <w:sz w:val="22"/>
          <w:szCs w:val="22"/>
        </w:rPr>
        <w:t xml:space="preserve"> differentiated OL (CNPase, CC1)</w:t>
      </w:r>
      <w:r w:rsidRPr="00630142">
        <w:rPr>
          <w:sz w:val="22"/>
          <w:szCs w:val="22"/>
        </w:rPr>
        <w:t xml:space="preserve">in </w:t>
      </w:r>
      <w:r w:rsidR="006E06DC">
        <w:rPr>
          <w:sz w:val="22"/>
          <w:szCs w:val="22"/>
        </w:rPr>
        <w:t xml:space="preserve">the NOP following growth in OL medium for 7 days. A-C. </w:t>
      </w:r>
      <w:r w:rsidR="006E06DC" w:rsidRPr="00035B3C">
        <w:rPr>
          <w:rFonts w:eastAsiaTheme="minorEastAsia"/>
          <w:sz w:val="22"/>
          <w:szCs w:val="22"/>
          <w:lang w:eastAsia="ja-JP"/>
        </w:rPr>
        <w:t>Representative images of immunofluorescent staining for</w:t>
      </w:r>
      <w:r w:rsidR="00DD45E4" w:rsidRPr="00630142">
        <w:rPr>
          <w:sz w:val="22"/>
          <w:szCs w:val="22"/>
        </w:rPr>
        <w:t>O4</w:t>
      </w:r>
      <w:r w:rsidR="006E06DC">
        <w:rPr>
          <w:sz w:val="22"/>
          <w:szCs w:val="22"/>
        </w:rPr>
        <w:t xml:space="preserve"> (A), </w:t>
      </w:r>
      <w:r w:rsidR="00DD45E4" w:rsidRPr="00630142">
        <w:rPr>
          <w:sz w:val="22"/>
          <w:szCs w:val="22"/>
        </w:rPr>
        <w:t>CNPase</w:t>
      </w:r>
      <w:r w:rsidR="006E06DC">
        <w:rPr>
          <w:sz w:val="22"/>
          <w:szCs w:val="22"/>
        </w:rPr>
        <w:t xml:space="preserve"> (B)</w:t>
      </w:r>
      <w:r w:rsidR="00DD45E4" w:rsidRPr="00630142">
        <w:rPr>
          <w:sz w:val="22"/>
          <w:szCs w:val="22"/>
        </w:rPr>
        <w:t>,</w:t>
      </w:r>
      <w:r w:rsidR="006E06DC">
        <w:rPr>
          <w:sz w:val="22"/>
          <w:szCs w:val="22"/>
        </w:rPr>
        <w:t xml:space="preserve"> and </w:t>
      </w:r>
      <w:r w:rsidR="00DD45E4" w:rsidRPr="00630142">
        <w:rPr>
          <w:sz w:val="22"/>
          <w:szCs w:val="22"/>
        </w:rPr>
        <w:t>CC1</w:t>
      </w:r>
      <w:r w:rsidRPr="00630142">
        <w:rPr>
          <w:sz w:val="22"/>
          <w:szCs w:val="22"/>
        </w:rPr>
        <w:t xml:space="preserve"> (</w:t>
      </w:r>
      <w:r w:rsidR="006E06DC">
        <w:rPr>
          <w:sz w:val="22"/>
          <w:szCs w:val="22"/>
        </w:rPr>
        <w:t>C</w:t>
      </w:r>
      <w:r w:rsidRPr="00630142">
        <w:rPr>
          <w:sz w:val="22"/>
          <w:szCs w:val="22"/>
        </w:rPr>
        <w:t>)</w:t>
      </w:r>
      <w:r w:rsidR="00DD45E4" w:rsidRPr="00630142">
        <w:rPr>
          <w:sz w:val="22"/>
          <w:szCs w:val="22"/>
        </w:rPr>
        <w:t>.Nuclei were counterstained with DAPI.</w:t>
      </w:r>
      <w:r w:rsidR="009E2427">
        <w:rPr>
          <w:sz w:val="22"/>
          <w:szCs w:val="22"/>
        </w:rPr>
        <w:t>White arrows identify marker</w:t>
      </w:r>
      <w:r w:rsidR="009E2427">
        <w:rPr>
          <w:sz w:val="22"/>
          <w:szCs w:val="22"/>
          <w:vertAlign w:val="superscript"/>
        </w:rPr>
        <w:t>+</w:t>
      </w:r>
      <w:r w:rsidR="009E2427">
        <w:rPr>
          <w:sz w:val="22"/>
          <w:szCs w:val="22"/>
        </w:rPr>
        <w:t>/DAPI</w:t>
      </w:r>
      <w:r w:rsidR="009E2427">
        <w:rPr>
          <w:sz w:val="22"/>
          <w:szCs w:val="22"/>
          <w:vertAlign w:val="superscript"/>
        </w:rPr>
        <w:t>+</w:t>
      </w:r>
      <w:r w:rsidR="009E2427">
        <w:rPr>
          <w:sz w:val="22"/>
          <w:szCs w:val="22"/>
        </w:rPr>
        <w:t xml:space="preserve"> profiles. </w:t>
      </w:r>
      <w:r w:rsidR="004B76F9" w:rsidRPr="00035B3C">
        <w:rPr>
          <w:sz w:val="22"/>
          <w:szCs w:val="22"/>
        </w:rPr>
        <w:t xml:space="preserve">Scale bar: </w:t>
      </w:r>
      <w:r w:rsidR="004B76F9">
        <w:rPr>
          <w:sz w:val="22"/>
          <w:szCs w:val="22"/>
        </w:rPr>
        <w:t>20µ</w:t>
      </w:r>
      <w:r w:rsidR="004B76F9" w:rsidRPr="00035B3C">
        <w:rPr>
          <w:sz w:val="22"/>
          <w:szCs w:val="22"/>
        </w:rPr>
        <w:t>m.</w:t>
      </w:r>
      <w:r w:rsidR="00072B54">
        <w:rPr>
          <w:sz w:val="22"/>
          <w:szCs w:val="22"/>
        </w:rPr>
        <w:t xml:space="preserve"> D. </w:t>
      </w:r>
      <w:r w:rsidR="009E2427">
        <w:rPr>
          <w:sz w:val="22"/>
          <w:szCs w:val="22"/>
        </w:rPr>
        <w:t>Histogram displayingquantification of marker</w:t>
      </w:r>
      <w:r w:rsidR="009E2427">
        <w:rPr>
          <w:sz w:val="22"/>
          <w:szCs w:val="22"/>
          <w:vertAlign w:val="superscript"/>
        </w:rPr>
        <w:t>+</w:t>
      </w:r>
      <w:r w:rsidR="009E2427">
        <w:rPr>
          <w:sz w:val="22"/>
          <w:szCs w:val="22"/>
        </w:rPr>
        <w:t>/DAPI</w:t>
      </w:r>
      <w:r w:rsidR="009E2427">
        <w:rPr>
          <w:sz w:val="22"/>
          <w:szCs w:val="22"/>
          <w:vertAlign w:val="superscript"/>
        </w:rPr>
        <w:t>+</w:t>
      </w:r>
      <w:r w:rsidR="009E2427">
        <w:rPr>
          <w:sz w:val="22"/>
          <w:szCs w:val="22"/>
        </w:rPr>
        <w:t xml:space="preserve"> profiles</w:t>
      </w:r>
      <w:r w:rsidR="004B76F9">
        <w:rPr>
          <w:sz w:val="22"/>
          <w:szCs w:val="22"/>
        </w:rPr>
        <w:t>as percentage</w:t>
      </w:r>
      <w:r w:rsidR="009E2427">
        <w:rPr>
          <w:sz w:val="22"/>
          <w:szCs w:val="22"/>
        </w:rPr>
        <w:t>s</w:t>
      </w:r>
      <w:r w:rsidR="004B76F9">
        <w:rPr>
          <w:sz w:val="22"/>
          <w:szCs w:val="22"/>
        </w:rPr>
        <w:t xml:space="preserve"> of </w:t>
      </w:r>
      <w:r w:rsidR="009E2427">
        <w:rPr>
          <w:sz w:val="22"/>
          <w:szCs w:val="22"/>
        </w:rPr>
        <w:t xml:space="preserve">total </w:t>
      </w:r>
      <w:r w:rsidR="004B76F9">
        <w:rPr>
          <w:sz w:val="22"/>
          <w:szCs w:val="22"/>
        </w:rPr>
        <w:t>DAPI</w:t>
      </w:r>
      <w:r w:rsidR="004B76F9">
        <w:rPr>
          <w:sz w:val="22"/>
          <w:szCs w:val="22"/>
          <w:vertAlign w:val="superscript"/>
        </w:rPr>
        <w:t>+</w:t>
      </w:r>
      <w:r w:rsidR="009E2427">
        <w:rPr>
          <w:sz w:val="22"/>
          <w:szCs w:val="22"/>
        </w:rPr>
        <w:t>cells</w:t>
      </w:r>
      <w:r w:rsidR="00543ADF">
        <w:rPr>
          <w:sz w:val="22"/>
          <w:szCs w:val="22"/>
        </w:rPr>
        <w:t xml:space="preserve">. </w:t>
      </w:r>
      <w:r w:rsidR="00543ADF" w:rsidRPr="001C44BD">
        <w:rPr>
          <w:rFonts w:hint="eastAsia"/>
          <w:sz w:val="22"/>
          <w:szCs w:val="22"/>
        </w:rPr>
        <w:t xml:space="preserve">Data are mean± SD (bars) of </w:t>
      </w:r>
      <w:r w:rsidR="00543ADF">
        <w:rPr>
          <w:sz w:val="22"/>
          <w:szCs w:val="22"/>
        </w:rPr>
        <w:t>four</w:t>
      </w:r>
      <w:r w:rsidR="00543ADF" w:rsidRPr="001C44BD">
        <w:rPr>
          <w:rFonts w:hint="eastAsia"/>
          <w:sz w:val="22"/>
          <w:szCs w:val="22"/>
        </w:rPr>
        <w:t xml:space="preserve"> determination</w:t>
      </w:r>
      <w:r w:rsidR="0057413D">
        <w:rPr>
          <w:sz w:val="22"/>
          <w:szCs w:val="22"/>
        </w:rPr>
        <w:t>s</w:t>
      </w:r>
      <w:r w:rsidR="004B76F9">
        <w:rPr>
          <w:sz w:val="22"/>
          <w:szCs w:val="22"/>
        </w:rPr>
        <w:t>.</w:t>
      </w:r>
    </w:p>
    <w:p w:rsidR="009E2427" w:rsidRDefault="009E2427" w:rsidP="00CD0EA2">
      <w:pPr>
        <w:spacing w:line="480" w:lineRule="auto"/>
        <w:rPr>
          <w:sz w:val="22"/>
          <w:szCs w:val="22"/>
        </w:rPr>
      </w:pPr>
    </w:p>
    <w:p w:rsidR="00DD45E4" w:rsidRPr="00630142" w:rsidRDefault="00DD45E4" w:rsidP="00DD45E4">
      <w:pPr>
        <w:spacing w:line="480" w:lineRule="auto"/>
        <w:outlineLvl w:val="0"/>
        <w:rPr>
          <w:b/>
          <w:bCs/>
          <w:sz w:val="22"/>
          <w:szCs w:val="22"/>
        </w:rPr>
      </w:pPr>
    </w:p>
    <w:p w:rsidR="00DD45E4" w:rsidRPr="00630142" w:rsidRDefault="00DD45E4" w:rsidP="00DD45E4">
      <w:pPr>
        <w:spacing w:line="480" w:lineRule="auto"/>
        <w:outlineLvl w:val="0"/>
        <w:rPr>
          <w:rFonts w:eastAsiaTheme="minorEastAsia"/>
          <w:b/>
          <w:bCs/>
          <w:sz w:val="22"/>
          <w:szCs w:val="22"/>
          <w:lang w:eastAsia="ja-JP"/>
        </w:rPr>
      </w:pPr>
      <w:r w:rsidRPr="00630142">
        <w:rPr>
          <w:rFonts w:eastAsiaTheme="minorEastAsia"/>
          <w:b/>
          <w:bCs/>
          <w:sz w:val="22"/>
          <w:szCs w:val="22"/>
          <w:lang w:eastAsia="ja-JP"/>
        </w:rPr>
        <w:t xml:space="preserve">Supplementary Figure </w:t>
      </w:r>
      <w:r w:rsidR="00AC167D">
        <w:rPr>
          <w:rFonts w:eastAsiaTheme="minorEastAsia"/>
          <w:b/>
          <w:bCs/>
          <w:sz w:val="22"/>
          <w:szCs w:val="22"/>
          <w:lang w:eastAsia="ja-JP"/>
        </w:rPr>
        <w:t>6</w:t>
      </w:r>
      <w:r w:rsidRPr="00630142">
        <w:rPr>
          <w:rFonts w:eastAsiaTheme="minorEastAsia"/>
          <w:b/>
          <w:bCs/>
          <w:sz w:val="22"/>
          <w:szCs w:val="22"/>
          <w:lang w:eastAsia="ja-JP"/>
        </w:rPr>
        <w:t xml:space="preserve">. </w:t>
      </w:r>
      <w:r w:rsidRPr="00630142">
        <w:rPr>
          <w:b/>
          <w:bCs/>
          <w:sz w:val="22"/>
          <w:szCs w:val="22"/>
        </w:rPr>
        <w:t xml:space="preserve">Expression patterns of </w:t>
      </w:r>
      <w:r w:rsidR="007915F9">
        <w:rPr>
          <w:b/>
          <w:bCs/>
          <w:sz w:val="22"/>
          <w:szCs w:val="22"/>
        </w:rPr>
        <w:t>myelination</w:t>
      </w:r>
      <w:r w:rsidR="002B0743">
        <w:rPr>
          <w:b/>
          <w:bCs/>
          <w:sz w:val="22"/>
          <w:szCs w:val="22"/>
        </w:rPr>
        <w:t>-</w:t>
      </w:r>
      <w:r w:rsidR="007915F9">
        <w:rPr>
          <w:b/>
          <w:bCs/>
          <w:sz w:val="22"/>
          <w:szCs w:val="22"/>
        </w:rPr>
        <w:t>related</w:t>
      </w:r>
      <w:r w:rsidRPr="00630142">
        <w:rPr>
          <w:b/>
          <w:bCs/>
          <w:sz w:val="22"/>
          <w:szCs w:val="22"/>
        </w:rPr>
        <w:t xml:space="preserve"> genes </w:t>
      </w:r>
      <w:r w:rsidR="007915F9">
        <w:rPr>
          <w:b/>
          <w:bCs/>
          <w:sz w:val="22"/>
          <w:szCs w:val="22"/>
        </w:rPr>
        <w:t xml:space="preserve">in the NG2/OL population during myelination </w:t>
      </w:r>
    </w:p>
    <w:p w:rsidR="00DD45E4" w:rsidRPr="00630142" w:rsidRDefault="00DD45E4" w:rsidP="00DD45E4">
      <w:pPr>
        <w:spacing w:line="480" w:lineRule="auto"/>
        <w:outlineLvl w:val="0"/>
        <w:rPr>
          <w:b/>
          <w:bCs/>
          <w:sz w:val="22"/>
          <w:szCs w:val="22"/>
        </w:rPr>
      </w:pPr>
      <w:r w:rsidRPr="00630142">
        <w:rPr>
          <w:sz w:val="22"/>
          <w:szCs w:val="22"/>
        </w:rPr>
        <w:t xml:space="preserve">Expression analysis of various myelination-related genes including OPC-markers </w:t>
      </w:r>
      <w:r w:rsidRPr="00630142">
        <w:rPr>
          <w:i/>
          <w:iCs/>
          <w:sz w:val="22"/>
          <w:szCs w:val="22"/>
        </w:rPr>
        <w:t xml:space="preserve">Cspg4 </w:t>
      </w:r>
      <w:r w:rsidRPr="00630142">
        <w:rPr>
          <w:sz w:val="22"/>
          <w:szCs w:val="22"/>
        </w:rPr>
        <w:t xml:space="preserve">(A) and </w:t>
      </w:r>
      <w:r w:rsidRPr="00630142">
        <w:rPr>
          <w:i/>
          <w:iCs/>
          <w:sz w:val="22"/>
          <w:szCs w:val="22"/>
        </w:rPr>
        <w:t>Pdgfa</w:t>
      </w:r>
      <w:r w:rsidRPr="00630142">
        <w:rPr>
          <w:sz w:val="22"/>
          <w:szCs w:val="22"/>
        </w:rPr>
        <w:t xml:space="preserve">(B), OPC/pre-OL marker </w:t>
      </w:r>
      <w:r w:rsidRPr="00630142">
        <w:rPr>
          <w:i/>
          <w:iCs/>
          <w:sz w:val="22"/>
          <w:szCs w:val="22"/>
        </w:rPr>
        <w:t xml:space="preserve">Gpr17 </w:t>
      </w:r>
      <w:r w:rsidRPr="00630142">
        <w:rPr>
          <w:sz w:val="22"/>
          <w:szCs w:val="22"/>
        </w:rPr>
        <w:t xml:space="preserve">(C), OL markers </w:t>
      </w:r>
      <w:r w:rsidRPr="00630142">
        <w:rPr>
          <w:i/>
          <w:iCs/>
          <w:sz w:val="22"/>
          <w:szCs w:val="22"/>
        </w:rPr>
        <w:t xml:space="preserve">Plp1 </w:t>
      </w:r>
      <w:r w:rsidRPr="00630142">
        <w:rPr>
          <w:sz w:val="22"/>
          <w:szCs w:val="22"/>
        </w:rPr>
        <w:t>(D)</w:t>
      </w:r>
      <w:r w:rsidRPr="00630142">
        <w:rPr>
          <w:i/>
          <w:iCs/>
          <w:sz w:val="22"/>
          <w:szCs w:val="22"/>
        </w:rPr>
        <w:t>, Mbp</w:t>
      </w:r>
      <w:r w:rsidRPr="00630142">
        <w:rPr>
          <w:sz w:val="22"/>
          <w:szCs w:val="22"/>
        </w:rPr>
        <w:t>(E)</w:t>
      </w:r>
      <w:r w:rsidRPr="00630142">
        <w:rPr>
          <w:i/>
          <w:iCs/>
          <w:sz w:val="22"/>
          <w:szCs w:val="22"/>
        </w:rPr>
        <w:t xml:space="preserve">, Mag </w:t>
      </w:r>
      <w:r w:rsidRPr="00630142">
        <w:rPr>
          <w:sz w:val="22"/>
          <w:szCs w:val="22"/>
        </w:rPr>
        <w:t xml:space="preserve">(F), and </w:t>
      </w:r>
      <w:r w:rsidRPr="00630142">
        <w:rPr>
          <w:i/>
          <w:iCs/>
          <w:sz w:val="22"/>
          <w:szCs w:val="22"/>
        </w:rPr>
        <w:t>Mog</w:t>
      </w:r>
      <w:r w:rsidRPr="00630142">
        <w:rPr>
          <w:sz w:val="22"/>
          <w:szCs w:val="22"/>
        </w:rPr>
        <w:t xml:space="preserve"> (G), and Gap junction markers </w:t>
      </w:r>
      <w:r w:rsidRPr="00630142">
        <w:rPr>
          <w:i/>
          <w:iCs/>
          <w:sz w:val="22"/>
          <w:szCs w:val="22"/>
        </w:rPr>
        <w:t xml:space="preserve">Gjc3 </w:t>
      </w:r>
      <w:r w:rsidRPr="00630142">
        <w:rPr>
          <w:sz w:val="22"/>
          <w:szCs w:val="22"/>
        </w:rPr>
        <w:t xml:space="preserve">(H), </w:t>
      </w:r>
      <w:r w:rsidRPr="00630142">
        <w:rPr>
          <w:i/>
          <w:iCs/>
          <w:sz w:val="22"/>
          <w:szCs w:val="22"/>
        </w:rPr>
        <w:t xml:space="preserve">Gjc2 </w:t>
      </w:r>
      <w:r w:rsidRPr="00630142">
        <w:rPr>
          <w:sz w:val="22"/>
          <w:szCs w:val="22"/>
        </w:rPr>
        <w:t xml:space="preserve">(I), and </w:t>
      </w:r>
      <w:r w:rsidRPr="00630142">
        <w:rPr>
          <w:i/>
          <w:iCs/>
          <w:sz w:val="22"/>
          <w:szCs w:val="22"/>
        </w:rPr>
        <w:t>Gjb1</w:t>
      </w:r>
      <w:r w:rsidRPr="00630142">
        <w:rPr>
          <w:sz w:val="22"/>
          <w:szCs w:val="22"/>
        </w:rPr>
        <w:t xml:space="preserve"> (J). mRNAs were isolated from </w:t>
      </w:r>
      <w:r w:rsidR="002B0743" w:rsidRPr="002162B3">
        <w:rPr>
          <w:sz w:val="22"/>
          <w:szCs w:val="22"/>
        </w:rPr>
        <w:t>NG2/OL</w:t>
      </w:r>
      <w:r w:rsidR="002B0743">
        <w:rPr>
          <w:sz w:val="22"/>
          <w:szCs w:val="22"/>
        </w:rPr>
        <w:t xml:space="preserve"> after </w:t>
      </w:r>
      <w:r w:rsidRPr="00630142">
        <w:rPr>
          <w:sz w:val="22"/>
          <w:szCs w:val="22"/>
        </w:rPr>
        <w:t>co-</w:t>
      </w:r>
      <w:r w:rsidR="002B0743">
        <w:rPr>
          <w:sz w:val="22"/>
          <w:szCs w:val="22"/>
        </w:rPr>
        <w:t>culture</w:t>
      </w:r>
      <w:r w:rsidRPr="00630142">
        <w:rPr>
          <w:sz w:val="22"/>
          <w:szCs w:val="22"/>
        </w:rPr>
        <w:t xml:space="preserve"> with </w:t>
      </w:r>
      <w:r w:rsidR="002B0743">
        <w:rPr>
          <w:sz w:val="22"/>
          <w:szCs w:val="22"/>
        </w:rPr>
        <w:t>DRGN</w:t>
      </w:r>
      <w:r w:rsidRPr="00630142">
        <w:rPr>
          <w:sz w:val="22"/>
          <w:szCs w:val="22"/>
        </w:rPr>
        <w:t xml:space="preserve"> for various periods (0, 4, 7 and 10 days)</w:t>
      </w:r>
      <w:r w:rsidR="002B0743">
        <w:rPr>
          <w:sz w:val="22"/>
          <w:szCs w:val="22"/>
        </w:rPr>
        <w:t>.  R</w:t>
      </w:r>
      <w:r w:rsidRPr="00630142">
        <w:rPr>
          <w:sz w:val="22"/>
          <w:szCs w:val="22"/>
        </w:rPr>
        <w:t xml:space="preserve">elative gene expression was analyzed using quantitative real-time RT-PCR. Expression levels of each mRNA </w:t>
      </w:r>
      <w:r w:rsidR="002B0743">
        <w:rPr>
          <w:sz w:val="22"/>
          <w:szCs w:val="22"/>
        </w:rPr>
        <w:t>are</w:t>
      </w:r>
      <w:r w:rsidRPr="00630142">
        <w:rPr>
          <w:sz w:val="22"/>
          <w:szCs w:val="22"/>
        </w:rPr>
        <w:t>normalized relative to that of GAPDH mRNA. Close</w:t>
      </w:r>
      <w:r w:rsidR="002B0743">
        <w:rPr>
          <w:sz w:val="22"/>
          <w:szCs w:val="22"/>
        </w:rPr>
        <w:t>d</w:t>
      </w:r>
      <w:r w:rsidRPr="00630142">
        <w:rPr>
          <w:sz w:val="22"/>
          <w:szCs w:val="22"/>
        </w:rPr>
        <w:t xml:space="preserve"> bars in each graph indicate the relative expression level of each marker genes among various time points. Data are mean± SD (bars) of three determinations.</w:t>
      </w:r>
    </w:p>
    <w:p w:rsidR="00DD45E4" w:rsidRPr="00630142" w:rsidRDefault="00DD45E4" w:rsidP="00DD45E4">
      <w:pPr>
        <w:spacing w:line="480" w:lineRule="auto"/>
        <w:outlineLvl w:val="0"/>
        <w:rPr>
          <w:b/>
          <w:bCs/>
          <w:sz w:val="22"/>
          <w:szCs w:val="22"/>
        </w:rPr>
      </w:pPr>
    </w:p>
    <w:sectPr w:rsidR="00DD45E4" w:rsidRPr="00630142" w:rsidSect="0097193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B55" w:rsidRDefault="00347B55" w:rsidP="001E24F3">
      <w:r>
        <w:separator/>
      </w:r>
    </w:p>
  </w:endnote>
  <w:endnote w:type="continuationSeparator" w:id="1">
    <w:p w:rsidR="00347B55" w:rsidRDefault="00347B55" w:rsidP="001E2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80989215"/>
      <w:docPartObj>
        <w:docPartGallery w:val="Page Numbers (Bottom of Page)"/>
        <w:docPartUnique/>
      </w:docPartObj>
    </w:sdtPr>
    <w:sdtContent>
      <w:p w:rsidR="001E24F3" w:rsidRDefault="005132A3" w:rsidP="00AB1679">
        <w:pPr>
          <w:pStyle w:val="Footer"/>
          <w:framePr w:wrap="none" w:vAnchor="text" w:hAnchor="margin" w:xAlign="right" w:y="1"/>
          <w:rPr>
            <w:rStyle w:val="PageNumber"/>
          </w:rPr>
        </w:pPr>
        <w:r>
          <w:rPr>
            <w:rStyle w:val="PageNumber"/>
          </w:rPr>
          <w:fldChar w:fldCharType="begin"/>
        </w:r>
        <w:r w:rsidR="001E24F3">
          <w:rPr>
            <w:rStyle w:val="PageNumber"/>
          </w:rPr>
          <w:instrText xml:space="preserve"> PAGE </w:instrText>
        </w:r>
        <w:r>
          <w:rPr>
            <w:rStyle w:val="PageNumber"/>
          </w:rPr>
          <w:fldChar w:fldCharType="end"/>
        </w:r>
      </w:p>
    </w:sdtContent>
  </w:sdt>
  <w:p w:rsidR="001E24F3" w:rsidRDefault="001E24F3" w:rsidP="001E24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5948488"/>
      <w:docPartObj>
        <w:docPartGallery w:val="Page Numbers (Bottom of Page)"/>
        <w:docPartUnique/>
      </w:docPartObj>
    </w:sdtPr>
    <w:sdtContent>
      <w:p w:rsidR="001E24F3" w:rsidRDefault="005132A3" w:rsidP="00AB1679">
        <w:pPr>
          <w:pStyle w:val="Footer"/>
          <w:framePr w:wrap="none" w:vAnchor="text" w:hAnchor="margin" w:xAlign="right" w:y="1"/>
          <w:rPr>
            <w:rStyle w:val="PageNumber"/>
          </w:rPr>
        </w:pPr>
        <w:r>
          <w:rPr>
            <w:rStyle w:val="PageNumber"/>
          </w:rPr>
          <w:fldChar w:fldCharType="begin"/>
        </w:r>
        <w:r w:rsidR="001E24F3">
          <w:rPr>
            <w:rStyle w:val="PageNumber"/>
          </w:rPr>
          <w:instrText xml:space="preserve"> PAGE </w:instrText>
        </w:r>
        <w:r>
          <w:rPr>
            <w:rStyle w:val="PageNumber"/>
          </w:rPr>
          <w:fldChar w:fldCharType="separate"/>
        </w:r>
        <w:r w:rsidR="007A139C">
          <w:rPr>
            <w:rStyle w:val="PageNumber"/>
            <w:noProof/>
          </w:rPr>
          <w:t>3</w:t>
        </w:r>
        <w:r>
          <w:rPr>
            <w:rStyle w:val="PageNumber"/>
          </w:rPr>
          <w:fldChar w:fldCharType="end"/>
        </w:r>
      </w:p>
    </w:sdtContent>
  </w:sdt>
  <w:p w:rsidR="001E24F3" w:rsidRDefault="001E24F3" w:rsidP="001E24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B55" w:rsidRDefault="00347B55" w:rsidP="001E24F3">
      <w:r>
        <w:separator/>
      </w:r>
    </w:p>
  </w:footnote>
  <w:footnote w:type="continuationSeparator" w:id="1">
    <w:p w:rsidR="00347B55" w:rsidRDefault="00347B55" w:rsidP="001E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251C0"/>
    <w:multiLevelType w:val="hybridMultilevel"/>
    <w:tmpl w:val="F61AF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applyBreakingRules/>
    <w:useFELayout/>
  </w:compat>
  <w:rsids>
    <w:rsidRoot w:val="00AF2168"/>
    <w:rsid w:val="00010E5B"/>
    <w:rsid w:val="00011A85"/>
    <w:rsid w:val="00012CA3"/>
    <w:rsid w:val="00013B55"/>
    <w:rsid w:val="0003572D"/>
    <w:rsid w:val="0004356F"/>
    <w:rsid w:val="0004493B"/>
    <w:rsid w:val="00047353"/>
    <w:rsid w:val="000473F9"/>
    <w:rsid w:val="0005084D"/>
    <w:rsid w:val="00057D0C"/>
    <w:rsid w:val="00060561"/>
    <w:rsid w:val="0006323B"/>
    <w:rsid w:val="000664F6"/>
    <w:rsid w:val="00071AF5"/>
    <w:rsid w:val="00072B54"/>
    <w:rsid w:val="00092A27"/>
    <w:rsid w:val="000A1CBB"/>
    <w:rsid w:val="000A30E7"/>
    <w:rsid w:val="000B4378"/>
    <w:rsid w:val="000B496B"/>
    <w:rsid w:val="000B5C72"/>
    <w:rsid w:val="000B7BA2"/>
    <w:rsid w:val="000C0031"/>
    <w:rsid w:val="000C04D0"/>
    <w:rsid w:val="000C3186"/>
    <w:rsid w:val="000D07AD"/>
    <w:rsid w:val="000D11C9"/>
    <w:rsid w:val="000D1D30"/>
    <w:rsid w:val="000D2FE0"/>
    <w:rsid w:val="000E4985"/>
    <w:rsid w:val="001011F5"/>
    <w:rsid w:val="00103ADF"/>
    <w:rsid w:val="00106D66"/>
    <w:rsid w:val="001114F3"/>
    <w:rsid w:val="00115B33"/>
    <w:rsid w:val="00120CB8"/>
    <w:rsid w:val="0012567A"/>
    <w:rsid w:val="00133DD4"/>
    <w:rsid w:val="001414F6"/>
    <w:rsid w:val="0016167A"/>
    <w:rsid w:val="00162B24"/>
    <w:rsid w:val="001672C7"/>
    <w:rsid w:val="00180235"/>
    <w:rsid w:val="00182906"/>
    <w:rsid w:val="00195687"/>
    <w:rsid w:val="00195E7C"/>
    <w:rsid w:val="001A5C30"/>
    <w:rsid w:val="001A78EF"/>
    <w:rsid w:val="001A7B3A"/>
    <w:rsid w:val="001B0DD6"/>
    <w:rsid w:val="001B3BC3"/>
    <w:rsid w:val="001B3FC2"/>
    <w:rsid w:val="001D5886"/>
    <w:rsid w:val="001D5C10"/>
    <w:rsid w:val="001E24F3"/>
    <w:rsid w:val="001E3DA4"/>
    <w:rsid w:val="001E6594"/>
    <w:rsid w:val="00202A95"/>
    <w:rsid w:val="00202C96"/>
    <w:rsid w:val="0020748F"/>
    <w:rsid w:val="00207D77"/>
    <w:rsid w:val="0022085C"/>
    <w:rsid w:val="002268D1"/>
    <w:rsid w:val="00230548"/>
    <w:rsid w:val="002350C9"/>
    <w:rsid w:val="00236358"/>
    <w:rsid w:val="002446D1"/>
    <w:rsid w:val="00252744"/>
    <w:rsid w:val="00255C31"/>
    <w:rsid w:val="002604D6"/>
    <w:rsid w:val="0026133A"/>
    <w:rsid w:val="002716D2"/>
    <w:rsid w:val="00284613"/>
    <w:rsid w:val="00290A93"/>
    <w:rsid w:val="002A67E7"/>
    <w:rsid w:val="002B0743"/>
    <w:rsid w:val="002C132E"/>
    <w:rsid w:val="002C3E2F"/>
    <w:rsid w:val="002D005A"/>
    <w:rsid w:val="002E3B9A"/>
    <w:rsid w:val="002E4D51"/>
    <w:rsid w:val="0030718A"/>
    <w:rsid w:val="00310E21"/>
    <w:rsid w:val="00326A92"/>
    <w:rsid w:val="00327963"/>
    <w:rsid w:val="0033654B"/>
    <w:rsid w:val="003379DD"/>
    <w:rsid w:val="003433F9"/>
    <w:rsid w:val="00343DF1"/>
    <w:rsid w:val="00347B55"/>
    <w:rsid w:val="00381531"/>
    <w:rsid w:val="00382CBD"/>
    <w:rsid w:val="0039017E"/>
    <w:rsid w:val="00396BC4"/>
    <w:rsid w:val="00397C6F"/>
    <w:rsid w:val="003A2037"/>
    <w:rsid w:val="003A6610"/>
    <w:rsid w:val="003B7C46"/>
    <w:rsid w:val="003B7F42"/>
    <w:rsid w:val="003D02D5"/>
    <w:rsid w:val="003E486A"/>
    <w:rsid w:val="00414B02"/>
    <w:rsid w:val="00421767"/>
    <w:rsid w:val="004224F8"/>
    <w:rsid w:val="00423BED"/>
    <w:rsid w:val="00430E96"/>
    <w:rsid w:val="0043370B"/>
    <w:rsid w:val="004340F6"/>
    <w:rsid w:val="0043452D"/>
    <w:rsid w:val="00440570"/>
    <w:rsid w:val="00440EA6"/>
    <w:rsid w:val="00442779"/>
    <w:rsid w:val="0044596B"/>
    <w:rsid w:val="00446DA8"/>
    <w:rsid w:val="004476BA"/>
    <w:rsid w:val="00453A71"/>
    <w:rsid w:val="004573F5"/>
    <w:rsid w:val="00463998"/>
    <w:rsid w:val="00467E50"/>
    <w:rsid w:val="00484318"/>
    <w:rsid w:val="00484A3A"/>
    <w:rsid w:val="00484FEA"/>
    <w:rsid w:val="004955EB"/>
    <w:rsid w:val="0049633D"/>
    <w:rsid w:val="00497936"/>
    <w:rsid w:val="004A0851"/>
    <w:rsid w:val="004A390A"/>
    <w:rsid w:val="004A7599"/>
    <w:rsid w:val="004B4436"/>
    <w:rsid w:val="004B457C"/>
    <w:rsid w:val="004B76F9"/>
    <w:rsid w:val="004C0F62"/>
    <w:rsid w:val="004C1E42"/>
    <w:rsid w:val="004D2BC6"/>
    <w:rsid w:val="004D36FA"/>
    <w:rsid w:val="004D688A"/>
    <w:rsid w:val="004D693B"/>
    <w:rsid w:val="004E2E19"/>
    <w:rsid w:val="004E3A00"/>
    <w:rsid w:val="004E64BA"/>
    <w:rsid w:val="004F0AAB"/>
    <w:rsid w:val="004F0E27"/>
    <w:rsid w:val="004F5134"/>
    <w:rsid w:val="00503DB7"/>
    <w:rsid w:val="005110C1"/>
    <w:rsid w:val="00511478"/>
    <w:rsid w:val="005132A3"/>
    <w:rsid w:val="00514E5A"/>
    <w:rsid w:val="005176E6"/>
    <w:rsid w:val="00530973"/>
    <w:rsid w:val="00534C3B"/>
    <w:rsid w:val="005439B1"/>
    <w:rsid w:val="00543ADF"/>
    <w:rsid w:val="005440C0"/>
    <w:rsid w:val="00550B17"/>
    <w:rsid w:val="00554B00"/>
    <w:rsid w:val="0055517F"/>
    <w:rsid w:val="00557060"/>
    <w:rsid w:val="00560712"/>
    <w:rsid w:val="0057413D"/>
    <w:rsid w:val="005809F4"/>
    <w:rsid w:val="005857EF"/>
    <w:rsid w:val="005901B5"/>
    <w:rsid w:val="00592579"/>
    <w:rsid w:val="005A04E0"/>
    <w:rsid w:val="005A066D"/>
    <w:rsid w:val="005A3308"/>
    <w:rsid w:val="005A6484"/>
    <w:rsid w:val="005C20E4"/>
    <w:rsid w:val="005C2428"/>
    <w:rsid w:val="005D1C21"/>
    <w:rsid w:val="005E4955"/>
    <w:rsid w:val="005E6606"/>
    <w:rsid w:val="005F119B"/>
    <w:rsid w:val="005F1402"/>
    <w:rsid w:val="005F432C"/>
    <w:rsid w:val="005F5ABA"/>
    <w:rsid w:val="00601653"/>
    <w:rsid w:val="006051F5"/>
    <w:rsid w:val="00605E8C"/>
    <w:rsid w:val="00621A8B"/>
    <w:rsid w:val="00623A7E"/>
    <w:rsid w:val="00630142"/>
    <w:rsid w:val="0063189C"/>
    <w:rsid w:val="00635821"/>
    <w:rsid w:val="006366C5"/>
    <w:rsid w:val="006457C9"/>
    <w:rsid w:val="00650E4B"/>
    <w:rsid w:val="00656963"/>
    <w:rsid w:val="006603ED"/>
    <w:rsid w:val="00667B61"/>
    <w:rsid w:val="006804E7"/>
    <w:rsid w:val="00680B77"/>
    <w:rsid w:val="006A0091"/>
    <w:rsid w:val="006B10CC"/>
    <w:rsid w:val="006C0683"/>
    <w:rsid w:val="006D1151"/>
    <w:rsid w:val="006D3350"/>
    <w:rsid w:val="006E06DC"/>
    <w:rsid w:val="006E118C"/>
    <w:rsid w:val="006E2E91"/>
    <w:rsid w:val="006E3C2F"/>
    <w:rsid w:val="006E7F04"/>
    <w:rsid w:val="006F2B88"/>
    <w:rsid w:val="006F6FD4"/>
    <w:rsid w:val="006F70A9"/>
    <w:rsid w:val="00702194"/>
    <w:rsid w:val="00711826"/>
    <w:rsid w:val="00716352"/>
    <w:rsid w:val="007166B5"/>
    <w:rsid w:val="00722571"/>
    <w:rsid w:val="00731062"/>
    <w:rsid w:val="0073161E"/>
    <w:rsid w:val="007326DB"/>
    <w:rsid w:val="0073722E"/>
    <w:rsid w:val="00745C09"/>
    <w:rsid w:val="00755972"/>
    <w:rsid w:val="00756BF9"/>
    <w:rsid w:val="0075783F"/>
    <w:rsid w:val="00760EAE"/>
    <w:rsid w:val="00771081"/>
    <w:rsid w:val="00771F82"/>
    <w:rsid w:val="00773F2D"/>
    <w:rsid w:val="00775259"/>
    <w:rsid w:val="00787BBF"/>
    <w:rsid w:val="007915F9"/>
    <w:rsid w:val="00795E78"/>
    <w:rsid w:val="007A139C"/>
    <w:rsid w:val="007A4C58"/>
    <w:rsid w:val="007A5BC8"/>
    <w:rsid w:val="007B0902"/>
    <w:rsid w:val="007B4D6A"/>
    <w:rsid w:val="007B5CDE"/>
    <w:rsid w:val="007C287B"/>
    <w:rsid w:val="007C6D42"/>
    <w:rsid w:val="007D1493"/>
    <w:rsid w:val="007D4DE3"/>
    <w:rsid w:val="007F0065"/>
    <w:rsid w:val="00807639"/>
    <w:rsid w:val="00813CFF"/>
    <w:rsid w:val="00823F00"/>
    <w:rsid w:val="00825BF8"/>
    <w:rsid w:val="0083309B"/>
    <w:rsid w:val="00835631"/>
    <w:rsid w:val="00837712"/>
    <w:rsid w:val="00840190"/>
    <w:rsid w:val="00846B25"/>
    <w:rsid w:val="00865940"/>
    <w:rsid w:val="00866553"/>
    <w:rsid w:val="008801D4"/>
    <w:rsid w:val="00880B6E"/>
    <w:rsid w:val="00880FA0"/>
    <w:rsid w:val="00887B47"/>
    <w:rsid w:val="00897302"/>
    <w:rsid w:val="008A1B84"/>
    <w:rsid w:val="008A494B"/>
    <w:rsid w:val="008A716C"/>
    <w:rsid w:val="008B1EE5"/>
    <w:rsid w:val="008B4FF7"/>
    <w:rsid w:val="008C0E3E"/>
    <w:rsid w:val="008C3744"/>
    <w:rsid w:val="008C44A2"/>
    <w:rsid w:val="008C5B89"/>
    <w:rsid w:val="008D315B"/>
    <w:rsid w:val="008D36E9"/>
    <w:rsid w:val="008D5F7D"/>
    <w:rsid w:val="008E55D2"/>
    <w:rsid w:val="008F22E0"/>
    <w:rsid w:val="009218E5"/>
    <w:rsid w:val="00922A53"/>
    <w:rsid w:val="00924C6E"/>
    <w:rsid w:val="00936D44"/>
    <w:rsid w:val="009512CC"/>
    <w:rsid w:val="00954C21"/>
    <w:rsid w:val="00954D10"/>
    <w:rsid w:val="00962A37"/>
    <w:rsid w:val="0096647C"/>
    <w:rsid w:val="00971933"/>
    <w:rsid w:val="00971A10"/>
    <w:rsid w:val="0097292A"/>
    <w:rsid w:val="009745D0"/>
    <w:rsid w:val="00983509"/>
    <w:rsid w:val="0099723A"/>
    <w:rsid w:val="009A02A6"/>
    <w:rsid w:val="009A09D2"/>
    <w:rsid w:val="009B0038"/>
    <w:rsid w:val="009B16B9"/>
    <w:rsid w:val="009B2239"/>
    <w:rsid w:val="009C071D"/>
    <w:rsid w:val="009C7DD7"/>
    <w:rsid w:val="009D6FAC"/>
    <w:rsid w:val="009E2251"/>
    <w:rsid w:val="009E2427"/>
    <w:rsid w:val="009F2229"/>
    <w:rsid w:val="009F2912"/>
    <w:rsid w:val="009F7B2B"/>
    <w:rsid w:val="00A053B5"/>
    <w:rsid w:val="00A12FAC"/>
    <w:rsid w:val="00A20300"/>
    <w:rsid w:val="00A2708E"/>
    <w:rsid w:val="00A275F0"/>
    <w:rsid w:val="00A31FC5"/>
    <w:rsid w:val="00A36033"/>
    <w:rsid w:val="00A40415"/>
    <w:rsid w:val="00A67BEB"/>
    <w:rsid w:val="00A72EF9"/>
    <w:rsid w:val="00A85F61"/>
    <w:rsid w:val="00A87FE4"/>
    <w:rsid w:val="00A92F4E"/>
    <w:rsid w:val="00AB0434"/>
    <w:rsid w:val="00AB2DF0"/>
    <w:rsid w:val="00AC167D"/>
    <w:rsid w:val="00AC39D6"/>
    <w:rsid w:val="00AC5FB7"/>
    <w:rsid w:val="00AD21DE"/>
    <w:rsid w:val="00AD69DF"/>
    <w:rsid w:val="00AE0BAB"/>
    <w:rsid w:val="00AF2168"/>
    <w:rsid w:val="00AF51C4"/>
    <w:rsid w:val="00B00F98"/>
    <w:rsid w:val="00B01084"/>
    <w:rsid w:val="00B0386B"/>
    <w:rsid w:val="00B04B3E"/>
    <w:rsid w:val="00B050A7"/>
    <w:rsid w:val="00B05E1D"/>
    <w:rsid w:val="00B12D54"/>
    <w:rsid w:val="00B166C9"/>
    <w:rsid w:val="00B22FA4"/>
    <w:rsid w:val="00B23BAD"/>
    <w:rsid w:val="00B23EB0"/>
    <w:rsid w:val="00B337F3"/>
    <w:rsid w:val="00B3518B"/>
    <w:rsid w:val="00B37904"/>
    <w:rsid w:val="00B53EC2"/>
    <w:rsid w:val="00B601E8"/>
    <w:rsid w:val="00B6729B"/>
    <w:rsid w:val="00B708ED"/>
    <w:rsid w:val="00B755BA"/>
    <w:rsid w:val="00B94976"/>
    <w:rsid w:val="00BA678D"/>
    <w:rsid w:val="00BC5A27"/>
    <w:rsid w:val="00BE22F3"/>
    <w:rsid w:val="00BE5695"/>
    <w:rsid w:val="00BF7B3E"/>
    <w:rsid w:val="00C0022A"/>
    <w:rsid w:val="00C143AE"/>
    <w:rsid w:val="00C173AC"/>
    <w:rsid w:val="00C20FA3"/>
    <w:rsid w:val="00C25A76"/>
    <w:rsid w:val="00C414CC"/>
    <w:rsid w:val="00C44C54"/>
    <w:rsid w:val="00C570D4"/>
    <w:rsid w:val="00C617E3"/>
    <w:rsid w:val="00C623A1"/>
    <w:rsid w:val="00C6240F"/>
    <w:rsid w:val="00C63198"/>
    <w:rsid w:val="00C807E3"/>
    <w:rsid w:val="00C81AEC"/>
    <w:rsid w:val="00C82837"/>
    <w:rsid w:val="00C834BC"/>
    <w:rsid w:val="00C91F50"/>
    <w:rsid w:val="00C93F1F"/>
    <w:rsid w:val="00CA4F7C"/>
    <w:rsid w:val="00CB4412"/>
    <w:rsid w:val="00CB5CBB"/>
    <w:rsid w:val="00CD0EA2"/>
    <w:rsid w:val="00CD26A8"/>
    <w:rsid w:val="00CD74A9"/>
    <w:rsid w:val="00CD7784"/>
    <w:rsid w:val="00CE3D32"/>
    <w:rsid w:val="00CE52ED"/>
    <w:rsid w:val="00CE60AA"/>
    <w:rsid w:val="00CF63DE"/>
    <w:rsid w:val="00D014AB"/>
    <w:rsid w:val="00D02B5D"/>
    <w:rsid w:val="00D046A3"/>
    <w:rsid w:val="00D0767A"/>
    <w:rsid w:val="00D10C0F"/>
    <w:rsid w:val="00D14D71"/>
    <w:rsid w:val="00D303F7"/>
    <w:rsid w:val="00D32C55"/>
    <w:rsid w:val="00D354AD"/>
    <w:rsid w:val="00D45AE3"/>
    <w:rsid w:val="00D46E2B"/>
    <w:rsid w:val="00D51735"/>
    <w:rsid w:val="00D60B2B"/>
    <w:rsid w:val="00D675A4"/>
    <w:rsid w:val="00D80BA9"/>
    <w:rsid w:val="00D866C8"/>
    <w:rsid w:val="00D908C1"/>
    <w:rsid w:val="00D921F6"/>
    <w:rsid w:val="00DA068A"/>
    <w:rsid w:val="00DA0E53"/>
    <w:rsid w:val="00DA2749"/>
    <w:rsid w:val="00DA65F1"/>
    <w:rsid w:val="00DB4B00"/>
    <w:rsid w:val="00DB5C32"/>
    <w:rsid w:val="00DB62C5"/>
    <w:rsid w:val="00DD0668"/>
    <w:rsid w:val="00DD21D4"/>
    <w:rsid w:val="00DD45E4"/>
    <w:rsid w:val="00DE5A80"/>
    <w:rsid w:val="00DE691A"/>
    <w:rsid w:val="00DF09D2"/>
    <w:rsid w:val="00DF49F3"/>
    <w:rsid w:val="00E01832"/>
    <w:rsid w:val="00E15A6A"/>
    <w:rsid w:val="00E17F5F"/>
    <w:rsid w:val="00E20194"/>
    <w:rsid w:val="00E22E25"/>
    <w:rsid w:val="00E33DE6"/>
    <w:rsid w:val="00E35777"/>
    <w:rsid w:val="00E37AF3"/>
    <w:rsid w:val="00E4247E"/>
    <w:rsid w:val="00E430CB"/>
    <w:rsid w:val="00E44DB0"/>
    <w:rsid w:val="00E55B77"/>
    <w:rsid w:val="00E606F2"/>
    <w:rsid w:val="00E70600"/>
    <w:rsid w:val="00E7157D"/>
    <w:rsid w:val="00E80E0A"/>
    <w:rsid w:val="00E81531"/>
    <w:rsid w:val="00E91F8A"/>
    <w:rsid w:val="00EA2896"/>
    <w:rsid w:val="00EB4E1D"/>
    <w:rsid w:val="00EC0522"/>
    <w:rsid w:val="00EC63E3"/>
    <w:rsid w:val="00ED1E47"/>
    <w:rsid w:val="00EE59E0"/>
    <w:rsid w:val="00EF0459"/>
    <w:rsid w:val="00EF7759"/>
    <w:rsid w:val="00F0422C"/>
    <w:rsid w:val="00F0576C"/>
    <w:rsid w:val="00F124D8"/>
    <w:rsid w:val="00F22C80"/>
    <w:rsid w:val="00F46417"/>
    <w:rsid w:val="00F5481A"/>
    <w:rsid w:val="00F64AE6"/>
    <w:rsid w:val="00F71149"/>
    <w:rsid w:val="00F76B40"/>
    <w:rsid w:val="00F80B31"/>
    <w:rsid w:val="00FA622F"/>
    <w:rsid w:val="00FB5701"/>
    <w:rsid w:val="00FC180F"/>
    <w:rsid w:val="00FD5B30"/>
    <w:rsid w:val="00FE22D4"/>
    <w:rsid w:val="00FE3A5D"/>
    <w:rsid w:val="00FE5A12"/>
    <w:rsid w:val="00FF5541"/>
    <w:rsid w:val="00FF7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6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4E64BA"/>
    <w:rPr>
      <w:color w:val="0000FF"/>
      <w:u w:val="single"/>
    </w:rPr>
  </w:style>
  <w:style w:type="paragraph" w:customStyle="1" w:styleId="p1">
    <w:name w:val="p1"/>
    <w:basedOn w:val="Normal"/>
    <w:rsid w:val="004E64BA"/>
    <w:pPr>
      <w:spacing w:before="100" w:beforeAutospacing="1" w:after="100" w:afterAutospacing="1"/>
    </w:pPr>
    <w:rPr>
      <w:lang w:eastAsia="zh-CN"/>
    </w:rPr>
  </w:style>
  <w:style w:type="paragraph" w:styleId="ListParagraph">
    <w:name w:val="List Paragraph"/>
    <w:basedOn w:val="Normal"/>
    <w:uiPriority w:val="34"/>
    <w:qFormat/>
    <w:rsid w:val="00CD0EA2"/>
    <w:pPr>
      <w:ind w:left="720"/>
      <w:contextualSpacing/>
    </w:pPr>
  </w:style>
  <w:style w:type="paragraph" w:styleId="Footer">
    <w:name w:val="footer"/>
    <w:basedOn w:val="Normal"/>
    <w:link w:val="FooterChar"/>
    <w:uiPriority w:val="99"/>
    <w:unhideWhenUsed/>
    <w:rsid w:val="001E24F3"/>
    <w:pPr>
      <w:tabs>
        <w:tab w:val="center" w:pos="4680"/>
        <w:tab w:val="right" w:pos="9360"/>
      </w:tabs>
    </w:pPr>
  </w:style>
  <w:style w:type="character" w:customStyle="1" w:styleId="FooterChar">
    <w:name w:val="Footer Char"/>
    <w:basedOn w:val="DefaultParagraphFont"/>
    <w:link w:val="Footer"/>
    <w:uiPriority w:val="99"/>
    <w:rsid w:val="001E24F3"/>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1E24F3"/>
  </w:style>
  <w:style w:type="paragraph" w:styleId="BalloonText">
    <w:name w:val="Balloon Text"/>
    <w:basedOn w:val="Normal"/>
    <w:link w:val="BalloonTextChar"/>
    <w:uiPriority w:val="99"/>
    <w:semiHidden/>
    <w:unhideWhenUsed/>
    <w:rsid w:val="00284613"/>
    <w:rPr>
      <w:sz w:val="18"/>
      <w:szCs w:val="18"/>
    </w:rPr>
  </w:style>
  <w:style w:type="character" w:customStyle="1" w:styleId="BalloonTextChar">
    <w:name w:val="Balloon Text Char"/>
    <w:basedOn w:val="DefaultParagraphFont"/>
    <w:link w:val="BalloonText"/>
    <w:uiPriority w:val="99"/>
    <w:semiHidden/>
    <w:rsid w:val="00284613"/>
    <w:rPr>
      <w:rFonts w:ascii="Times New Roman" w:eastAsia="Times New Roman"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divs>
    <w:div w:id="675810944">
      <w:bodyDiv w:val="1"/>
      <w:marLeft w:val="0"/>
      <w:marRight w:val="0"/>
      <w:marTop w:val="0"/>
      <w:marBottom w:val="0"/>
      <w:divBdr>
        <w:top w:val="none" w:sz="0" w:space="0" w:color="auto"/>
        <w:left w:val="none" w:sz="0" w:space="0" w:color="auto"/>
        <w:bottom w:val="none" w:sz="0" w:space="0" w:color="auto"/>
        <w:right w:val="none" w:sz="0" w:space="0" w:color="auto"/>
      </w:divBdr>
      <w:divsChild>
        <w:div w:id="1546990768">
          <w:marLeft w:val="0"/>
          <w:marRight w:val="0"/>
          <w:marTop w:val="0"/>
          <w:marBottom w:val="0"/>
          <w:divBdr>
            <w:top w:val="none" w:sz="0" w:space="0" w:color="auto"/>
            <w:left w:val="none" w:sz="0" w:space="0" w:color="auto"/>
            <w:bottom w:val="none" w:sz="0" w:space="0" w:color="auto"/>
            <w:right w:val="none" w:sz="0" w:space="0" w:color="auto"/>
          </w:divBdr>
        </w:div>
        <w:div w:id="436603990">
          <w:marLeft w:val="0"/>
          <w:marRight w:val="0"/>
          <w:marTop w:val="0"/>
          <w:marBottom w:val="0"/>
          <w:divBdr>
            <w:top w:val="none" w:sz="0" w:space="0" w:color="auto"/>
            <w:left w:val="none" w:sz="0" w:space="0" w:color="auto"/>
            <w:bottom w:val="none" w:sz="0" w:space="0" w:color="auto"/>
            <w:right w:val="none" w:sz="0" w:space="0" w:color="auto"/>
          </w:divBdr>
          <w:divsChild>
            <w:div w:id="1675960296">
              <w:marLeft w:val="0"/>
              <w:marRight w:val="0"/>
              <w:marTop w:val="0"/>
              <w:marBottom w:val="0"/>
              <w:divBdr>
                <w:top w:val="single" w:sz="8" w:space="3" w:color="B5C4DF"/>
                <w:left w:val="none" w:sz="0" w:space="0" w:color="auto"/>
                <w:bottom w:val="none" w:sz="0" w:space="0" w:color="auto"/>
                <w:right w:val="none" w:sz="0" w:space="0" w:color="auto"/>
              </w:divBdr>
            </w:div>
          </w:divsChild>
        </w:div>
        <w:div w:id="1606384743">
          <w:marLeft w:val="0"/>
          <w:marRight w:val="0"/>
          <w:marTop w:val="0"/>
          <w:marBottom w:val="0"/>
          <w:divBdr>
            <w:top w:val="none" w:sz="0" w:space="0" w:color="auto"/>
            <w:left w:val="none" w:sz="0" w:space="0" w:color="auto"/>
            <w:bottom w:val="none" w:sz="0" w:space="0" w:color="auto"/>
            <w:right w:val="none" w:sz="0" w:space="0" w:color="auto"/>
          </w:divBdr>
          <w:divsChild>
            <w:div w:id="984165903">
              <w:marLeft w:val="0"/>
              <w:marRight w:val="0"/>
              <w:marTop w:val="0"/>
              <w:marBottom w:val="0"/>
              <w:divBdr>
                <w:top w:val="none" w:sz="0" w:space="0" w:color="auto"/>
                <w:left w:val="none" w:sz="0" w:space="0" w:color="auto"/>
                <w:bottom w:val="none" w:sz="0" w:space="0" w:color="auto"/>
                <w:right w:val="none" w:sz="0" w:space="0" w:color="auto"/>
              </w:divBdr>
            </w:div>
            <w:div w:id="225839545">
              <w:marLeft w:val="0"/>
              <w:marRight w:val="0"/>
              <w:marTop w:val="0"/>
              <w:marBottom w:val="0"/>
              <w:divBdr>
                <w:top w:val="none" w:sz="0" w:space="0" w:color="auto"/>
                <w:left w:val="none" w:sz="0" w:space="0" w:color="auto"/>
                <w:bottom w:val="none" w:sz="0" w:space="0" w:color="auto"/>
                <w:right w:val="none" w:sz="0" w:space="0" w:color="auto"/>
              </w:divBdr>
            </w:div>
            <w:div w:id="2012021393">
              <w:marLeft w:val="0"/>
              <w:marRight w:val="0"/>
              <w:marTop w:val="0"/>
              <w:marBottom w:val="0"/>
              <w:divBdr>
                <w:top w:val="none" w:sz="0" w:space="0" w:color="auto"/>
                <w:left w:val="none" w:sz="0" w:space="0" w:color="auto"/>
                <w:bottom w:val="none" w:sz="0" w:space="0" w:color="auto"/>
                <w:right w:val="none" w:sz="0" w:space="0" w:color="auto"/>
              </w:divBdr>
            </w:div>
            <w:div w:id="2065399252">
              <w:marLeft w:val="0"/>
              <w:marRight w:val="0"/>
              <w:marTop w:val="0"/>
              <w:marBottom w:val="0"/>
              <w:divBdr>
                <w:top w:val="none" w:sz="0" w:space="0" w:color="auto"/>
                <w:left w:val="none" w:sz="0" w:space="0" w:color="auto"/>
                <w:bottom w:val="none" w:sz="0" w:space="0" w:color="auto"/>
                <w:right w:val="none" w:sz="0" w:space="0" w:color="auto"/>
              </w:divBdr>
            </w:div>
            <w:div w:id="1768884291">
              <w:marLeft w:val="0"/>
              <w:marRight w:val="0"/>
              <w:marTop w:val="0"/>
              <w:marBottom w:val="0"/>
              <w:divBdr>
                <w:top w:val="none" w:sz="0" w:space="0" w:color="auto"/>
                <w:left w:val="none" w:sz="0" w:space="0" w:color="auto"/>
                <w:bottom w:val="none" w:sz="0" w:space="0" w:color="auto"/>
                <w:right w:val="none" w:sz="0" w:space="0" w:color="auto"/>
              </w:divBdr>
            </w:div>
            <w:div w:id="264190472">
              <w:marLeft w:val="0"/>
              <w:marRight w:val="0"/>
              <w:marTop w:val="0"/>
              <w:marBottom w:val="0"/>
              <w:divBdr>
                <w:top w:val="none" w:sz="0" w:space="0" w:color="auto"/>
                <w:left w:val="none" w:sz="0" w:space="0" w:color="auto"/>
                <w:bottom w:val="none" w:sz="0" w:space="0" w:color="auto"/>
                <w:right w:val="none" w:sz="0" w:space="0" w:color="auto"/>
              </w:divBdr>
            </w:div>
            <w:div w:id="1703827160">
              <w:marLeft w:val="0"/>
              <w:marRight w:val="0"/>
              <w:marTop w:val="0"/>
              <w:marBottom w:val="0"/>
              <w:divBdr>
                <w:top w:val="none" w:sz="0" w:space="0" w:color="auto"/>
                <w:left w:val="none" w:sz="0" w:space="0" w:color="auto"/>
                <w:bottom w:val="none" w:sz="0" w:space="0" w:color="auto"/>
                <w:right w:val="none" w:sz="0" w:space="0" w:color="auto"/>
              </w:divBdr>
            </w:div>
            <w:div w:id="843205027">
              <w:marLeft w:val="0"/>
              <w:marRight w:val="0"/>
              <w:marTop w:val="0"/>
              <w:marBottom w:val="0"/>
              <w:divBdr>
                <w:top w:val="none" w:sz="0" w:space="0" w:color="auto"/>
                <w:left w:val="none" w:sz="0" w:space="0" w:color="auto"/>
                <w:bottom w:val="none" w:sz="0" w:space="0" w:color="auto"/>
                <w:right w:val="none" w:sz="0" w:space="0" w:color="auto"/>
              </w:divBdr>
            </w:div>
            <w:div w:id="503399480">
              <w:marLeft w:val="0"/>
              <w:marRight w:val="0"/>
              <w:marTop w:val="0"/>
              <w:marBottom w:val="0"/>
              <w:divBdr>
                <w:top w:val="none" w:sz="0" w:space="0" w:color="auto"/>
                <w:left w:val="none" w:sz="0" w:space="0" w:color="auto"/>
                <w:bottom w:val="none" w:sz="0" w:space="0" w:color="auto"/>
                <w:right w:val="none" w:sz="0" w:space="0" w:color="auto"/>
              </w:divBdr>
            </w:div>
            <w:div w:id="573903434">
              <w:marLeft w:val="0"/>
              <w:marRight w:val="0"/>
              <w:marTop w:val="0"/>
              <w:marBottom w:val="0"/>
              <w:divBdr>
                <w:top w:val="none" w:sz="0" w:space="0" w:color="auto"/>
                <w:left w:val="none" w:sz="0" w:space="0" w:color="auto"/>
                <w:bottom w:val="none" w:sz="0" w:space="0" w:color="auto"/>
                <w:right w:val="none" w:sz="0" w:space="0" w:color="auto"/>
              </w:divBdr>
            </w:div>
            <w:div w:id="933634173">
              <w:marLeft w:val="0"/>
              <w:marRight w:val="0"/>
              <w:marTop w:val="0"/>
              <w:marBottom w:val="0"/>
              <w:divBdr>
                <w:top w:val="none" w:sz="0" w:space="0" w:color="auto"/>
                <w:left w:val="none" w:sz="0" w:space="0" w:color="auto"/>
                <w:bottom w:val="none" w:sz="0" w:space="0" w:color="auto"/>
                <w:right w:val="none" w:sz="0" w:space="0" w:color="auto"/>
              </w:divBdr>
            </w:div>
            <w:div w:id="1832404522">
              <w:marLeft w:val="0"/>
              <w:marRight w:val="0"/>
              <w:marTop w:val="0"/>
              <w:marBottom w:val="0"/>
              <w:divBdr>
                <w:top w:val="none" w:sz="0" w:space="0" w:color="auto"/>
                <w:left w:val="none" w:sz="0" w:space="0" w:color="auto"/>
                <w:bottom w:val="none" w:sz="0" w:space="0" w:color="auto"/>
                <w:right w:val="none" w:sz="0" w:space="0" w:color="auto"/>
              </w:divBdr>
            </w:div>
            <w:div w:id="1323243654">
              <w:marLeft w:val="0"/>
              <w:marRight w:val="0"/>
              <w:marTop w:val="0"/>
              <w:marBottom w:val="0"/>
              <w:divBdr>
                <w:top w:val="none" w:sz="0" w:space="0" w:color="auto"/>
                <w:left w:val="none" w:sz="0" w:space="0" w:color="auto"/>
                <w:bottom w:val="none" w:sz="0" w:space="0" w:color="auto"/>
                <w:right w:val="none" w:sz="0" w:space="0" w:color="auto"/>
              </w:divBdr>
              <w:divsChild>
                <w:div w:id="1586189236">
                  <w:marLeft w:val="0"/>
                  <w:marRight w:val="0"/>
                  <w:marTop w:val="0"/>
                  <w:marBottom w:val="0"/>
                  <w:divBdr>
                    <w:top w:val="none" w:sz="0" w:space="0" w:color="auto"/>
                    <w:left w:val="none" w:sz="0" w:space="0" w:color="auto"/>
                    <w:bottom w:val="none" w:sz="0" w:space="0" w:color="auto"/>
                    <w:right w:val="none" w:sz="0" w:space="0" w:color="auto"/>
                  </w:divBdr>
                  <w:divsChild>
                    <w:div w:id="1363627273">
                      <w:marLeft w:val="0"/>
                      <w:marRight w:val="0"/>
                      <w:marTop w:val="0"/>
                      <w:marBottom w:val="0"/>
                      <w:divBdr>
                        <w:top w:val="none" w:sz="0" w:space="0" w:color="auto"/>
                        <w:left w:val="none" w:sz="0" w:space="0" w:color="auto"/>
                        <w:bottom w:val="none" w:sz="0" w:space="0" w:color="auto"/>
                        <w:right w:val="none" w:sz="0" w:space="0" w:color="auto"/>
                      </w:divBdr>
                      <w:divsChild>
                        <w:div w:id="1051264940">
                          <w:marLeft w:val="0"/>
                          <w:marRight w:val="0"/>
                          <w:marTop w:val="0"/>
                          <w:marBottom w:val="0"/>
                          <w:divBdr>
                            <w:top w:val="none" w:sz="0" w:space="0" w:color="auto"/>
                            <w:left w:val="none" w:sz="0" w:space="0" w:color="auto"/>
                            <w:bottom w:val="none" w:sz="0" w:space="0" w:color="auto"/>
                            <w:right w:val="none" w:sz="0" w:space="0" w:color="auto"/>
                          </w:divBdr>
                          <w:divsChild>
                            <w:div w:id="802234412">
                              <w:marLeft w:val="0"/>
                              <w:marRight w:val="0"/>
                              <w:marTop w:val="0"/>
                              <w:marBottom w:val="0"/>
                              <w:divBdr>
                                <w:top w:val="none" w:sz="0" w:space="0" w:color="auto"/>
                                <w:left w:val="none" w:sz="0" w:space="0" w:color="auto"/>
                                <w:bottom w:val="none" w:sz="0" w:space="0" w:color="auto"/>
                                <w:right w:val="none" w:sz="0" w:space="0" w:color="auto"/>
                              </w:divBdr>
                              <w:divsChild>
                                <w:div w:id="1844585886">
                                  <w:marLeft w:val="0"/>
                                  <w:marRight w:val="0"/>
                                  <w:marTop w:val="0"/>
                                  <w:marBottom w:val="0"/>
                                  <w:divBdr>
                                    <w:top w:val="none" w:sz="0" w:space="0" w:color="auto"/>
                                    <w:left w:val="none" w:sz="0" w:space="0" w:color="auto"/>
                                    <w:bottom w:val="none" w:sz="0" w:space="0" w:color="auto"/>
                                    <w:right w:val="none" w:sz="0" w:space="0" w:color="auto"/>
                                  </w:divBdr>
                                  <w:divsChild>
                                    <w:div w:id="765658248">
                                      <w:marLeft w:val="0"/>
                                      <w:marRight w:val="0"/>
                                      <w:marTop w:val="0"/>
                                      <w:marBottom w:val="0"/>
                                      <w:divBdr>
                                        <w:top w:val="none" w:sz="0" w:space="0" w:color="auto"/>
                                        <w:left w:val="none" w:sz="0" w:space="0" w:color="auto"/>
                                        <w:bottom w:val="none" w:sz="0" w:space="0" w:color="auto"/>
                                        <w:right w:val="none" w:sz="0" w:space="0" w:color="auto"/>
                                      </w:divBdr>
                                      <w:divsChild>
                                        <w:div w:id="829060102">
                                          <w:marLeft w:val="0"/>
                                          <w:marRight w:val="0"/>
                                          <w:marTop w:val="0"/>
                                          <w:marBottom w:val="0"/>
                                          <w:divBdr>
                                            <w:top w:val="none" w:sz="0" w:space="0" w:color="auto"/>
                                            <w:left w:val="none" w:sz="0" w:space="0" w:color="auto"/>
                                            <w:bottom w:val="none" w:sz="0" w:space="0" w:color="auto"/>
                                            <w:right w:val="none" w:sz="0" w:space="0" w:color="auto"/>
                                          </w:divBdr>
                                          <w:divsChild>
                                            <w:div w:id="1038313988">
                                              <w:marLeft w:val="0"/>
                                              <w:marRight w:val="0"/>
                                              <w:marTop w:val="0"/>
                                              <w:marBottom w:val="0"/>
                                              <w:divBdr>
                                                <w:top w:val="none" w:sz="0" w:space="0" w:color="auto"/>
                                                <w:left w:val="none" w:sz="0" w:space="0" w:color="auto"/>
                                                <w:bottom w:val="none" w:sz="0" w:space="0" w:color="auto"/>
                                                <w:right w:val="none" w:sz="0" w:space="0" w:color="auto"/>
                                              </w:divBdr>
                                              <w:divsChild>
                                                <w:div w:id="1178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fulton@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Fulton</dc:creator>
  <cp:keywords/>
  <dc:description/>
  <cp:lastModifiedBy>Admin</cp:lastModifiedBy>
  <cp:revision>37</cp:revision>
  <dcterms:created xsi:type="dcterms:W3CDTF">2021-06-16T19:35:00Z</dcterms:created>
  <dcterms:modified xsi:type="dcterms:W3CDTF">2021-08-05T02:44:00Z</dcterms:modified>
</cp:coreProperties>
</file>