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1AF01E" w14:textId="3A968718" w:rsidR="00724A1A" w:rsidRPr="00124C66" w:rsidRDefault="00524B60" w:rsidP="00524B6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24C66">
        <w:rPr>
          <w:rFonts w:ascii="Times New Roman" w:hAnsi="Times New Roman" w:cs="Times New Roman"/>
          <w:b/>
          <w:bCs/>
          <w:sz w:val="24"/>
          <w:szCs w:val="24"/>
        </w:rPr>
        <w:t>&lt;Supplementary Materials&gt;</w:t>
      </w:r>
    </w:p>
    <w:p w14:paraId="3BC968A7" w14:textId="27E20D25" w:rsidR="00524B60" w:rsidRDefault="00524B60" w:rsidP="00524B6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24B60">
        <w:rPr>
          <w:rFonts w:ascii="Times New Roman" w:hAnsi="Times New Roman" w:cs="Times New Roman"/>
          <w:b/>
          <w:bCs/>
          <w:sz w:val="24"/>
          <w:szCs w:val="24"/>
        </w:rPr>
        <w:t>Supplementary Figure 1.</w:t>
      </w:r>
      <w:r w:rsidRPr="00524B60">
        <w:rPr>
          <w:rFonts w:ascii="Times New Roman" w:hAnsi="Times New Roman" w:cs="Times New Roman"/>
          <w:sz w:val="24"/>
          <w:szCs w:val="24"/>
        </w:rPr>
        <w:t xml:space="preserve"> Representative images showing gross appearance of spleens</w:t>
      </w:r>
      <w:r w:rsidR="00124C66">
        <w:rPr>
          <w:rFonts w:ascii="Times New Roman" w:hAnsi="Times New Roman" w:cs="Times New Roman"/>
          <w:sz w:val="24"/>
          <w:szCs w:val="24"/>
        </w:rPr>
        <w:t xml:space="preserve"> (the upper panels)</w:t>
      </w:r>
      <w:r w:rsidRPr="00524B60">
        <w:rPr>
          <w:rFonts w:ascii="Times New Roman" w:hAnsi="Times New Roman" w:cs="Times New Roman"/>
          <w:sz w:val="24"/>
          <w:szCs w:val="24"/>
        </w:rPr>
        <w:t xml:space="preserve"> and cervical lymph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4B60">
        <w:rPr>
          <w:rFonts w:ascii="Times New Roman" w:hAnsi="Times New Roman" w:cs="Times New Roman"/>
          <w:sz w:val="24"/>
          <w:szCs w:val="24"/>
        </w:rPr>
        <w:t>nodes</w:t>
      </w:r>
      <w:r w:rsidR="00124C66">
        <w:rPr>
          <w:rFonts w:ascii="Times New Roman" w:hAnsi="Times New Roman" w:cs="Times New Roman"/>
          <w:sz w:val="24"/>
          <w:szCs w:val="24"/>
        </w:rPr>
        <w:t xml:space="preserve"> (the lower panels)</w:t>
      </w:r>
      <w:r w:rsidRPr="00524B60">
        <w:rPr>
          <w:rFonts w:ascii="Times New Roman" w:hAnsi="Times New Roman" w:cs="Times New Roman"/>
          <w:sz w:val="24"/>
          <w:szCs w:val="24"/>
        </w:rPr>
        <w:t xml:space="preserve"> from 8-week-old MRL/</w:t>
      </w:r>
      <w:r w:rsidRPr="00524B60">
        <w:rPr>
          <w:rFonts w:ascii="Times New Roman" w:hAnsi="Times New Roman" w:cs="Times New Roman"/>
          <w:i/>
          <w:iCs/>
          <w:sz w:val="24"/>
          <w:szCs w:val="24"/>
        </w:rPr>
        <w:t>lpr</w:t>
      </w:r>
      <w:r w:rsidRPr="00524B60">
        <w:rPr>
          <w:rFonts w:ascii="Times New Roman" w:hAnsi="Times New Roman" w:cs="Times New Roman"/>
          <w:sz w:val="24"/>
          <w:szCs w:val="24"/>
        </w:rPr>
        <w:t xml:space="preserve"> mice.</w:t>
      </w:r>
    </w:p>
    <w:p w14:paraId="261EFC0A" w14:textId="77777777" w:rsidR="00C00FE7" w:rsidRDefault="00C00FE7" w:rsidP="00524B6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9315949" w14:textId="797F80D2" w:rsidR="00124C66" w:rsidRPr="00124C66" w:rsidRDefault="00124C66" w:rsidP="00524B6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B7DFEA3" wp14:editId="12B82C07">
            <wp:extent cx="5943600" cy="1974850"/>
            <wp:effectExtent l="0" t="0" r="0" b="635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6E437" w14:textId="56655E00" w:rsidR="00124C66" w:rsidRDefault="00124C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D41379" w14:textId="20CA6D6B" w:rsidR="00524B60" w:rsidRDefault="00124C66" w:rsidP="00524B6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24C66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2.</w:t>
      </w:r>
      <w:r>
        <w:rPr>
          <w:rFonts w:ascii="Times New Roman" w:hAnsi="Times New Roman" w:cs="Times New Roman"/>
          <w:sz w:val="24"/>
          <w:szCs w:val="24"/>
        </w:rPr>
        <w:t xml:space="preserve"> The gating strategies of flow cytometry analysis in </w:t>
      </w:r>
      <w:r w:rsidRPr="00124C66">
        <w:rPr>
          <w:rFonts w:ascii="Times New Roman" w:hAnsi="Times New Roman" w:cs="Times New Roman"/>
          <w:b/>
          <w:bCs/>
          <w:sz w:val="24"/>
          <w:szCs w:val="24"/>
        </w:rPr>
        <w:t>Figure 2B</w:t>
      </w:r>
      <w:r w:rsidRPr="00124C6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 gating strategy for central memory CD8+ T cells (CD44+ CD62L+) is as lymphocytes in forward scatter (FSC)-A vs. side scatter (SSC)-A, singlets in FSC-H vs. FSC-A and live cells in fixable viability dye-A vs. FSC-A.</w:t>
      </w:r>
    </w:p>
    <w:p w14:paraId="273B7067" w14:textId="45D8D6D4" w:rsidR="00FE71C2" w:rsidRDefault="00124C66" w:rsidP="00FE71C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24C66">
        <w:rPr>
          <w:noProof/>
        </w:rPr>
        <w:drawing>
          <wp:inline distT="0" distB="0" distL="0" distR="0" wp14:anchorId="2E338AA2" wp14:editId="5E19930F">
            <wp:extent cx="4000447" cy="6076950"/>
            <wp:effectExtent l="0" t="0" r="63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9675" cy="609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65C08" w14:textId="77777777" w:rsidR="00FE71C2" w:rsidRDefault="00FE71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8BDF346" w14:textId="0C9519B0" w:rsidR="00DA1036" w:rsidRDefault="00DA1036" w:rsidP="00DA103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B3C9C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S</w:t>
      </w:r>
      <w:r w:rsidRPr="00DB3C9C">
        <w:rPr>
          <w:rFonts w:ascii="Times New Roman" w:hAnsi="Times New Roman" w:cs="Times New Roman"/>
          <w:b/>
          <w:bCs/>
          <w:sz w:val="24"/>
          <w:szCs w:val="24"/>
        </w:rPr>
        <w:t>upplementary Figure 3.</w:t>
      </w:r>
      <w:r>
        <w:rPr>
          <w:rFonts w:ascii="Times New Roman" w:hAnsi="Times New Roman" w:cs="Times New Roman"/>
          <w:sz w:val="24"/>
          <w:szCs w:val="24"/>
        </w:rPr>
        <w:t xml:space="preserve"> Representative dotplots of regulatory T cells (CD4+CD25+CXCR5-FOXP3+</w:t>
      </w:r>
      <w:r w:rsidR="00C00FE7">
        <w:rPr>
          <w:rFonts w:ascii="Times New Roman" w:hAnsi="Times New Roman" w:cs="Times New Roman"/>
          <w:sz w:val="24"/>
          <w:szCs w:val="24"/>
        </w:rPr>
        <w:t>, the upper panels</w:t>
      </w:r>
      <w:r>
        <w:rPr>
          <w:rFonts w:ascii="Times New Roman" w:hAnsi="Times New Roman" w:cs="Times New Roman"/>
          <w:sz w:val="24"/>
          <w:szCs w:val="24"/>
        </w:rPr>
        <w:t>), follicular regulatory T cells (CD4+CD25-CXCR5+PD-1+FOXP3+</w:t>
      </w:r>
      <w:r w:rsidR="00C00FE7">
        <w:rPr>
          <w:rFonts w:ascii="Times New Roman" w:hAnsi="Times New Roman" w:cs="Times New Roman"/>
          <w:sz w:val="24"/>
          <w:szCs w:val="24"/>
        </w:rPr>
        <w:t>, the lower panels</w:t>
      </w:r>
      <w:r>
        <w:rPr>
          <w:rFonts w:ascii="Times New Roman" w:hAnsi="Times New Roman" w:cs="Times New Roman"/>
          <w:sz w:val="24"/>
          <w:szCs w:val="24"/>
        </w:rPr>
        <w:t>), and follicular helper T cells (CD4+CD25-CXCR5+PD-1+FOXP3-</w:t>
      </w:r>
      <w:r w:rsidR="00C00FE7">
        <w:rPr>
          <w:rFonts w:ascii="Times New Roman" w:hAnsi="Times New Roman" w:cs="Times New Roman"/>
          <w:sz w:val="24"/>
          <w:szCs w:val="24"/>
        </w:rPr>
        <w:t>, the lower panels</w:t>
      </w:r>
      <w:r>
        <w:rPr>
          <w:rFonts w:ascii="Times New Roman" w:hAnsi="Times New Roman" w:cs="Times New Roman"/>
          <w:sz w:val="24"/>
          <w:szCs w:val="24"/>
        </w:rPr>
        <w:t xml:space="preserve">) in </w:t>
      </w:r>
      <w:r w:rsidRPr="00DB3C9C">
        <w:rPr>
          <w:rFonts w:ascii="Times New Roman" w:hAnsi="Times New Roman" w:cs="Times New Roman"/>
          <w:b/>
          <w:bCs/>
          <w:sz w:val="24"/>
          <w:szCs w:val="24"/>
        </w:rPr>
        <w:t>Figure 2C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CCA87DA" w14:textId="77777777" w:rsidR="00C00FE7" w:rsidRDefault="00C00FE7" w:rsidP="00DA103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715A57D" w14:textId="4A191AEF" w:rsidR="002C293A" w:rsidRDefault="002C293A" w:rsidP="00DA103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2B244E" wp14:editId="5A64EB20">
            <wp:extent cx="5943600" cy="5075555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BE6C0" w14:textId="77777777" w:rsidR="00DA1036" w:rsidRDefault="00DA103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60AC29C" w14:textId="65D10966" w:rsidR="00124C66" w:rsidRDefault="00FE71C2" w:rsidP="00FE71C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B3C9C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S</w:t>
      </w:r>
      <w:r w:rsidRPr="00DB3C9C">
        <w:rPr>
          <w:rFonts w:ascii="Times New Roman" w:hAnsi="Times New Roman" w:cs="Times New Roman"/>
          <w:b/>
          <w:bCs/>
          <w:sz w:val="24"/>
          <w:szCs w:val="24"/>
        </w:rPr>
        <w:t xml:space="preserve">upplementary Figure </w:t>
      </w:r>
      <w:r w:rsidR="00DA1036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DB3C9C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3C9C">
        <w:rPr>
          <w:rFonts w:ascii="Times New Roman" w:hAnsi="Times New Roman" w:cs="Times New Roman"/>
          <w:sz w:val="24"/>
          <w:szCs w:val="24"/>
        </w:rPr>
        <w:t xml:space="preserve">Representative dotplots of regulatory T cells (CD4+CD25+CXCR5- FOXP3+) in </w:t>
      </w:r>
      <w:r w:rsidR="00DB3C9C" w:rsidRPr="00DB3C9C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DA1036">
        <w:rPr>
          <w:rFonts w:ascii="Times New Roman" w:hAnsi="Times New Roman" w:cs="Times New Roman"/>
          <w:b/>
          <w:bCs/>
          <w:sz w:val="24"/>
          <w:szCs w:val="24"/>
        </w:rPr>
        <w:t>3E</w:t>
      </w:r>
      <w:r w:rsidR="00DB3C9C">
        <w:rPr>
          <w:rFonts w:ascii="Times New Roman" w:hAnsi="Times New Roman" w:cs="Times New Roman"/>
          <w:sz w:val="24"/>
          <w:szCs w:val="24"/>
        </w:rPr>
        <w:t>.</w:t>
      </w:r>
    </w:p>
    <w:p w14:paraId="05E24E54" w14:textId="12030ED5" w:rsidR="00855194" w:rsidRDefault="002C293A" w:rsidP="00FE71C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ED93C7" wp14:editId="4701927D">
            <wp:extent cx="5943600" cy="3427730"/>
            <wp:effectExtent l="0" t="0" r="0" b="127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CB575" w14:textId="77777777" w:rsidR="00855194" w:rsidRDefault="00855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DBD4B6A" w14:textId="63882101" w:rsidR="00DB3C9C" w:rsidRDefault="00855194" w:rsidP="0085519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B3C9C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S</w:t>
      </w:r>
      <w:r w:rsidRPr="00DB3C9C">
        <w:rPr>
          <w:rFonts w:ascii="Times New Roman" w:hAnsi="Times New Roman" w:cs="Times New Roman"/>
          <w:b/>
          <w:bCs/>
          <w:sz w:val="24"/>
          <w:szCs w:val="24"/>
        </w:rPr>
        <w:t xml:space="preserve">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DB3C9C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5194">
        <w:rPr>
          <w:rFonts w:ascii="Times New Roman" w:hAnsi="Times New Roman" w:cs="Times New Roman"/>
          <w:b/>
          <w:sz w:val="24"/>
          <w:szCs w:val="24"/>
        </w:rPr>
        <w:t>(A)</w:t>
      </w:r>
      <w:r w:rsidRPr="00855194">
        <w:rPr>
          <w:rFonts w:ascii="Times New Roman" w:hAnsi="Times New Roman" w:cs="Times New Roman"/>
          <w:sz w:val="24"/>
          <w:szCs w:val="24"/>
        </w:rPr>
        <w:t xml:space="preserve"> Representative flow cytometric image showing CD19+ B cells isolated from spleens of </w:t>
      </w:r>
      <w:r>
        <w:rPr>
          <w:rFonts w:ascii="Times New Roman" w:hAnsi="Times New Roman" w:cs="Times New Roman"/>
          <w:sz w:val="24"/>
          <w:szCs w:val="24"/>
        </w:rPr>
        <w:t>MRL/</w:t>
      </w:r>
      <w:r w:rsidRPr="00855194">
        <w:rPr>
          <w:rFonts w:ascii="Times New Roman" w:hAnsi="Times New Roman" w:cs="Times New Roman"/>
          <w:i/>
          <w:sz w:val="24"/>
          <w:szCs w:val="24"/>
        </w:rPr>
        <w:t>lpr</w:t>
      </w:r>
      <w:r w:rsidRPr="00855194">
        <w:rPr>
          <w:rFonts w:ascii="Times New Roman" w:hAnsi="Times New Roman" w:cs="Times New Roman"/>
          <w:sz w:val="24"/>
          <w:szCs w:val="24"/>
        </w:rPr>
        <w:t xml:space="preserve"> mice. </w:t>
      </w:r>
      <w:r w:rsidRPr="00855194">
        <w:rPr>
          <w:rFonts w:ascii="Times New Roman" w:hAnsi="Times New Roman" w:cs="Times New Roman"/>
          <w:b/>
          <w:sz w:val="24"/>
          <w:szCs w:val="24"/>
        </w:rPr>
        <w:t>(B)</w:t>
      </w:r>
      <w:r w:rsidRPr="00855194">
        <w:rPr>
          <w:rFonts w:ascii="Times New Roman" w:hAnsi="Times New Roman" w:cs="Times New Roman"/>
          <w:sz w:val="24"/>
          <w:szCs w:val="24"/>
        </w:rPr>
        <w:t xml:space="preserve"> B cells (5 × 10</w:t>
      </w:r>
      <w:r w:rsidRPr="00855194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855194">
        <w:rPr>
          <w:rFonts w:ascii="Times New Roman" w:hAnsi="Times New Roman" w:cs="Times New Roman"/>
          <w:sz w:val="24"/>
          <w:szCs w:val="24"/>
        </w:rPr>
        <w:t xml:space="preserve"> cells per well) treated with 1 μg/mL IgM antibodies, 250 ng/mL sCD40L, and 100 ng/mL IL-4 for 2 days with or</w:t>
      </w:r>
      <w:bookmarkStart w:id="0" w:name="_GoBack"/>
      <w:bookmarkEnd w:id="0"/>
      <w:r w:rsidRPr="00855194">
        <w:rPr>
          <w:rFonts w:ascii="Times New Roman" w:hAnsi="Times New Roman" w:cs="Times New Roman"/>
          <w:sz w:val="24"/>
          <w:szCs w:val="24"/>
        </w:rPr>
        <w:t xml:space="preserve"> without graded dose of baricitinib. mRNA levels of </w:t>
      </w:r>
      <w:r w:rsidRPr="00855194">
        <w:rPr>
          <w:rFonts w:ascii="Times New Roman" w:hAnsi="Times New Roman" w:cs="Times New Roman"/>
          <w:i/>
          <w:sz w:val="24"/>
          <w:szCs w:val="24"/>
        </w:rPr>
        <w:t>Aicda</w:t>
      </w:r>
      <w:r w:rsidRPr="00855194">
        <w:rPr>
          <w:rFonts w:ascii="Times New Roman" w:hAnsi="Times New Roman" w:cs="Times New Roman"/>
          <w:sz w:val="24"/>
          <w:szCs w:val="24"/>
        </w:rPr>
        <w:t xml:space="preserve">, and </w:t>
      </w:r>
      <w:r w:rsidRPr="00855194">
        <w:rPr>
          <w:rFonts w:ascii="Times New Roman" w:hAnsi="Times New Roman" w:cs="Times New Roman"/>
          <w:i/>
          <w:sz w:val="24"/>
          <w:szCs w:val="24"/>
        </w:rPr>
        <w:t xml:space="preserve">Bcl6 </w:t>
      </w:r>
      <w:r w:rsidRPr="00855194">
        <w:rPr>
          <w:rFonts w:ascii="Times New Roman" w:hAnsi="Times New Roman" w:cs="Times New Roman"/>
          <w:sz w:val="24"/>
          <w:szCs w:val="24"/>
        </w:rPr>
        <w:t xml:space="preserve">were determined using real-time PCR. </w:t>
      </w:r>
      <w:r w:rsidRPr="00855194">
        <w:rPr>
          <w:rFonts w:ascii="Times New Roman" w:hAnsi="Times New Roman" w:cs="Times New Roman"/>
          <w:b/>
          <w:sz w:val="24"/>
          <w:szCs w:val="24"/>
        </w:rPr>
        <w:t>(C)</w:t>
      </w:r>
      <w:r w:rsidRPr="00855194">
        <w:rPr>
          <w:rFonts w:ascii="Times New Roman" w:hAnsi="Times New Roman" w:cs="Times New Roman"/>
          <w:sz w:val="24"/>
          <w:szCs w:val="24"/>
        </w:rPr>
        <w:t xml:space="preserve"> B cells were treated with the same condition for 5 days. mRNA levels of </w:t>
      </w:r>
      <w:r w:rsidRPr="00855194">
        <w:rPr>
          <w:rFonts w:ascii="Times New Roman" w:hAnsi="Times New Roman" w:cs="Times New Roman"/>
          <w:i/>
          <w:sz w:val="24"/>
          <w:szCs w:val="24"/>
        </w:rPr>
        <w:t>Xbp1</w:t>
      </w:r>
      <w:r w:rsidRPr="00855194">
        <w:rPr>
          <w:rFonts w:ascii="Times New Roman" w:hAnsi="Times New Roman" w:cs="Times New Roman"/>
          <w:sz w:val="24"/>
          <w:szCs w:val="24"/>
        </w:rPr>
        <w:t xml:space="preserve"> and </w:t>
      </w:r>
      <w:r w:rsidRPr="00855194">
        <w:rPr>
          <w:rFonts w:ascii="Times New Roman" w:hAnsi="Times New Roman" w:cs="Times New Roman"/>
          <w:i/>
          <w:sz w:val="24"/>
          <w:szCs w:val="24"/>
        </w:rPr>
        <w:t xml:space="preserve">Irf4 </w:t>
      </w:r>
      <w:r w:rsidRPr="00855194">
        <w:rPr>
          <w:rFonts w:ascii="Times New Roman" w:hAnsi="Times New Roman" w:cs="Times New Roman"/>
          <w:sz w:val="24"/>
          <w:szCs w:val="24"/>
        </w:rPr>
        <w:t xml:space="preserve">were determined using real-time PCR. </w:t>
      </w:r>
      <w:r w:rsidRPr="00855194">
        <w:rPr>
          <w:rFonts w:ascii="Times New Roman" w:hAnsi="Times New Roman" w:cs="Times New Roman"/>
          <w:b/>
          <w:sz w:val="24"/>
          <w:szCs w:val="24"/>
        </w:rPr>
        <w:t>(D)</w:t>
      </w:r>
      <w:r w:rsidRPr="00855194">
        <w:rPr>
          <w:rFonts w:ascii="Times New Roman" w:hAnsi="Times New Roman" w:cs="Times New Roman"/>
          <w:sz w:val="24"/>
          <w:szCs w:val="24"/>
        </w:rPr>
        <w:t xml:space="preserve"> Levels of IgG in culture supernatant were measured by ELISA.</w:t>
      </w:r>
    </w:p>
    <w:p w14:paraId="7867055E" w14:textId="503F97F8" w:rsidR="00855194" w:rsidRPr="00855194" w:rsidRDefault="00855194" w:rsidP="0085519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2B5D2F2" wp14:editId="63423C35">
            <wp:extent cx="5943600" cy="394843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5194" w:rsidRPr="00855194">
      <w:pgSz w:w="12240" w:h="15840"/>
      <w:pgMar w:top="17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304DC4" w14:textId="77777777" w:rsidR="0050320E" w:rsidRDefault="0050320E" w:rsidP="00393DE6">
      <w:pPr>
        <w:spacing w:after="0" w:line="240" w:lineRule="auto"/>
      </w:pPr>
      <w:r>
        <w:separator/>
      </w:r>
    </w:p>
  </w:endnote>
  <w:endnote w:type="continuationSeparator" w:id="0">
    <w:p w14:paraId="1D5C7E53" w14:textId="77777777" w:rsidR="0050320E" w:rsidRDefault="0050320E" w:rsidP="00393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433894" w14:textId="77777777" w:rsidR="0050320E" w:rsidRDefault="0050320E" w:rsidP="00393DE6">
      <w:pPr>
        <w:spacing w:after="0" w:line="240" w:lineRule="auto"/>
      </w:pPr>
      <w:r>
        <w:separator/>
      </w:r>
    </w:p>
  </w:footnote>
  <w:footnote w:type="continuationSeparator" w:id="0">
    <w:p w14:paraId="70E8F6DF" w14:textId="77777777" w:rsidR="0050320E" w:rsidRDefault="0050320E" w:rsidP="00393D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B60"/>
    <w:rsid w:val="00124C66"/>
    <w:rsid w:val="002C293A"/>
    <w:rsid w:val="00393DE6"/>
    <w:rsid w:val="0050320E"/>
    <w:rsid w:val="00524B60"/>
    <w:rsid w:val="00724A1A"/>
    <w:rsid w:val="00794BC2"/>
    <w:rsid w:val="00855194"/>
    <w:rsid w:val="00A22963"/>
    <w:rsid w:val="00C00FE7"/>
    <w:rsid w:val="00DA1036"/>
    <w:rsid w:val="00DB3C9C"/>
    <w:rsid w:val="00FE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90CAB6"/>
  <w15:chartTrackingRefBased/>
  <w15:docId w15:val="{C9314772-4A66-4B57-B982-97DC9167A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4B60"/>
    <w:pPr>
      <w:ind w:leftChars="400" w:left="720"/>
    </w:pPr>
  </w:style>
  <w:style w:type="paragraph" w:styleId="a4">
    <w:name w:val="header"/>
    <w:basedOn w:val="a"/>
    <w:link w:val="Char"/>
    <w:uiPriority w:val="99"/>
    <w:unhideWhenUsed/>
    <w:rsid w:val="00393DE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393DE6"/>
  </w:style>
  <w:style w:type="paragraph" w:styleId="a5">
    <w:name w:val="footer"/>
    <w:basedOn w:val="a"/>
    <w:link w:val="Char0"/>
    <w:uiPriority w:val="99"/>
    <w:unhideWhenUsed/>
    <w:rsid w:val="00393DE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393D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 Youngjae</dc:creator>
  <cp:keywords/>
  <dc:description/>
  <cp:lastModifiedBy>Park Youngjae</cp:lastModifiedBy>
  <cp:revision>3</cp:revision>
  <dcterms:created xsi:type="dcterms:W3CDTF">2021-07-22T10:13:00Z</dcterms:created>
  <dcterms:modified xsi:type="dcterms:W3CDTF">2021-07-22T10:20:00Z</dcterms:modified>
</cp:coreProperties>
</file>