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7475D79" w:rsidR="00654E8F" w:rsidRDefault="00654E8F" w:rsidP="0001436A">
      <w:pPr>
        <w:pStyle w:val="SupplementaryMaterial"/>
      </w:pPr>
      <w:r w:rsidRPr="001549D3">
        <w:t>Supplementary Material</w:t>
      </w:r>
    </w:p>
    <w:p w14:paraId="57D98CC0" w14:textId="4C16BA47" w:rsidR="00E6169A" w:rsidRDefault="00E6169A" w:rsidP="00E6169A">
      <w:pPr>
        <w:pStyle w:val="Heading2"/>
      </w:pPr>
      <w:r w:rsidRPr="0001436A">
        <w:t>Supplementary</w:t>
      </w:r>
      <w:r w:rsidRPr="001549D3">
        <w:t xml:space="preserve"> Figures</w:t>
      </w:r>
      <w:r>
        <w:t xml:space="preserve"> 1.</w:t>
      </w:r>
      <w:r w:rsidR="004F1E8B">
        <w:t xml:space="preserve"> </w:t>
      </w:r>
    </w:p>
    <w:tbl>
      <w:tblPr>
        <w:tblStyle w:val="TableGrid"/>
        <w:tblW w:w="0" w:type="auto"/>
        <w:jc w:val="center"/>
        <w:tblLook w:val="04A0" w:firstRow="1" w:lastRow="0" w:firstColumn="1" w:lastColumn="0" w:noHBand="0" w:noVBand="1"/>
      </w:tblPr>
      <w:tblGrid>
        <w:gridCol w:w="3145"/>
        <w:gridCol w:w="3033"/>
        <w:gridCol w:w="3218"/>
      </w:tblGrid>
      <w:tr w:rsidR="004F1E8B" w14:paraId="3BCED3CE" w14:textId="77777777" w:rsidTr="004F1E8B">
        <w:trPr>
          <w:trHeight w:val="472"/>
          <w:jc w:val="center"/>
        </w:trPr>
        <w:tc>
          <w:tcPr>
            <w:tcW w:w="3145" w:type="dxa"/>
          </w:tcPr>
          <w:p w14:paraId="19F5D13A" w14:textId="77777777" w:rsidR="004F1E8B" w:rsidRDefault="004F1E8B" w:rsidP="004F1E8B">
            <w:pPr>
              <w:spacing w:after="0"/>
              <w:jc w:val="center"/>
            </w:pPr>
          </w:p>
        </w:tc>
        <w:tc>
          <w:tcPr>
            <w:tcW w:w="3033" w:type="dxa"/>
          </w:tcPr>
          <w:p w14:paraId="066864BB" w14:textId="69B63B4E" w:rsidR="004F1E8B" w:rsidRDefault="004F1E8B" w:rsidP="004F1E8B">
            <w:pPr>
              <w:spacing w:after="0"/>
              <w:jc w:val="center"/>
            </w:pPr>
            <w:r>
              <w:t>nNLCs</w:t>
            </w:r>
          </w:p>
        </w:tc>
        <w:tc>
          <w:tcPr>
            <w:tcW w:w="3218" w:type="dxa"/>
          </w:tcPr>
          <w:p w14:paraId="6DED186C" w14:textId="1D1D2A9C" w:rsidR="004F1E8B" w:rsidRDefault="004F1E8B" w:rsidP="004F1E8B">
            <w:pPr>
              <w:spacing w:after="0"/>
              <w:jc w:val="center"/>
            </w:pPr>
            <w:r>
              <w:t>cNLCs</w:t>
            </w:r>
          </w:p>
        </w:tc>
      </w:tr>
      <w:tr w:rsidR="004F1E8B" w14:paraId="140D36AA" w14:textId="77777777" w:rsidTr="004F1E8B">
        <w:trPr>
          <w:jc w:val="center"/>
        </w:trPr>
        <w:tc>
          <w:tcPr>
            <w:tcW w:w="3145" w:type="dxa"/>
          </w:tcPr>
          <w:p w14:paraId="08A06752" w14:textId="4036ABC3" w:rsidR="004F1E8B" w:rsidRDefault="004F1E8B" w:rsidP="004F1E8B">
            <w:pPr>
              <w:spacing w:after="0"/>
              <w:jc w:val="center"/>
            </w:pPr>
            <w:r w:rsidRPr="005F46A4">
              <w:t>Hydrodynamic diameter</w:t>
            </w:r>
            <w:r>
              <w:t xml:space="preserve"> (nm)</w:t>
            </w:r>
          </w:p>
        </w:tc>
        <w:tc>
          <w:tcPr>
            <w:tcW w:w="3033" w:type="dxa"/>
          </w:tcPr>
          <w:p w14:paraId="0CA87455" w14:textId="5D9B3180" w:rsidR="004F1E8B" w:rsidRDefault="004F1E8B" w:rsidP="004F1E8B">
            <w:pPr>
              <w:spacing w:after="0"/>
              <w:jc w:val="center"/>
            </w:pPr>
            <w:r>
              <w:t>52.68 ± 0.15</w:t>
            </w:r>
            <w:r w:rsidRPr="005F46A4">
              <w:t xml:space="preserve"> </w:t>
            </w:r>
          </w:p>
        </w:tc>
        <w:tc>
          <w:tcPr>
            <w:tcW w:w="3218" w:type="dxa"/>
          </w:tcPr>
          <w:p w14:paraId="3583958E" w14:textId="01E38F65" w:rsidR="004F1E8B" w:rsidRDefault="004F1E8B" w:rsidP="004F1E8B">
            <w:pPr>
              <w:spacing w:after="0"/>
              <w:jc w:val="center"/>
            </w:pPr>
            <w:r>
              <w:t>45.18 ± 0.35</w:t>
            </w:r>
            <w:r w:rsidRPr="005F46A4">
              <w:t xml:space="preserve"> </w:t>
            </w:r>
          </w:p>
        </w:tc>
      </w:tr>
      <w:tr w:rsidR="004F1E8B" w14:paraId="005D4FD5" w14:textId="77777777" w:rsidTr="004F1E8B">
        <w:trPr>
          <w:jc w:val="center"/>
        </w:trPr>
        <w:tc>
          <w:tcPr>
            <w:tcW w:w="3145" w:type="dxa"/>
          </w:tcPr>
          <w:p w14:paraId="59F6D593" w14:textId="77777777" w:rsidR="004F1E8B" w:rsidRDefault="004F1E8B" w:rsidP="004F1E8B">
            <w:pPr>
              <w:spacing w:after="0"/>
              <w:jc w:val="center"/>
            </w:pPr>
            <w:r w:rsidRPr="005F46A4">
              <w:t>PdI</w:t>
            </w:r>
          </w:p>
        </w:tc>
        <w:tc>
          <w:tcPr>
            <w:tcW w:w="3033" w:type="dxa"/>
          </w:tcPr>
          <w:p w14:paraId="6D6C3C9F" w14:textId="0403CC15" w:rsidR="004F1E8B" w:rsidRDefault="004F1E8B" w:rsidP="004F1E8B">
            <w:pPr>
              <w:spacing w:after="0"/>
              <w:jc w:val="center"/>
            </w:pPr>
            <w:r>
              <w:t>0.12</w:t>
            </w:r>
            <w:r w:rsidRPr="005F46A4">
              <w:t xml:space="preserve"> ± 0.01</w:t>
            </w:r>
          </w:p>
        </w:tc>
        <w:tc>
          <w:tcPr>
            <w:tcW w:w="3218" w:type="dxa"/>
          </w:tcPr>
          <w:p w14:paraId="6C5E7FE4" w14:textId="370EF697" w:rsidR="004F1E8B" w:rsidRDefault="004F1E8B" w:rsidP="004F1E8B">
            <w:pPr>
              <w:spacing w:after="0"/>
              <w:jc w:val="center"/>
            </w:pPr>
            <w:r w:rsidRPr="004F1E8B">
              <w:t>0.23</w:t>
            </w:r>
            <w:r>
              <w:t xml:space="preserve"> ± 0.007</w:t>
            </w:r>
          </w:p>
        </w:tc>
      </w:tr>
      <w:tr w:rsidR="004F1E8B" w14:paraId="07377FEF" w14:textId="77777777" w:rsidTr="004F1E8B">
        <w:trPr>
          <w:jc w:val="center"/>
        </w:trPr>
        <w:tc>
          <w:tcPr>
            <w:tcW w:w="3145" w:type="dxa"/>
          </w:tcPr>
          <w:p w14:paraId="2FAC3449" w14:textId="3A635060" w:rsidR="004F1E8B" w:rsidRPr="005F46A4" w:rsidRDefault="004F1E8B" w:rsidP="004F1E8B">
            <w:pPr>
              <w:spacing w:after="0"/>
              <w:jc w:val="center"/>
            </w:pPr>
            <w:r w:rsidRPr="004F1E8B">
              <w:t>Zeta poten</w:t>
            </w:r>
            <w:r>
              <w:t>tial (mV)</w:t>
            </w:r>
          </w:p>
        </w:tc>
        <w:tc>
          <w:tcPr>
            <w:tcW w:w="3033" w:type="dxa"/>
          </w:tcPr>
          <w:p w14:paraId="7C5E927B" w14:textId="00937706" w:rsidR="004F1E8B" w:rsidRPr="005F46A4" w:rsidRDefault="004F1E8B" w:rsidP="004F1E8B">
            <w:pPr>
              <w:spacing w:after="0"/>
              <w:jc w:val="center"/>
            </w:pPr>
            <w:r w:rsidRPr="004F1E8B">
              <w:t>-16.5</w:t>
            </w:r>
            <w:r>
              <w:t xml:space="preserve"> </w:t>
            </w:r>
            <w:r w:rsidRPr="005F46A4">
              <w:t>±</w:t>
            </w:r>
            <w:r>
              <w:t xml:space="preserve"> </w:t>
            </w:r>
            <w:r w:rsidRPr="004F1E8B">
              <w:t>0.53</w:t>
            </w:r>
          </w:p>
        </w:tc>
        <w:tc>
          <w:tcPr>
            <w:tcW w:w="3218" w:type="dxa"/>
          </w:tcPr>
          <w:p w14:paraId="53268134" w14:textId="73A77D82" w:rsidR="004F1E8B" w:rsidRPr="005F46A4" w:rsidRDefault="004F1E8B" w:rsidP="004F1E8B">
            <w:pPr>
              <w:keepNext/>
              <w:spacing w:after="0"/>
              <w:jc w:val="center"/>
            </w:pPr>
            <w:r w:rsidRPr="004F1E8B">
              <w:t>45.8</w:t>
            </w:r>
            <w:r>
              <w:t xml:space="preserve"> </w:t>
            </w:r>
            <w:r w:rsidRPr="005F46A4">
              <w:t>±</w:t>
            </w:r>
            <w:r>
              <w:t xml:space="preserve"> </w:t>
            </w:r>
            <w:r w:rsidRPr="004F1E8B">
              <w:t>3.8</w:t>
            </w:r>
          </w:p>
        </w:tc>
      </w:tr>
    </w:tbl>
    <w:p w14:paraId="454A4CDE" w14:textId="56A19333" w:rsidR="004F1E8B" w:rsidRPr="004F1E8B" w:rsidRDefault="004F1E8B" w:rsidP="00440961">
      <w:pPr>
        <w:pStyle w:val="Caption"/>
        <w:jc w:val="both"/>
      </w:pPr>
      <w:r w:rsidRPr="004F1E8B">
        <w:rPr>
          <w:b w:val="0"/>
        </w:rPr>
        <w:t>The hydrodynamic diameter and PDI were measured with a dispersion of 1 mg/mL NLCs in PBS while the zeta potential was measured with a dispersion of 1 mg/mL NLCs in 1 mM NaCl. Each assay was performed in three replications at 25°C.</w:t>
      </w:r>
    </w:p>
    <w:p w14:paraId="04141387" w14:textId="2EFE93DC" w:rsidR="00334112" w:rsidRDefault="00334112" w:rsidP="00334112">
      <w:pPr>
        <w:pStyle w:val="Title"/>
      </w:pPr>
      <w:r>
        <w:rPr>
          <w:noProof/>
          <w:color w:val="00B050"/>
          <w:lang w:val="fr-FR" w:eastAsia="fr-FR"/>
        </w:rPr>
        <w:drawing>
          <wp:inline distT="0" distB="0" distL="0" distR="0" wp14:anchorId="0AD0B107" wp14:editId="032418DD">
            <wp:extent cx="5735012" cy="3054919"/>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419" cy="3075378"/>
                    </a:xfrm>
                    <a:prstGeom prst="rect">
                      <a:avLst/>
                    </a:prstGeom>
                    <a:noFill/>
                  </pic:spPr>
                </pic:pic>
              </a:graphicData>
            </a:graphic>
          </wp:inline>
        </w:drawing>
      </w:r>
    </w:p>
    <w:p w14:paraId="7AC57EEE" w14:textId="21EC9D08" w:rsidR="00334112" w:rsidRDefault="00334112" w:rsidP="00334112">
      <w:pPr>
        <w:jc w:val="both"/>
        <w:rPr>
          <w:rFonts w:cs="Times New Roman"/>
          <w:szCs w:val="24"/>
          <w:lang w:val="en-GB"/>
        </w:rPr>
      </w:pPr>
      <w:r>
        <w:rPr>
          <w:rFonts w:cs="Times New Roman"/>
          <w:szCs w:val="24"/>
          <w:lang w:val="en-GB"/>
        </w:rPr>
        <w:t>Supplementary Figure 1</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w:t>
      </w:r>
      <w:r w:rsidR="004F1E8B" w:rsidRPr="004F1E8B">
        <w:rPr>
          <w:rFonts w:cs="Times New Roman"/>
          <w:szCs w:val="24"/>
          <w:lang w:val="en-GB"/>
        </w:rPr>
        <w:t>Physical characterization of the NLCs</w:t>
      </w:r>
    </w:p>
    <w:p w14:paraId="0D50EDE3" w14:textId="5265AB0E" w:rsidR="004F1E8B" w:rsidRPr="009A5FC8" w:rsidRDefault="004F1E8B" w:rsidP="00334112">
      <w:pPr>
        <w:jc w:val="both"/>
        <w:rPr>
          <w:rFonts w:cs="Times New Roman"/>
          <w:szCs w:val="24"/>
          <w:lang w:val="en-GB"/>
        </w:rPr>
      </w:pPr>
      <w:r>
        <w:rPr>
          <w:rFonts w:cs="Times New Roman"/>
          <w:szCs w:val="24"/>
          <w:lang w:val="en-GB"/>
        </w:rPr>
        <w:t xml:space="preserve">Comment: </w:t>
      </w:r>
      <w:r w:rsidRPr="004F1E8B">
        <w:rPr>
          <w:rFonts w:cs="Times New Roman"/>
          <w:szCs w:val="24"/>
          <w:lang w:val="en-GB"/>
        </w:rPr>
        <w:t xml:space="preserve">The NLCs particles are made of a core with soybean oil and wax surrounded by a monolayer of phospholipids and a dense </w:t>
      </w:r>
      <w:r w:rsidR="00544405" w:rsidRPr="004F1E8B">
        <w:rPr>
          <w:rFonts w:cs="Times New Roman"/>
          <w:szCs w:val="24"/>
          <w:lang w:val="en-GB"/>
        </w:rPr>
        <w:t>PEGylated</w:t>
      </w:r>
      <w:r w:rsidRPr="004F1E8B">
        <w:rPr>
          <w:rFonts w:cs="Times New Roman"/>
          <w:szCs w:val="24"/>
          <w:lang w:val="en-GB"/>
        </w:rPr>
        <w:t xml:space="preserve"> coating with 2 kDa stearate PEG chains. This composition and the manufacturing process leads to the formation of very small stabilized lipid droplets, for further information, please see Delmas et al, Langmuir 2011, 27(5), 1683–1692. These particles and their cationic counterparts are therefore smaller from the cationic lipid particles described in the literature, including SLN and NLC</w:t>
      </w:r>
      <w:r w:rsidR="00440961">
        <w:rPr>
          <w:rFonts w:cs="Times New Roman"/>
          <w:szCs w:val="24"/>
          <w:lang w:val="en-GB"/>
        </w:rPr>
        <w:t>s</w:t>
      </w:r>
      <w:r w:rsidRPr="004F1E8B">
        <w:rPr>
          <w:rFonts w:cs="Times New Roman"/>
          <w:szCs w:val="24"/>
          <w:lang w:val="en-GB"/>
        </w:rPr>
        <w:t xml:space="preserve"> (</w:t>
      </w:r>
      <w:proofErr w:type="spellStart"/>
      <w:r w:rsidRPr="004F1E8B">
        <w:rPr>
          <w:rFonts w:cs="Times New Roman"/>
          <w:szCs w:val="24"/>
          <w:lang w:val="en-GB"/>
        </w:rPr>
        <w:t>Eramus</w:t>
      </w:r>
      <w:proofErr w:type="spellEnd"/>
      <w:r w:rsidRPr="004F1E8B">
        <w:rPr>
          <w:rFonts w:cs="Times New Roman"/>
          <w:szCs w:val="24"/>
          <w:lang w:val="en-GB"/>
        </w:rPr>
        <w:t xml:space="preserve"> et al, Molecular Therapy Volume 26, Issue 10, 3 October 2018, Pages 2507-2522 showing studies with 90 nm-diameter NLC</w:t>
      </w:r>
      <w:r w:rsidR="00440961">
        <w:rPr>
          <w:rFonts w:cs="Times New Roman"/>
          <w:szCs w:val="24"/>
          <w:lang w:val="en-GB"/>
        </w:rPr>
        <w:t>s</w:t>
      </w:r>
      <w:r w:rsidRPr="004F1E8B">
        <w:rPr>
          <w:rFonts w:cs="Times New Roman"/>
          <w:szCs w:val="24"/>
          <w:lang w:val="en-GB"/>
        </w:rPr>
        <w:t>; Brito et al, Mol. Ther., 22 (2014), pp. 2118-2129; cationic emulsion of 100-130 nm).</w:t>
      </w:r>
    </w:p>
    <w:p w14:paraId="777B2BA5" w14:textId="7E4602D9" w:rsidR="00BC40B6" w:rsidRDefault="00BC40B6">
      <w:pPr>
        <w:spacing w:before="0" w:after="200" w:line="276" w:lineRule="auto"/>
      </w:pPr>
      <w:r>
        <w:br w:type="page"/>
      </w:r>
    </w:p>
    <w:p w14:paraId="63D7C2B0" w14:textId="2F190FA2" w:rsidR="00994A3D" w:rsidRDefault="00994A3D" w:rsidP="002366EB">
      <w:pPr>
        <w:pStyle w:val="Heading2"/>
      </w:pPr>
      <w:r w:rsidRPr="0001436A">
        <w:lastRenderedPageBreak/>
        <w:t>Supplementary</w:t>
      </w:r>
      <w:r w:rsidRPr="001549D3">
        <w:t xml:space="preserve"> Figures</w:t>
      </w:r>
      <w:r w:rsidR="00E6169A">
        <w:t xml:space="preserve"> 2</w:t>
      </w:r>
      <w:r w:rsidR="002366EB">
        <w:t>.</w:t>
      </w:r>
    </w:p>
    <w:p w14:paraId="6754D378" w14:textId="7945FBB3" w:rsidR="00994A3D" w:rsidRDefault="002366EB" w:rsidP="002366EB">
      <w:pPr>
        <w:rPr>
          <w:rFonts w:cs="Times New Roman"/>
          <w:szCs w:val="24"/>
        </w:rPr>
      </w:pPr>
      <w:r>
        <w:rPr>
          <w:noProof/>
          <w:lang w:val="fr-FR" w:eastAsia="fr-FR"/>
        </w:rPr>
        <w:drawing>
          <wp:inline distT="0" distB="0" distL="0" distR="0" wp14:anchorId="66EC628B" wp14:editId="2E0448EA">
            <wp:extent cx="6208395" cy="1782012"/>
            <wp:effectExtent l="0" t="0" r="1905" b="8890"/>
            <wp:docPr id="2" name="Picture 2" descr="C:\Users\Arin\AppData\Local\Microsoft\Windows\INetCache\Content.Word\Supp Fi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in\AppData\Local\Microsoft\Windows\INetCache\Content.Word\Supp Fig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1782012"/>
                    </a:xfrm>
                    <a:prstGeom prst="rect">
                      <a:avLst/>
                    </a:prstGeom>
                    <a:noFill/>
                    <a:ln>
                      <a:noFill/>
                    </a:ln>
                  </pic:spPr>
                </pic:pic>
              </a:graphicData>
            </a:graphic>
          </wp:inline>
        </w:drawing>
      </w:r>
    </w:p>
    <w:p w14:paraId="74BC9CB0" w14:textId="12B7DF16" w:rsidR="00B033F5" w:rsidRPr="009A5FC8" w:rsidRDefault="00544405" w:rsidP="00B033F5">
      <w:pPr>
        <w:jc w:val="both"/>
        <w:rPr>
          <w:rFonts w:cs="Times New Roman"/>
          <w:szCs w:val="24"/>
          <w:lang w:val="en-GB"/>
        </w:rPr>
      </w:pPr>
      <w:r>
        <w:rPr>
          <w:rFonts w:cs="Times New Roman"/>
          <w:szCs w:val="24"/>
          <w:lang w:val="en-GB"/>
        </w:rPr>
        <w:t>Supplementary Figure 2</w:t>
      </w:r>
      <w:r w:rsidR="00B033F5" w:rsidRPr="009A5FC8">
        <w:rPr>
          <w:rFonts w:cs="Times New Roman"/>
          <w:szCs w:val="24"/>
          <w:lang w:val="en-GB"/>
        </w:rPr>
        <w:t xml:space="preserve"> </w:t>
      </w:r>
      <w:r w:rsidR="00B033F5">
        <w:rPr>
          <w:rFonts w:cs="Times New Roman"/>
          <w:szCs w:val="24"/>
          <w:lang w:val="en-GB"/>
        </w:rPr>
        <w:t>|</w:t>
      </w:r>
      <w:r w:rsidR="00B033F5" w:rsidRPr="009A5FC8">
        <w:rPr>
          <w:rFonts w:cs="Times New Roman"/>
          <w:szCs w:val="24"/>
          <w:lang w:val="en-GB"/>
        </w:rPr>
        <w:t xml:space="preserve"> Experimental design of metabolic flux analysis</w:t>
      </w:r>
    </w:p>
    <w:p w14:paraId="02D401A7" w14:textId="77777777" w:rsidR="00B033F5" w:rsidRPr="009A5FC8" w:rsidRDefault="00B033F5" w:rsidP="00B033F5">
      <w:pPr>
        <w:jc w:val="both"/>
        <w:rPr>
          <w:rFonts w:cs="Times New Roman"/>
          <w:szCs w:val="24"/>
          <w:lang w:val="en-GB"/>
        </w:rPr>
      </w:pPr>
      <w:r w:rsidRPr="009A5FC8">
        <w:rPr>
          <w:rFonts w:cs="Times New Roman"/>
          <w:szCs w:val="24"/>
          <w:lang w:val="en-GB"/>
        </w:rPr>
        <w:t>Mature BMDCs and BMDMs were seeded on a Seahorse culture plate. One hour after plating, cells were treated with the different nanocarriers. After 24 h of culture, cells were washed and when indicated, stimulated with LPS or IL-4 for 24 h. The metabolic analysis was performed using a Seahorse bio-analyser using the Mito Stress and Glyco Stress assay protocol, with the cor</w:t>
      </w:r>
      <w:r>
        <w:rPr>
          <w:rFonts w:cs="Times New Roman"/>
          <w:szCs w:val="24"/>
          <w:lang w:val="en-GB"/>
        </w:rPr>
        <w:t>responding chemical inhibitors.</w:t>
      </w:r>
    </w:p>
    <w:p w14:paraId="0CD60C33" w14:textId="204919BD" w:rsidR="00BC40B6" w:rsidRDefault="00BC40B6">
      <w:pPr>
        <w:spacing w:before="0" w:after="200" w:line="276" w:lineRule="auto"/>
        <w:rPr>
          <w:rFonts w:cs="Times New Roman"/>
          <w:szCs w:val="24"/>
        </w:rPr>
      </w:pPr>
      <w:r>
        <w:rPr>
          <w:rFonts w:cs="Times New Roman"/>
          <w:szCs w:val="24"/>
        </w:rPr>
        <w:br w:type="page"/>
      </w:r>
    </w:p>
    <w:p w14:paraId="79B861DC" w14:textId="2BDABFED" w:rsidR="00E6169A" w:rsidRDefault="00E6169A" w:rsidP="00E6169A">
      <w:pPr>
        <w:pStyle w:val="Heading2"/>
      </w:pPr>
      <w:r w:rsidRPr="0001436A">
        <w:lastRenderedPageBreak/>
        <w:t>Supplementary</w:t>
      </w:r>
      <w:r w:rsidRPr="001549D3">
        <w:t xml:space="preserve"> Figures</w:t>
      </w:r>
      <w:r>
        <w:t xml:space="preserve"> 3</w:t>
      </w:r>
    </w:p>
    <w:p w14:paraId="30406853" w14:textId="6A34791D" w:rsidR="002366EB" w:rsidRDefault="002366EB" w:rsidP="004F1E8B">
      <w:pPr>
        <w:jc w:val="center"/>
      </w:pPr>
      <w:r>
        <w:rPr>
          <w:noProof/>
          <w:lang w:val="fr-FR" w:eastAsia="fr-FR"/>
        </w:rPr>
        <w:drawing>
          <wp:inline distT="0" distB="0" distL="0" distR="0" wp14:anchorId="09BE3816" wp14:editId="3A159CFD">
            <wp:extent cx="4676775" cy="5229225"/>
            <wp:effectExtent l="0" t="0" r="9525" b="9525"/>
            <wp:docPr id="3" name="Picture 3" descr="C:\Users\Arin\AppData\Local\Microsoft\Windows\INetCache\Content.Word\Figure 1 J7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ppData\Local\Microsoft\Windows\INetCache\Content.Word\Figure 1 J774.tif"/>
                    <pic:cNvPicPr>
                      <a:picLocks noChangeAspect="1" noChangeArrowheads="1"/>
                    </pic:cNvPicPr>
                  </pic:nvPicPr>
                  <pic:blipFill>
                    <a:blip r:embed="rId10" cstate="print">
                      <a:extLst>
                        <a:ext uri="{28A0092B-C50C-407E-A947-70E740481C1C}">
                          <a14:useLocalDpi xmlns:a14="http://schemas.microsoft.com/office/drawing/2010/main" val="0"/>
                        </a:ext>
                      </a:extLst>
                    </a:blip>
                    <a:srcRect l="25996"/>
                    <a:stretch>
                      <a:fillRect/>
                    </a:stretch>
                  </pic:blipFill>
                  <pic:spPr bwMode="auto">
                    <a:xfrm>
                      <a:off x="0" y="0"/>
                      <a:ext cx="4676775" cy="5229225"/>
                    </a:xfrm>
                    <a:prstGeom prst="rect">
                      <a:avLst/>
                    </a:prstGeom>
                    <a:noFill/>
                    <a:ln>
                      <a:noFill/>
                    </a:ln>
                  </pic:spPr>
                </pic:pic>
              </a:graphicData>
            </a:graphic>
          </wp:inline>
        </w:drawing>
      </w:r>
    </w:p>
    <w:p w14:paraId="119DCA5C" w14:textId="11E7B4EF"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3</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Phagocytosis capacity of macrophage cell line J774.1A </w:t>
      </w:r>
    </w:p>
    <w:p w14:paraId="6D68ECFB" w14:textId="77777777" w:rsidR="00B033F5" w:rsidRPr="009A5FC8" w:rsidRDefault="00B033F5" w:rsidP="00B033F5">
      <w:pPr>
        <w:jc w:val="both"/>
        <w:rPr>
          <w:rFonts w:cs="Times New Roman"/>
          <w:szCs w:val="24"/>
          <w:lang w:val="en-GB"/>
        </w:rPr>
      </w:pPr>
      <w:r w:rsidRPr="009A5FC8">
        <w:rPr>
          <w:rFonts w:cs="Times New Roman"/>
          <w:szCs w:val="24"/>
          <w:lang w:val="en-GB"/>
        </w:rPr>
        <w:t xml:space="preserve">J774.1A cells were exposed to nNLCs and cNLCs nanocarriers at 100 µg/mL for 24 h, then incubated with fluorescent microspheres for 6 h, and subsequently analysed by flow cytometry. The repartition of the cells in the 1st, 2nd 3rd and 4th peak corresponds to 0, 1, 2 and 3 or more beads internalization, respectively. Overlaid histograms are shown in </w:t>
      </w:r>
      <w:r w:rsidRPr="009A5FC8">
        <w:rPr>
          <w:rFonts w:cs="Times New Roman"/>
          <w:b/>
          <w:szCs w:val="24"/>
          <w:lang w:val="en-GB"/>
        </w:rPr>
        <w:t xml:space="preserve">(A) </w:t>
      </w:r>
      <w:r w:rsidRPr="009A5FC8">
        <w:rPr>
          <w:rFonts w:cs="Times New Roman"/>
          <w:szCs w:val="24"/>
          <w:lang w:val="en-GB"/>
        </w:rPr>
        <w:t xml:space="preserve">The proportion of cells in each peak was analysed </w:t>
      </w:r>
      <w:r w:rsidRPr="009A5FC8">
        <w:rPr>
          <w:rFonts w:cs="Times New Roman"/>
          <w:b/>
          <w:szCs w:val="24"/>
          <w:lang w:val="en-GB"/>
        </w:rPr>
        <w:t>(B)</w:t>
      </w:r>
      <w:r w:rsidRPr="009A5FC8">
        <w:rPr>
          <w:rFonts w:cs="Times New Roman"/>
          <w:szCs w:val="24"/>
          <w:lang w:val="en-GB"/>
        </w:rPr>
        <w:t>. Data is displayed as mean ± SD (</w:t>
      </w:r>
      <w:r>
        <w:rPr>
          <w:rFonts w:cs="Times New Roman"/>
          <w:szCs w:val="24"/>
          <w:lang w:val="en-GB"/>
        </w:rPr>
        <w:t>N = 3 independent experiments).</w:t>
      </w:r>
    </w:p>
    <w:p w14:paraId="671E7A43" w14:textId="1AA4C7B4" w:rsidR="00BC40B6" w:rsidRDefault="00BC40B6">
      <w:pPr>
        <w:spacing w:before="0" w:after="200" w:line="276" w:lineRule="auto"/>
      </w:pPr>
      <w:r>
        <w:br w:type="page"/>
      </w:r>
    </w:p>
    <w:p w14:paraId="08DC27FF" w14:textId="423802C6" w:rsidR="002366EB" w:rsidRDefault="002366EB" w:rsidP="002366EB">
      <w:pPr>
        <w:pStyle w:val="Heading2"/>
      </w:pPr>
      <w:r w:rsidRPr="0001436A">
        <w:lastRenderedPageBreak/>
        <w:t>Supplementary</w:t>
      </w:r>
      <w:r w:rsidRPr="001549D3">
        <w:t xml:space="preserve"> Figures</w:t>
      </w:r>
      <w:r>
        <w:t xml:space="preserve"> </w:t>
      </w:r>
      <w:r w:rsidR="004F1E8B">
        <w:t>4</w:t>
      </w:r>
    </w:p>
    <w:p w14:paraId="5DB5AF13" w14:textId="6D10D0ED" w:rsidR="006766D8" w:rsidRDefault="00FC1F4F" w:rsidP="002366EB">
      <w:r>
        <w:rPr>
          <w:noProof/>
          <w:lang w:val="fr-FR" w:eastAsia="fr-FR"/>
        </w:rPr>
        <w:drawing>
          <wp:inline distT="0" distB="0" distL="0" distR="0" wp14:anchorId="392C0DA2" wp14:editId="5CC5EA58">
            <wp:extent cx="3592158" cy="63341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781"/>
                    <a:stretch/>
                  </pic:blipFill>
                  <pic:spPr bwMode="auto">
                    <a:xfrm>
                      <a:off x="0" y="0"/>
                      <a:ext cx="3625948" cy="6393707"/>
                    </a:xfrm>
                    <a:prstGeom prst="rect">
                      <a:avLst/>
                    </a:prstGeom>
                    <a:noFill/>
                    <a:ln>
                      <a:noFill/>
                    </a:ln>
                    <a:extLst>
                      <a:ext uri="{53640926-AAD7-44D8-BBD7-CCE9431645EC}">
                        <a14:shadowObscured xmlns:a14="http://schemas.microsoft.com/office/drawing/2010/main"/>
                      </a:ext>
                    </a:extLst>
                  </pic:spPr>
                </pic:pic>
              </a:graphicData>
            </a:graphic>
          </wp:inline>
        </w:drawing>
      </w:r>
    </w:p>
    <w:p w14:paraId="7A8181B3" w14:textId="22F8F658"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4</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Expression of activation surface marker in APCs</w:t>
      </w:r>
    </w:p>
    <w:p w14:paraId="5559A9DC" w14:textId="245685B5" w:rsidR="00B033F5" w:rsidRDefault="00B033F5" w:rsidP="00B033F5">
      <w:pPr>
        <w:jc w:val="both"/>
        <w:rPr>
          <w:rFonts w:cs="Times New Roman"/>
          <w:szCs w:val="24"/>
          <w:lang w:val="en-GB"/>
        </w:rPr>
      </w:pPr>
      <w:r w:rsidRPr="009A5FC8">
        <w:rPr>
          <w:rFonts w:cs="Times New Roman"/>
          <w:szCs w:val="24"/>
          <w:lang w:val="en-GB"/>
        </w:rPr>
        <w:t xml:space="preserve">The expression of activation marker for BMDCs and BMDMs was quantified by flow cytometry after exposure to </w:t>
      </w:r>
      <w:r w:rsidR="00867AAC">
        <w:rPr>
          <w:rFonts w:cs="Times New Roman"/>
          <w:szCs w:val="24"/>
          <w:lang w:val="en-GB"/>
        </w:rPr>
        <w:t>nNLCs</w:t>
      </w:r>
      <w:r w:rsidRPr="009A5FC8">
        <w:rPr>
          <w:rFonts w:cs="Times New Roman"/>
          <w:szCs w:val="24"/>
          <w:lang w:val="en-GB"/>
        </w:rPr>
        <w:t xml:space="preserve"> or </w:t>
      </w:r>
      <w:r w:rsidR="00867AAC">
        <w:rPr>
          <w:rFonts w:cs="Times New Roman"/>
          <w:szCs w:val="24"/>
          <w:lang w:val="en-GB"/>
        </w:rPr>
        <w:t>cNLCs</w:t>
      </w:r>
      <w:r w:rsidRPr="009A5FC8">
        <w:rPr>
          <w:rFonts w:cs="Times New Roman"/>
          <w:szCs w:val="24"/>
          <w:lang w:val="en-GB"/>
        </w:rPr>
        <w:t xml:space="preserve"> for 24 h, followed by LPS stimulation for additional 24 h when indicated. The percentage of double positive (CD86 and MHC-II) BMDCs and BMDMs were gated on CD11b and Cd11c positive cells for BMDCs and CD11b and F4/80 positive cells for BMDMs and contour graph was displayed. The results are representative one of the th</w:t>
      </w:r>
      <w:r>
        <w:rPr>
          <w:rFonts w:cs="Times New Roman"/>
          <w:szCs w:val="24"/>
          <w:lang w:val="en-GB"/>
        </w:rPr>
        <w:t>ree independent experiment.</w:t>
      </w:r>
    </w:p>
    <w:p w14:paraId="26543FCE" w14:textId="3F9F2C5B" w:rsidR="00BC40B6" w:rsidRDefault="00BC40B6">
      <w:pPr>
        <w:spacing w:before="0" w:after="200" w:line="276" w:lineRule="auto"/>
        <w:rPr>
          <w:rFonts w:cs="Times New Roman"/>
          <w:szCs w:val="24"/>
          <w:lang w:val="en-GB"/>
        </w:rPr>
      </w:pPr>
      <w:r>
        <w:rPr>
          <w:rFonts w:cs="Times New Roman"/>
          <w:szCs w:val="24"/>
          <w:lang w:val="en-GB"/>
        </w:rPr>
        <w:br w:type="page"/>
      </w:r>
    </w:p>
    <w:p w14:paraId="00F726F3" w14:textId="42E0AB52" w:rsidR="002366EB" w:rsidRDefault="002366EB" w:rsidP="002366EB">
      <w:pPr>
        <w:pStyle w:val="Heading2"/>
      </w:pPr>
      <w:r w:rsidRPr="0001436A">
        <w:lastRenderedPageBreak/>
        <w:t>Supplementary</w:t>
      </w:r>
      <w:r w:rsidRPr="001549D3">
        <w:t xml:space="preserve"> Figures</w:t>
      </w:r>
      <w:r>
        <w:t xml:space="preserve"> </w:t>
      </w:r>
      <w:r w:rsidR="004F1E8B">
        <w:t>5</w:t>
      </w:r>
      <w:r>
        <w:t>.</w:t>
      </w:r>
    </w:p>
    <w:p w14:paraId="40193B83" w14:textId="77777777" w:rsidR="00BC40B6" w:rsidRPr="00BC40B6" w:rsidRDefault="00BC40B6" w:rsidP="00BC40B6"/>
    <w:p w14:paraId="1939D4C6" w14:textId="31D57416" w:rsidR="002366EB" w:rsidRDefault="002366EB" w:rsidP="002366EB">
      <w:r>
        <w:rPr>
          <w:noProof/>
          <w:lang w:val="fr-FR" w:eastAsia="fr-FR"/>
        </w:rPr>
        <w:drawing>
          <wp:inline distT="0" distB="0" distL="0" distR="0" wp14:anchorId="05291894" wp14:editId="76655233">
            <wp:extent cx="5862594" cy="6115050"/>
            <wp:effectExtent l="0" t="0" r="5080" b="0"/>
            <wp:docPr id="5" name="Picture 5" descr="C:\Users\Arin\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n\AppData\Local\Microsoft\Windows\INetCache\Content.Word\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6862" cy="6119502"/>
                    </a:xfrm>
                    <a:prstGeom prst="rect">
                      <a:avLst/>
                    </a:prstGeom>
                    <a:noFill/>
                    <a:ln>
                      <a:noFill/>
                    </a:ln>
                  </pic:spPr>
                </pic:pic>
              </a:graphicData>
            </a:graphic>
          </wp:inline>
        </w:drawing>
      </w:r>
    </w:p>
    <w:p w14:paraId="2455C073" w14:textId="5F7108BC" w:rsidR="00BC40B6" w:rsidRDefault="00B033F5" w:rsidP="00BC40B6">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5</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Basal respiration, maximal respiration capacity, and spare respiratory capacity of naïve, classically activated or alternatively activated APCs in response to </w:t>
      </w:r>
      <w:r w:rsidR="00867AAC">
        <w:rPr>
          <w:rFonts w:cs="Times New Roman"/>
          <w:szCs w:val="24"/>
          <w:lang w:val="en-GB"/>
        </w:rPr>
        <w:t>nNLCs</w:t>
      </w:r>
      <w:r w:rsidRPr="009A5FC8">
        <w:rPr>
          <w:rFonts w:cs="Times New Roman"/>
          <w:szCs w:val="24"/>
          <w:lang w:val="en-GB"/>
        </w:rPr>
        <w:t xml:space="preserve"> or </w:t>
      </w:r>
      <w:r w:rsidR="00867AAC">
        <w:rPr>
          <w:rFonts w:cs="Times New Roman"/>
          <w:szCs w:val="24"/>
          <w:lang w:val="en-GB"/>
        </w:rPr>
        <w:t>cNLCs</w:t>
      </w:r>
      <w:r>
        <w:rPr>
          <w:rFonts w:cs="Times New Roman"/>
          <w:szCs w:val="24"/>
          <w:lang w:val="en-GB"/>
        </w:rPr>
        <w:t>.</w:t>
      </w:r>
      <w:r w:rsidR="00867AAC">
        <w:rPr>
          <w:rFonts w:cs="Times New Roman"/>
          <w:szCs w:val="24"/>
          <w:lang w:val="en-GB"/>
        </w:rPr>
        <w:t xml:space="preserve"> </w:t>
      </w:r>
      <w:r w:rsidRPr="009A5FC8">
        <w:rPr>
          <w:rFonts w:cs="Times New Roman"/>
          <w:b/>
          <w:szCs w:val="24"/>
          <w:lang w:val="en-GB"/>
        </w:rPr>
        <w:t xml:space="preserve">(A, B) </w:t>
      </w:r>
      <w:r w:rsidRPr="009A5FC8">
        <w:rPr>
          <w:rFonts w:cs="Times New Roman"/>
          <w:szCs w:val="24"/>
          <w:lang w:val="en-GB"/>
        </w:rPr>
        <w:t xml:space="preserve">Basal respiration, </w:t>
      </w:r>
      <w:r w:rsidRPr="009A5FC8">
        <w:rPr>
          <w:rFonts w:cs="Times New Roman"/>
          <w:b/>
          <w:szCs w:val="24"/>
          <w:lang w:val="en-GB"/>
        </w:rPr>
        <w:t xml:space="preserve">(C, D) </w:t>
      </w:r>
      <w:r w:rsidRPr="009A5FC8">
        <w:rPr>
          <w:rFonts w:cs="Times New Roman"/>
          <w:szCs w:val="24"/>
          <w:lang w:val="en-GB"/>
        </w:rPr>
        <w:t xml:space="preserve">Maximal respiration capacity, </w:t>
      </w:r>
      <w:r w:rsidRPr="009A5FC8">
        <w:rPr>
          <w:rFonts w:cs="Times New Roman"/>
          <w:b/>
          <w:szCs w:val="24"/>
          <w:lang w:val="en-GB"/>
        </w:rPr>
        <w:t xml:space="preserve">(E, F) </w:t>
      </w:r>
      <w:r w:rsidRPr="009A5FC8">
        <w:rPr>
          <w:rFonts w:cs="Times New Roman"/>
          <w:szCs w:val="24"/>
          <w:lang w:val="en-GB"/>
        </w:rPr>
        <w:t xml:space="preserve">Spare respiratory capacity of BMDCs and BMDMs respectively were measured after exposure to </w:t>
      </w:r>
      <w:r w:rsidR="00867AAC">
        <w:rPr>
          <w:rFonts w:cs="Times New Roman"/>
          <w:szCs w:val="24"/>
          <w:lang w:val="en-GB"/>
        </w:rPr>
        <w:t>cNLCs</w:t>
      </w:r>
      <w:r w:rsidRPr="009A5FC8">
        <w:rPr>
          <w:rFonts w:cs="Times New Roman"/>
          <w:szCs w:val="24"/>
          <w:lang w:val="en-GB"/>
        </w:rPr>
        <w:t xml:space="preserve"> or </w:t>
      </w:r>
      <w:r w:rsidR="00867AAC">
        <w:rPr>
          <w:rFonts w:cs="Times New Roman"/>
          <w:szCs w:val="24"/>
          <w:lang w:val="en-GB"/>
        </w:rPr>
        <w:t>nNLCs</w:t>
      </w:r>
      <w:r w:rsidRPr="009A5FC8">
        <w:rPr>
          <w:rFonts w:cs="Times New Roman"/>
          <w:szCs w:val="24"/>
          <w:lang w:val="en-GB"/>
        </w:rPr>
        <w:t xml:space="preserve"> for 24 h and activated by LPS or IL-4 for another 24 h. Oxygen consumption rate (OCR) was quantified using a Seahorse XF analyser. Data was normalized by cell number based on cell count (Hoechst 33342 staining) and is displayed as mean ± SD (N = 4 independent experiments). Statistical significance between nanocarrier treated or untreated groups was performed by one-way ANOVA test using Tukey's multiple comparisons test. *P ≤ 0.05; **P ≤ 0.01</w:t>
      </w:r>
      <w:r>
        <w:rPr>
          <w:rFonts w:cs="Times New Roman"/>
          <w:szCs w:val="24"/>
          <w:lang w:val="en-GB"/>
        </w:rPr>
        <w:t>; ***P ≤ 0.001; ****P ≤ 0.0001.</w:t>
      </w:r>
      <w:r w:rsidR="00BC40B6">
        <w:rPr>
          <w:rFonts w:cs="Times New Roman"/>
          <w:szCs w:val="24"/>
          <w:lang w:val="en-GB"/>
        </w:rPr>
        <w:br w:type="page"/>
      </w:r>
    </w:p>
    <w:p w14:paraId="249DEC6E" w14:textId="05EAAC20" w:rsidR="002366EB" w:rsidRDefault="002366EB" w:rsidP="002366EB">
      <w:pPr>
        <w:pStyle w:val="Heading2"/>
      </w:pPr>
      <w:r w:rsidRPr="0001436A">
        <w:lastRenderedPageBreak/>
        <w:t>Supplementary</w:t>
      </w:r>
      <w:r w:rsidRPr="001549D3">
        <w:t xml:space="preserve"> Figures</w:t>
      </w:r>
      <w:r>
        <w:t xml:space="preserve"> </w:t>
      </w:r>
      <w:r w:rsidR="004F1E8B">
        <w:t>6</w:t>
      </w:r>
      <w:r>
        <w:t>.</w:t>
      </w:r>
    </w:p>
    <w:p w14:paraId="16DA0B10" w14:textId="77777777" w:rsidR="00BC40B6" w:rsidRPr="00BC40B6" w:rsidRDefault="00BC40B6" w:rsidP="00BC40B6"/>
    <w:p w14:paraId="134D068B" w14:textId="5EF36737" w:rsidR="002366EB" w:rsidRDefault="002366EB" w:rsidP="002366EB">
      <w:r>
        <w:rPr>
          <w:noProof/>
          <w:lang w:val="fr-FR" w:eastAsia="fr-FR"/>
        </w:rPr>
        <w:drawing>
          <wp:inline distT="0" distB="0" distL="0" distR="0" wp14:anchorId="02169D94" wp14:editId="3CE70059">
            <wp:extent cx="5972175" cy="4400550"/>
            <wp:effectExtent l="0" t="0" r="9525" b="0"/>
            <wp:docPr id="8" name="Picture 8" descr="C:\Users\Arin\AppData\Local\Microsoft\Windows\INetCache\Content.Wor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n\AppData\Local\Microsoft\Windows\INetCache\Content.Word\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4400550"/>
                    </a:xfrm>
                    <a:prstGeom prst="rect">
                      <a:avLst/>
                    </a:prstGeom>
                    <a:noFill/>
                    <a:ln>
                      <a:noFill/>
                    </a:ln>
                  </pic:spPr>
                </pic:pic>
              </a:graphicData>
            </a:graphic>
          </wp:inline>
        </w:drawing>
      </w:r>
    </w:p>
    <w:p w14:paraId="778E7F19" w14:textId="69CA406C"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6</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Non-mitochondrial oxygen consumption and percentage of coupling efficiency of naïve, classically activated or alternatively activated APCs in response to </w:t>
      </w:r>
      <w:r w:rsidR="00867AAC">
        <w:rPr>
          <w:rFonts w:cs="Times New Roman"/>
          <w:szCs w:val="24"/>
          <w:lang w:val="en-GB"/>
        </w:rPr>
        <w:t>nNLCs</w:t>
      </w:r>
      <w:r w:rsidRPr="009A5FC8">
        <w:rPr>
          <w:rFonts w:cs="Times New Roman"/>
          <w:szCs w:val="24"/>
          <w:lang w:val="en-GB"/>
        </w:rPr>
        <w:t xml:space="preserve"> or </w:t>
      </w:r>
      <w:r w:rsidR="00867AAC">
        <w:rPr>
          <w:rFonts w:cs="Times New Roman"/>
          <w:szCs w:val="24"/>
          <w:lang w:val="en-GB"/>
        </w:rPr>
        <w:t>cNLCs</w:t>
      </w:r>
      <w:r>
        <w:rPr>
          <w:rFonts w:cs="Times New Roman"/>
          <w:szCs w:val="24"/>
          <w:lang w:val="en-GB"/>
        </w:rPr>
        <w:t>.</w:t>
      </w:r>
      <w:r w:rsidR="00867AAC">
        <w:rPr>
          <w:rFonts w:cs="Times New Roman"/>
          <w:szCs w:val="24"/>
          <w:lang w:val="en-GB"/>
        </w:rPr>
        <w:t xml:space="preserve"> </w:t>
      </w:r>
      <w:r w:rsidRPr="009A5FC8">
        <w:rPr>
          <w:rFonts w:cs="Times New Roman"/>
          <w:b/>
          <w:szCs w:val="24"/>
          <w:lang w:val="en-GB"/>
        </w:rPr>
        <w:t xml:space="preserve">(A, B) </w:t>
      </w:r>
      <w:r w:rsidRPr="009A5FC8">
        <w:rPr>
          <w:rFonts w:cs="Times New Roman"/>
          <w:szCs w:val="24"/>
          <w:lang w:val="en-GB"/>
        </w:rPr>
        <w:t xml:space="preserve">Non-mitochondrial oxygen consumption, </w:t>
      </w:r>
      <w:r w:rsidRPr="009A5FC8">
        <w:rPr>
          <w:rFonts w:cs="Times New Roman"/>
          <w:b/>
          <w:szCs w:val="24"/>
          <w:lang w:val="en-GB"/>
        </w:rPr>
        <w:t xml:space="preserve">(C, D) </w:t>
      </w:r>
      <w:r w:rsidRPr="009A5FC8">
        <w:rPr>
          <w:rFonts w:cs="Times New Roman"/>
          <w:szCs w:val="24"/>
          <w:lang w:val="en-GB"/>
        </w:rPr>
        <w:t xml:space="preserve">percentage of coupling efficiency of BMDCs and BMDMs, respectively, were measured after exposure to </w:t>
      </w:r>
      <w:r w:rsidR="00867AAC">
        <w:rPr>
          <w:rFonts w:cs="Times New Roman"/>
          <w:szCs w:val="24"/>
          <w:lang w:val="en-GB"/>
        </w:rPr>
        <w:t>cNLCs</w:t>
      </w:r>
      <w:r w:rsidRPr="009A5FC8">
        <w:rPr>
          <w:rFonts w:cs="Times New Roman"/>
          <w:szCs w:val="24"/>
          <w:lang w:val="en-GB"/>
        </w:rPr>
        <w:t xml:space="preserve"> or </w:t>
      </w:r>
      <w:r w:rsidR="00867AAC">
        <w:rPr>
          <w:rFonts w:cs="Times New Roman"/>
          <w:szCs w:val="24"/>
          <w:lang w:val="en-GB"/>
        </w:rPr>
        <w:t>nNLCs</w:t>
      </w:r>
      <w:r w:rsidRPr="009A5FC8">
        <w:rPr>
          <w:rFonts w:cs="Times New Roman"/>
          <w:szCs w:val="24"/>
          <w:lang w:val="en-GB"/>
        </w:rPr>
        <w:t xml:space="preserve"> for 24 h and activated by LPS or IL-4 for another 24 h. Oxygen consumption rate (OCR) was quantified using a Seahorse XF analyser. Data was normalized by cell number based on cell count (Hoechst 33342 staining) and is displayed as mean ± SD (N = 4 independent experiments). Statistical significance between nanocarrier treated or untreated groups was performed by one-way ANOVA test using Tukey's multiple comparisons test. *P ≤ 0.05; **P ≤ 0.01; **</w:t>
      </w:r>
      <w:r>
        <w:rPr>
          <w:rFonts w:cs="Times New Roman"/>
          <w:szCs w:val="24"/>
          <w:lang w:val="en-GB"/>
        </w:rPr>
        <w:t>*P ≤ 0.001; ****P ≤ 0.0001.</w:t>
      </w:r>
    </w:p>
    <w:p w14:paraId="3ACB8D63" w14:textId="3F90572B" w:rsidR="002366EB" w:rsidRDefault="002366EB" w:rsidP="002366EB"/>
    <w:p w14:paraId="1F6CDAEC" w14:textId="7D7B8C70" w:rsidR="00BC40B6" w:rsidRDefault="00BC40B6">
      <w:pPr>
        <w:spacing w:before="0" w:after="200" w:line="276" w:lineRule="auto"/>
      </w:pPr>
      <w:r>
        <w:br w:type="page"/>
      </w:r>
    </w:p>
    <w:p w14:paraId="5983FB9F" w14:textId="252AAEF8" w:rsidR="002366EB" w:rsidRDefault="002366EB" w:rsidP="002366EB">
      <w:pPr>
        <w:pStyle w:val="Heading2"/>
      </w:pPr>
      <w:r w:rsidRPr="0001436A">
        <w:lastRenderedPageBreak/>
        <w:t>Supplementary</w:t>
      </w:r>
      <w:r w:rsidRPr="001549D3">
        <w:t xml:space="preserve"> Figures</w:t>
      </w:r>
      <w:r w:rsidR="00544405">
        <w:t xml:space="preserve"> 7</w:t>
      </w:r>
      <w:r>
        <w:t>.</w:t>
      </w:r>
    </w:p>
    <w:p w14:paraId="779679E0" w14:textId="70251B84" w:rsidR="002366EB" w:rsidRDefault="002366EB" w:rsidP="002366EB">
      <w:r>
        <w:rPr>
          <w:noProof/>
          <w:lang w:val="fr-FR" w:eastAsia="fr-FR"/>
        </w:rPr>
        <w:drawing>
          <wp:inline distT="0" distB="0" distL="0" distR="0" wp14:anchorId="02E3C3C7" wp14:editId="58CB6FCE">
            <wp:extent cx="5972175" cy="2676525"/>
            <wp:effectExtent l="0" t="0" r="9525" b="9525"/>
            <wp:docPr id="9" name="Picture 9" descr="C:\Users\Arin\AppData\Local\Microsoft\Windows\INetCache\Content.Word\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n\AppData\Local\Microsoft\Windows\INetCache\Content.Word\Figure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2676525"/>
                    </a:xfrm>
                    <a:prstGeom prst="rect">
                      <a:avLst/>
                    </a:prstGeom>
                    <a:noFill/>
                    <a:ln>
                      <a:noFill/>
                    </a:ln>
                  </pic:spPr>
                </pic:pic>
              </a:graphicData>
            </a:graphic>
          </wp:inline>
        </w:drawing>
      </w:r>
    </w:p>
    <w:p w14:paraId="3DD6E9B7" w14:textId="2AA5A925"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7</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Glycolytic capacity of naïve, naïve, classically activated or alternatively activated APCs in response to </w:t>
      </w:r>
      <w:r w:rsidR="00867AAC">
        <w:rPr>
          <w:rFonts w:cs="Times New Roman"/>
          <w:szCs w:val="24"/>
          <w:lang w:val="en-GB"/>
        </w:rPr>
        <w:t>nNLCs</w:t>
      </w:r>
      <w:r w:rsidRPr="009A5FC8">
        <w:rPr>
          <w:rFonts w:cs="Times New Roman"/>
          <w:szCs w:val="24"/>
          <w:lang w:val="en-GB"/>
        </w:rPr>
        <w:t xml:space="preserve"> or </w:t>
      </w:r>
      <w:r w:rsidR="00867AAC">
        <w:rPr>
          <w:rFonts w:cs="Times New Roman"/>
          <w:szCs w:val="24"/>
          <w:lang w:val="en-GB"/>
        </w:rPr>
        <w:t>cNLCs</w:t>
      </w:r>
      <w:r>
        <w:rPr>
          <w:rFonts w:cs="Times New Roman"/>
          <w:szCs w:val="24"/>
          <w:lang w:val="en-GB"/>
        </w:rPr>
        <w:t>.</w:t>
      </w:r>
      <w:r w:rsidRPr="009A5FC8">
        <w:rPr>
          <w:rFonts w:cs="Times New Roman"/>
          <w:szCs w:val="24"/>
          <w:lang w:val="en-GB"/>
        </w:rPr>
        <w:t xml:space="preserve"> Glycolytic capacity </w:t>
      </w:r>
      <w:r w:rsidRPr="009A5FC8">
        <w:rPr>
          <w:rFonts w:cs="Times New Roman"/>
          <w:b/>
          <w:szCs w:val="24"/>
          <w:lang w:val="en-GB"/>
        </w:rPr>
        <w:t>(A)</w:t>
      </w:r>
      <w:r w:rsidRPr="009A5FC8">
        <w:rPr>
          <w:rFonts w:cs="Times New Roman"/>
          <w:szCs w:val="24"/>
          <w:lang w:val="en-GB"/>
        </w:rPr>
        <w:t xml:space="preserve"> in BMDCs and </w:t>
      </w:r>
      <w:r w:rsidRPr="009A5FC8">
        <w:rPr>
          <w:rFonts w:cs="Times New Roman"/>
          <w:b/>
          <w:szCs w:val="24"/>
          <w:lang w:val="en-GB"/>
        </w:rPr>
        <w:t>(B)</w:t>
      </w:r>
      <w:r w:rsidRPr="009A5FC8">
        <w:rPr>
          <w:rFonts w:cs="Times New Roman"/>
          <w:szCs w:val="24"/>
          <w:lang w:val="en-GB"/>
        </w:rPr>
        <w:t xml:space="preserve"> in BMDMs were evaluated after exposure to </w:t>
      </w:r>
      <w:r w:rsidR="00867AAC">
        <w:rPr>
          <w:rFonts w:cs="Times New Roman"/>
          <w:szCs w:val="24"/>
          <w:lang w:val="en-GB"/>
        </w:rPr>
        <w:t>cNLCs</w:t>
      </w:r>
      <w:r w:rsidRPr="009A5FC8">
        <w:rPr>
          <w:rFonts w:cs="Times New Roman"/>
          <w:szCs w:val="24"/>
          <w:lang w:val="en-GB"/>
        </w:rPr>
        <w:t xml:space="preserve"> or </w:t>
      </w:r>
      <w:r w:rsidR="00867AAC">
        <w:rPr>
          <w:rFonts w:cs="Times New Roman"/>
          <w:szCs w:val="24"/>
          <w:lang w:val="en-GB"/>
        </w:rPr>
        <w:t>nNLCs</w:t>
      </w:r>
      <w:r w:rsidRPr="009A5FC8">
        <w:rPr>
          <w:rFonts w:cs="Times New Roman"/>
          <w:szCs w:val="24"/>
          <w:lang w:val="en-GB"/>
        </w:rPr>
        <w:t xml:space="preserve"> for 24 h and activated by LPS or IL-4 for another 24 h.  Extracellular acidification rate (ECAR) was quantified using a Seahorse XF analyser. Data was normalized by cell number based on cell count (Hoechst 33342 staining) and is displayed as mean ± SD (N = 4 independent experiments). Statistical significance between nanocarrier treated or untreated groups was performed by one-way ANOVA test using Tukey's multiple comparisons test. **P ≤ 0.01; </w:t>
      </w:r>
      <w:r>
        <w:rPr>
          <w:rFonts w:cs="Times New Roman"/>
          <w:szCs w:val="24"/>
          <w:lang w:val="en-GB"/>
        </w:rPr>
        <w:t>***P ≤ 0.001; ****P ≤ 0.0001.</w:t>
      </w:r>
    </w:p>
    <w:p w14:paraId="5A9D81CD" w14:textId="272CD7F9" w:rsidR="002366EB" w:rsidRDefault="002366EB" w:rsidP="002366EB"/>
    <w:p w14:paraId="7E662825" w14:textId="0AB1746B" w:rsidR="00BC40B6" w:rsidRDefault="00BC40B6">
      <w:pPr>
        <w:spacing w:before="0" w:after="200" w:line="276" w:lineRule="auto"/>
      </w:pPr>
      <w:r>
        <w:br w:type="page"/>
      </w:r>
    </w:p>
    <w:p w14:paraId="3758E8ED" w14:textId="246BA516" w:rsidR="002366EB" w:rsidRDefault="002366EB" w:rsidP="002366EB">
      <w:pPr>
        <w:pStyle w:val="Heading2"/>
      </w:pPr>
      <w:r w:rsidRPr="0001436A">
        <w:lastRenderedPageBreak/>
        <w:t>Supplementary</w:t>
      </w:r>
      <w:r w:rsidRPr="001549D3">
        <w:t xml:space="preserve"> Figures</w:t>
      </w:r>
      <w:r>
        <w:t xml:space="preserve"> </w:t>
      </w:r>
      <w:r w:rsidR="00544405">
        <w:t>8</w:t>
      </w:r>
      <w:r>
        <w:t>.</w:t>
      </w:r>
    </w:p>
    <w:p w14:paraId="32D248E6" w14:textId="0449E89B" w:rsidR="002366EB" w:rsidRDefault="002366EB" w:rsidP="002366EB">
      <w:r>
        <w:rPr>
          <w:noProof/>
          <w:lang w:val="fr-FR" w:eastAsia="fr-FR"/>
        </w:rPr>
        <w:drawing>
          <wp:inline distT="0" distB="0" distL="0" distR="0" wp14:anchorId="7080ABAD" wp14:editId="0057A95A">
            <wp:extent cx="5972175" cy="2419350"/>
            <wp:effectExtent l="0" t="0" r="9525" b="0"/>
            <wp:docPr id="10" name="Picture 10" descr="Supp fig 7_ R_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 fig 7_ R_ch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inline>
        </w:drawing>
      </w:r>
    </w:p>
    <w:p w14:paraId="52B0E739" w14:textId="082E717D"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8</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Experimental design of metabolic flux analysis for reversal of nanocarrier surface charge</w:t>
      </w:r>
      <w:r>
        <w:rPr>
          <w:rFonts w:cs="Times New Roman"/>
          <w:szCs w:val="24"/>
          <w:lang w:val="en-GB"/>
        </w:rPr>
        <w:t>.</w:t>
      </w:r>
      <w:r w:rsidRPr="009A5FC8">
        <w:rPr>
          <w:rFonts w:cs="Times New Roman"/>
          <w:szCs w:val="24"/>
          <w:lang w:val="en-GB"/>
        </w:rPr>
        <w:t xml:space="preserve"> Mature BMDCs and BMDMs were seeded in Seahorse culture plate. One hour after plating, cells were treated with the different nanocarriers, and when indicated with nanocarriers/siRNA nanocomplexes at the corresponding N/P ratios. After 24 h of culture, cells were washed and when indicated stimulated with LPS or IL-4 for 24 h. The metabolic analysis was performed using a Seahorse bio-analyser using the Mito Stress and Glyco Stress assay protocol, with the cor</w:t>
      </w:r>
      <w:r>
        <w:rPr>
          <w:rFonts w:cs="Times New Roman"/>
          <w:szCs w:val="24"/>
          <w:lang w:val="en-GB"/>
        </w:rPr>
        <w:t>responding chemical inhibitors.</w:t>
      </w:r>
    </w:p>
    <w:p w14:paraId="226D424D" w14:textId="693AA755" w:rsidR="002366EB" w:rsidRDefault="002366EB" w:rsidP="002366EB"/>
    <w:p w14:paraId="0A3256A0" w14:textId="49EC0E2B" w:rsidR="00BC40B6" w:rsidRDefault="00BC40B6">
      <w:pPr>
        <w:spacing w:before="0" w:after="200" w:line="276" w:lineRule="auto"/>
      </w:pPr>
      <w:r>
        <w:br w:type="page"/>
      </w:r>
    </w:p>
    <w:p w14:paraId="68ECAC4E" w14:textId="6E5BFF02" w:rsidR="002366EB" w:rsidRDefault="002366EB" w:rsidP="002366EB">
      <w:pPr>
        <w:pStyle w:val="Heading2"/>
      </w:pPr>
      <w:r w:rsidRPr="0001436A">
        <w:lastRenderedPageBreak/>
        <w:t>Supplementary</w:t>
      </w:r>
      <w:r w:rsidRPr="001549D3">
        <w:t xml:space="preserve"> Figures</w:t>
      </w:r>
      <w:r w:rsidR="00544405">
        <w:t xml:space="preserve"> 9</w:t>
      </w:r>
      <w:r>
        <w:t>.</w:t>
      </w:r>
    </w:p>
    <w:p w14:paraId="0CFE0A41" w14:textId="0454B3F8" w:rsidR="002366EB" w:rsidRPr="002366EB" w:rsidRDefault="002366EB" w:rsidP="002366EB">
      <w:r>
        <w:rPr>
          <w:noProof/>
          <w:lang w:val="fr-FR" w:eastAsia="fr-FR"/>
        </w:rPr>
        <w:drawing>
          <wp:inline distT="0" distB="0" distL="0" distR="0" wp14:anchorId="3507997A" wp14:editId="1A387E5F">
            <wp:extent cx="5972175" cy="5181600"/>
            <wp:effectExtent l="0" t="0" r="9525" b="0"/>
            <wp:docPr id="11" name="Picture 11" descr="C:\Users\Arin\AppData\Local\Microsoft\Windows\INetCache\Content.Word\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in\AppData\Local\Microsoft\Windows\INetCache\Content.Word\Figure 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5181600"/>
                    </a:xfrm>
                    <a:prstGeom prst="rect">
                      <a:avLst/>
                    </a:prstGeom>
                    <a:noFill/>
                    <a:ln>
                      <a:noFill/>
                    </a:ln>
                  </pic:spPr>
                </pic:pic>
              </a:graphicData>
            </a:graphic>
          </wp:inline>
        </w:drawing>
      </w:r>
    </w:p>
    <w:p w14:paraId="0A123AA5" w14:textId="18FC8C52" w:rsidR="00B033F5" w:rsidRPr="009A5FC8" w:rsidRDefault="00B033F5" w:rsidP="00B033F5">
      <w:pPr>
        <w:jc w:val="both"/>
        <w:rPr>
          <w:rFonts w:cs="Times New Roman"/>
          <w:szCs w:val="24"/>
          <w:lang w:val="en-GB"/>
        </w:rPr>
      </w:pPr>
      <w:r w:rsidRPr="009A5FC8">
        <w:rPr>
          <w:rFonts w:cs="Times New Roman"/>
          <w:szCs w:val="24"/>
          <w:lang w:val="en-GB"/>
        </w:rPr>
        <w:t xml:space="preserve">Supplementary Figure </w:t>
      </w:r>
      <w:r w:rsidR="00544405">
        <w:rPr>
          <w:rFonts w:cs="Times New Roman"/>
          <w:szCs w:val="24"/>
          <w:lang w:val="en-GB"/>
        </w:rPr>
        <w:t>9</w:t>
      </w:r>
      <w:r w:rsidRPr="009A5FC8">
        <w:rPr>
          <w:rFonts w:cs="Times New Roman"/>
          <w:szCs w:val="24"/>
          <w:lang w:val="en-GB"/>
        </w:rPr>
        <w:t xml:space="preserve"> </w:t>
      </w:r>
      <w:r>
        <w:rPr>
          <w:rFonts w:cs="Times New Roman"/>
          <w:szCs w:val="24"/>
          <w:lang w:val="en-GB"/>
        </w:rPr>
        <w:t>|</w:t>
      </w:r>
      <w:r w:rsidRPr="009A5FC8">
        <w:rPr>
          <w:rFonts w:cs="Times New Roman"/>
          <w:szCs w:val="24"/>
          <w:lang w:val="en-GB"/>
        </w:rPr>
        <w:t xml:space="preserve"> Effect of the net surface charge of c</w:t>
      </w:r>
      <w:r w:rsidR="00867AAC">
        <w:rPr>
          <w:rFonts w:cs="Times New Roman"/>
          <w:szCs w:val="24"/>
          <w:lang w:val="en-GB"/>
        </w:rPr>
        <w:t xml:space="preserve">NLCs </w:t>
      </w:r>
      <w:r w:rsidRPr="009A5FC8">
        <w:rPr>
          <w:rFonts w:cs="Times New Roman"/>
          <w:szCs w:val="24"/>
          <w:lang w:val="en-GB"/>
        </w:rPr>
        <w:t>on different cellular functions and metabolism of BMDMs</w:t>
      </w:r>
    </w:p>
    <w:p w14:paraId="7B65BC41" w14:textId="6ED3A5D5" w:rsidR="00DE23E8" w:rsidRPr="00B033F5" w:rsidRDefault="00B033F5" w:rsidP="00B033F5">
      <w:pPr>
        <w:jc w:val="both"/>
        <w:rPr>
          <w:rFonts w:cs="Times New Roman"/>
          <w:szCs w:val="24"/>
          <w:lang w:val="en-GB"/>
        </w:rPr>
      </w:pPr>
      <w:r w:rsidRPr="009A5FC8">
        <w:rPr>
          <w:rFonts w:cs="Times New Roman"/>
          <w:b/>
          <w:szCs w:val="24"/>
          <w:lang w:val="en-GB"/>
        </w:rPr>
        <w:t xml:space="preserve">(A) </w:t>
      </w:r>
      <w:r w:rsidRPr="009A5FC8">
        <w:rPr>
          <w:rFonts w:cs="Times New Roman"/>
          <w:szCs w:val="24"/>
          <w:lang w:val="en-GB"/>
        </w:rPr>
        <w:t xml:space="preserve">MCP-1 production was quantified from the supernatant of BMDMs exposed to 100 µg/mL of cNLCs complexes with siRNA at different N/P ratios and activated or not by LPS. </w:t>
      </w:r>
      <w:r w:rsidRPr="009A5FC8">
        <w:rPr>
          <w:rFonts w:cs="Times New Roman"/>
          <w:b/>
          <w:szCs w:val="24"/>
          <w:lang w:val="en-GB"/>
        </w:rPr>
        <w:t xml:space="preserve">(B) </w:t>
      </w:r>
      <w:r w:rsidRPr="009A5FC8">
        <w:rPr>
          <w:rFonts w:cs="Times New Roman"/>
          <w:szCs w:val="24"/>
          <w:lang w:val="en-GB"/>
        </w:rPr>
        <w:t xml:space="preserve">Glycolytic capacity in BMDMs exposed to 100 µg/mL of cNLCs complexes with siRNA at different N/P ratios and activated or not by LPS was determined by extracellular acidification rate (ECAR). </w:t>
      </w:r>
      <w:r w:rsidRPr="009A5FC8">
        <w:rPr>
          <w:rFonts w:cs="Times New Roman"/>
          <w:b/>
          <w:szCs w:val="24"/>
          <w:lang w:val="en-GB"/>
        </w:rPr>
        <w:t xml:space="preserve">(C) </w:t>
      </w:r>
      <w:r w:rsidRPr="009A5FC8">
        <w:rPr>
          <w:rFonts w:cs="Times New Roman"/>
          <w:szCs w:val="24"/>
          <w:lang w:val="en-GB"/>
        </w:rPr>
        <w:t xml:space="preserve">Proton leak </w:t>
      </w:r>
      <w:r w:rsidRPr="009A5FC8">
        <w:rPr>
          <w:rFonts w:cs="Times New Roman"/>
          <w:b/>
          <w:szCs w:val="24"/>
          <w:lang w:val="en-GB"/>
        </w:rPr>
        <w:t xml:space="preserve">(D) </w:t>
      </w:r>
      <w:r w:rsidRPr="009A5FC8">
        <w:rPr>
          <w:rFonts w:cs="Times New Roman"/>
          <w:szCs w:val="24"/>
          <w:lang w:val="en-GB"/>
        </w:rPr>
        <w:t xml:space="preserve">non-mitochondrial oxygen consumption, </w:t>
      </w:r>
      <w:r w:rsidRPr="009A5FC8">
        <w:rPr>
          <w:rFonts w:cs="Times New Roman"/>
          <w:b/>
          <w:szCs w:val="24"/>
          <w:lang w:val="en-GB"/>
        </w:rPr>
        <w:t xml:space="preserve">(E) </w:t>
      </w:r>
      <w:r w:rsidRPr="009A5FC8">
        <w:rPr>
          <w:rFonts w:cs="Times New Roman"/>
          <w:szCs w:val="24"/>
          <w:lang w:val="en-GB"/>
        </w:rPr>
        <w:t>percentage of coupling efficiency in BMDMs exposed to 100 µg/mL of cNLCs complexes with siRNA at different N/P ratios and activated or not by IL-4 was determined by Oxygen consumption rate (OCR). OCR</w:t>
      </w:r>
      <w:r>
        <w:rPr>
          <w:rFonts w:cs="Times New Roman"/>
          <w:szCs w:val="24"/>
          <w:lang w:val="en-GB"/>
        </w:rPr>
        <w:t xml:space="preserve"> </w:t>
      </w:r>
      <w:r w:rsidRPr="009A5FC8">
        <w:rPr>
          <w:rFonts w:cs="Times New Roman"/>
          <w:szCs w:val="24"/>
          <w:lang w:val="en-GB"/>
        </w:rPr>
        <w:t>and ECAR were quantified using a Seahorse XF analyser. Data was normalized by cell number based on cell count (Hoechst 33342 staining) and is displayed as mean ± SD (N = 3 independent experiments). Statistical significance between nanocarrier treated or untreated groups was performed by one-way ANOVA test using Tukey's multiple comparisons test. *P ≤ 0.05; **P ≤ 0.01; ***P ≤ 0.001; ****P ≤ 0.0001.</w:t>
      </w:r>
    </w:p>
    <w:sectPr w:rsidR="00DE23E8" w:rsidRPr="00B033F5"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43AF" w14:textId="77777777" w:rsidR="00C778BF" w:rsidRDefault="00C778BF" w:rsidP="00117666">
      <w:pPr>
        <w:spacing w:after="0"/>
      </w:pPr>
      <w:r>
        <w:separator/>
      </w:r>
    </w:p>
  </w:endnote>
  <w:endnote w:type="continuationSeparator" w:id="0">
    <w:p w14:paraId="42DEA30A" w14:textId="77777777" w:rsidR="00C778BF" w:rsidRDefault="00C778B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374C8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40B6">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374C8D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40B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B38F50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40B6">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B38F50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C40B6">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488B" w14:textId="77777777" w:rsidR="00C778BF" w:rsidRDefault="00C778BF" w:rsidP="00117666">
      <w:pPr>
        <w:spacing w:after="0"/>
      </w:pPr>
      <w:r>
        <w:separator/>
      </w:r>
    </w:p>
  </w:footnote>
  <w:footnote w:type="continuationSeparator" w:id="0">
    <w:p w14:paraId="1D23AAC9" w14:textId="77777777" w:rsidR="00C778BF" w:rsidRDefault="00C778B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4258B1B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EwMjE0NjSzMDMzMLFQ0lEKTi0uzszPAykwqQUAMkbrNSwAAAA="/>
  </w:docVars>
  <w:rsids>
    <w:rsidRoot w:val="00ED20B5"/>
    <w:rsid w:val="0001436A"/>
    <w:rsid w:val="00034304"/>
    <w:rsid w:val="00035434"/>
    <w:rsid w:val="00052A14"/>
    <w:rsid w:val="00077D53"/>
    <w:rsid w:val="00105FD9"/>
    <w:rsid w:val="00117666"/>
    <w:rsid w:val="001549D3"/>
    <w:rsid w:val="00160065"/>
    <w:rsid w:val="00177D84"/>
    <w:rsid w:val="002366EB"/>
    <w:rsid w:val="00267D18"/>
    <w:rsid w:val="00274347"/>
    <w:rsid w:val="002868E2"/>
    <w:rsid w:val="002869C3"/>
    <w:rsid w:val="002936E4"/>
    <w:rsid w:val="002B4A57"/>
    <w:rsid w:val="002C74CA"/>
    <w:rsid w:val="003123F4"/>
    <w:rsid w:val="003320AC"/>
    <w:rsid w:val="00334112"/>
    <w:rsid w:val="003544FB"/>
    <w:rsid w:val="00357E07"/>
    <w:rsid w:val="003D2F2D"/>
    <w:rsid w:val="00401590"/>
    <w:rsid w:val="00426A6E"/>
    <w:rsid w:val="00440961"/>
    <w:rsid w:val="00447801"/>
    <w:rsid w:val="00452E9C"/>
    <w:rsid w:val="004735C8"/>
    <w:rsid w:val="004947A6"/>
    <w:rsid w:val="004961FF"/>
    <w:rsid w:val="004A623B"/>
    <w:rsid w:val="004F1E8B"/>
    <w:rsid w:val="005131C6"/>
    <w:rsid w:val="00517A89"/>
    <w:rsid w:val="005250F2"/>
    <w:rsid w:val="00544405"/>
    <w:rsid w:val="005879FA"/>
    <w:rsid w:val="00593EEA"/>
    <w:rsid w:val="005A5EEE"/>
    <w:rsid w:val="006375C7"/>
    <w:rsid w:val="00654E8F"/>
    <w:rsid w:val="00660D05"/>
    <w:rsid w:val="006766D8"/>
    <w:rsid w:val="006820B1"/>
    <w:rsid w:val="006A21B6"/>
    <w:rsid w:val="006B7D14"/>
    <w:rsid w:val="006F3CCA"/>
    <w:rsid w:val="00701727"/>
    <w:rsid w:val="0070566C"/>
    <w:rsid w:val="00714C50"/>
    <w:rsid w:val="00725A7D"/>
    <w:rsid w:val="007501BE"/>
    <w:rsid w:val="00790BB3"/>
    <w:rsid w:val="007C206C"/>
    <w:rsid w:val="00817DD6"/>
    <w:rsid w:val="0083759F"/>
    <w:rsid w:val="00867AAC"/>
    <w:rsid w:val="00885156"/>
    <w:rsid w:val="009151AA"/>
    <w:rsid w:val="0093429D"/>
    <w:rsid w:val="00943573"/>
    <w:rsid w:val="00954C4C"/>
    <w:rsid w:val="00964134"/>
    <w:rsid w:val="00970F7D"/>
    <w:rsid w:val="00994A3D"/>
    <w:rsid w:val="009C2B12"/>
    <w:rsid w:val="00A174D9"/>
    <w:rsid w:val="00AA4D24"/>
    <w:rsid w:val="00AB6715"/>
    <w:rsid w:val="00B033F5"/>
    <w:rsid w:val="00B1502D"/>
    <w:rsid w:val="00B1671E"/>
    <w:rsid w:val="00B25EB8"/>
    <w:rsid w:val="00B37F4D"/>
    <w:rsid w:val="00BC3DB2"/>
    <w:rsid w:val="00BC40B6"/>
    <w:rsid w:val="00C52A7B"/>
    <w:rsid w:val="00C56BAF"/>
    <w:rsid w:val="00C679AA"/>
    <w:rsid w:val="00C75972"/>
    <w:rsid w:val="00C778BF"/>
    <w:rsid w:val="00CD066B"/>
    <w:rsid w:val="00CE4FEE"/>
    <w:rsid w:val="00D060CF"/>
    <w:rsid w:val="00DB59C3"/>
    <w:rsid w:val="00DC259A"/>
    <w:rsid w:val="00DE23E8"/>
    <w:rsid w:val="00E276DB"/>
    <w:rsid w:val="00E52377"/>
    <w:rsid w:val="00E537AD"/>
    <w:rsid w:val="00E6169A"/>
    <w:rsid w:val="00E64E17"/>
    <w:rsid w:val="00E866C9"/>
    <w:rsid w:val="00EA3D3C"/>
    <w:rsid w:val="00EC090A"/>
    <w:rsid w:val="00ED20B5"/>
    <w:rsid w:val="00F4578D"/>
    <w:rsid w:val="00F46900"/>
    <w:rsid w:val="00F61D89"/>
    <w:rsid w:val="00FC1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D66903-B361-4732-8CCF-52365091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9</Pages>
  <Words>1075</Words>
  <Characters>6134</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Megan Bond</cp:lastModifiedBy>
  <cp:revision>2</cp:revision>
  <cp:lastPrinted>2021-07-29T15:51:00Z</cp:lastPrinted>
  <dcterms:created xsi:type="dcterms:W3CDTF">2021-08-04T10:50:00Z</dcterms:created>
  <dcterms:modified xsi:type="dcterms:W3CDTF">2021-08-04T10:50:00Z</dcterms:modified>
</cp:coreProperties>
</file>