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7DD69B35" w14:textId="0653D0CE" w:rsidR="00A7487F" w:rsidRDefault="00A7487F" w:rsidP="00A7487F">
      <w:pPr>
        <w:pStyle w:val="Heading1"/>
      </w:pPr>
      <w:r w:rsidRPr="0001436A">
        <w:t>Supplementary</w:t>
      </w:r>
      <w:r w:rsidRPr="001549D3">
        <w:t xml:space="preserve"> Figure</w:t>
      </w:r>
      <w:r>
        <w:t>s</w:t>
      </w:r>
    </w:p>
    <w:p w14:paraId="2AB9BBD8" w14:textId="310976A4" w:rsidR="00B61AC9" w:rsidRDefault="0072735D" w:rsidP="00B61AC9">
      <w:r w:rsidRPr="0072735D">
        <w:rPr>
          <w:noProof/>
          <w:lang w:val="en-GB" w:eastAsia="en-GB"/>
        </w:rPr>
        <w:drawing>
          <wp:anchor distT="0" distB="0" distL="114300" distR="114300" simplePos="0" relativeHeight="251658240" behindDoc="1" locked="0" layoutInCell="1" allowOverlap="1" wp14:anchorId="1097E924" wp14:editId="7B1BBDFC">
            <wp:simplePos x="0" y="0"/>
            <wp:positionH relativeFrom="column">
              <wp:posOffset>1730182</wp:posOffset>
            </wp:positionH>
            <wp:positionV relativeFrom="paragraph">
              <wp:posOffset>678180</wp:posOffset>
            </wp:positionV>
            <wp:extent cx="2265680" cy="15963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5680" cy="1596390"/>
                    </a:xfrm>
                    <a:prstGeom prst="rect">
                      <a:avLst/>
                    </a:prstGeom>
                    <a:noFill/>
                    <a:ln>
                      <a:noFill/>
                    </a:ln>
                  </pic:spPr>
                </pic:pic>
              </a:graphicData>
            </a:graphic>
          </wp:anchor>
        </w:drawing>
      </w:r>
      <w:r w:rsidR="00751BF0">
        <w:t>Total</w:t>
      </w:r>
      <w:r w:rsidR="00B61AC9">
        <w:t xml:space="preserve">: </w:t>
      </w:r>
      <w:r w:rsidR="002D3EA9">
        <w:br/>
      </w:r>
      <w:r w:rsidR="00B61AC9">
        <w:t xml:space="preserve">Figures = </w:t>
      </w:r>
      <w:r w:rsidR="00751BF0">
        <w:t>5</w:t>
      </w:r>
      <w:r w:rsidR="002D3EA9">
        <w:br/>
      </w:r>
      <w:r w:rsidR="00D53538">
        <w:t xml:space="preserve">Tables = </w:t>
      </w:r>
      <w:r w:rsidR="00751BF0">
        <w:t>4</w:t>
      </w:r>
    </w:p>
    <w:p w14:paraId="071F98C7" w14:textId="3E1E0651" w:rsidR="002D3EA9" w:rsidRPr="00B61AC9" w:rsidRDefault="002D3EA9" w:rsidP="00B61AC9"/>
    <w:p w14:paraId="2D0D4687" w14:textId="37FBB3B6" w:rsidR="00A7487F" w:rsidRDefault="00A7487F" w:rsidP="00A7487F">
      <w:pPr>
        <w:rPr>
          <w:lang w:val="en-GB"/>
        </w:rPr>
      </w:pPr>
      <w:r w:rsidRPr="00862EA1">
        <w:rPr>
          <w:b/>
          <w:bCs/>
          <w:lang w:val="en-GB"/>
        </w:rPr>
        <w:t xml:space="preserve">Figure S1. Time course of intracellular </w:t>
      </w:r>
      <w:proofErr w:type="spellStart"/>
      <w:r w:rsidRPr="00862EA1">
        <w:rPr>
          <w:b/>
          <w:bCs/>
          <w:lang w:val="en-GB"/>
        </w:rPr>
        <w:t>NTHi</w:t>
      </w:r>
      <w:proofErr w:type="spellEnd"/>
      <w:r w:rsidRPr="00862EA1">
        <w:rPr>
          <w:b/>
          <w:bCs/>
          <w:lang w:val="en-GB"/>
        </w:rPr>
        <w:t xml:space="preserve"> levels</w:t>
      </w:r>
      <w:r w:rsidRPr="00862EA1">
        <w:rPr>
          <w:lang w:val="en-GB"/>
        </w:rPr>
        <w:t xml:space="preserve">. MDM were infected with </w:t>
      </w:r>
      <w:proofErr w:type="spellStart"/>
      <w:r w:rsidRPr="00862EA1">
        <w:rPr>
          <w:lang w:val="en-GB"/>
        </w:rPr>
        <w:t>NTHi</w:t>
      </w:r>
      <w:proofErr w:type="spellEnd"/>
      <w:r w:rsidRPr="00862EA1">
        <w:rPr>
          <w:lang w:val="en-GB"/>
        </w:rPr>
        <w:t xml:space="preserve"> ST14 for 2 h, 6 h or 24 h followed by a 90 min gentamicin to wash remove extracellular </w:t>
      </w:r>
      <w:proofErr w:type="spellStart"/>
      <w:r w:rsidRPr="00862EA1">
        <w:rPr>
          <w:lang w:val="en-GB"/>
        </w:rPr>
        <w:t>NTHi</w:t>
      </w:r>
      <w:proofErr w:type="spellEnd"/>
      <w:r w:rsidRPr="00862EA1">
        <w:rPr>
          <w:lang w:val="en-GB"/>
        </w:rPr>
        <w:t xml:space="preserve"> in order to only </w:t>
      </w:r>
      <w:r w:rsidR="006C07B5">
        <w:rPr>
          <w:lang w:val="en-GB"/>
        </w:rPr>
        <w:t xml:space="preserve">recover </w:t>
      </w:r>
      <w:r w:rsidRPr="00862EA1">
        <w:rPr>
          <w:lang w:val="en-GB"/>
        </w:rPr>
        <w:t xml:space="preserve">intracellular </w:t>
      </w:r>
      <w:proofErr w:type="spellStart"/>
      <w:r w:rsidRPr="00862EA1">
        <w:rPr>
          <w:lang w:val="en-GB"/>
        </w:rPr>
        <w:t>NTHi</w:t>
      </w:r>
      <w:proofErr w:type="spellEnd"/>
      <w:r w:rsidRPr="00862EA1">
        <w:rPr>
          <w:lang w:val="en-GB"/>
        </w:rPr>
        <w:t>. Each point represents the median of 4 experiments and lower and upper whiskers indicate IQR</w:t>
      </w:r>
      <w:r w:rsidR="00AF7418">
        <w:rPr>
          <w:lang w:val="en-GB"/>
        </w:rPr>
        <w:t>.</w:t>
      </w:r>
      <w:r w:rsidRPr="00862EA1">
        <w:rPr>
          <w:lang w:val="en-GB"/>
        </w:rPr>
        <w:t xml:space="preserve"> Data were analysed by Friedman test with Dunn’s multiple comparison test; *p&lt;0.05 for 6 h v 24 h comparison. </w:t>
      </w:r>
    </w:p>
    <w:p w14:paraId="2D6981A7" w14:textId="08A57C46" w:rsidR="0072735D" w:rsidRPr="00862EA1" w:rsidRDefault="00ED312B" w:rsidP="00A7487F">
      <w:pPr>
        <w:rPr>
          <w:lang w:val="en-GB"/>
        </w:rPr>
      </w:pPr>
      <w:r w:rsidRPr="00ED312B">
        <w:rPr>
          <w:noProof/>
          <w:lang w:val="en-GB" w:eastAsia="en-GB"/>
        </w:rPr>
        <w:drawing>
          <wp:inline distT="0" distB="0" distL="0" distR="0" wp14:anchorId="690531EC" wp14:editId="6ED51A2D">
            <wp:extent cx="6208395" cy="1729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8395" cy="1729105"/>
                    </a:xfrm>
                    <a:prstGeom prst="rect">
                      <a:avLst/>
                    </a:prstGeom>
                    <a:noFill/>
                    <a:ln>
                      <a:noFill/>
                    </a:ln>
                  </pic:spPr>
                </pic:pic>
              </a:graphicData>
            </a:graphic>
          </wp:inline>
        </w:drawing>
      </w:r>
    </w:p>
    <w:p w14:paraId="71576FB3" w14:textId="19D568A3" w:rsidR="00A7487F" w:rsidRDefault="00A7487F" w:rsidP="00FF679A">
      <w:pPr>
        <w:rPr>
          <w:lang w:val="en-GB"/>
        </w:rPr>
      </w:pPr>
      <w:r w:rsidRPr="00862EA1">
        <w:rPr>
          <w:b/>
          <w:bCs/>
          <w:lang w:val="en-GB"/>
        </w:rPr>
        <w:t xml:space="preserve">Figure S2. </w:t>
      </w:r>
      <w:r w:rsidR="00B41EEE">
        <w:rPr>
          <w:b/>
          <w:bCs/>
          <w:lang w:val="en-GB"/>
        </w:rPr>
        <w:t>Use of GFP-</w:t>
      </w:r>
      <w:proofErr w:type="spellStart"/>
      <w:r w:rsidR="00B41EEE">
        <w:rPr>
          <w:b/>
          <w:bCs/>
          <w:lang w:val="en-GB"/>
        </w:rPr>
        <w:t>NTHi</w:t>
      </w:r>
      <w:proofErr w:type="spellEnd"/>
      <w:r w:rsidR="0092364F">
        <w:rPr>
          <w:b/>
          <w:bCs/>
          <w:lang w:val="en-GB"/>
        </w:rPr>
        <w:t xml:space="preserve"> to visualise </w:t>
      </w:r>
      <w:proofErr w:type="spellStart"/>
      <w:r w:rsidR="0092364F">
        <w:rPr>
          <w:b/>
          <w:bCs/>
          <w:lang w:val="en-GB"/>
        </w:rPr>
        <w:t>NTHi</w:t>
      </w:r>
      <w:proofErr w:type="spellEnd"/>
      <w:r w:rsidRPr="00862EA1">
        <w:rPr>
          <w:b/>
          <w:bCs/>
          <w:lang w:val="en-GB"/>
        </w:rPr>
        <w:t xml:space="preserve"> infection of macrophages</w:t>
      </w:r>
      <w:r w:rsidRPr="00862EA1">
        <w:rPr>
          <w:lang w:val="en-GB"/>
        </w:rPr>
        <w:t xml:space="preserve">. </w:t>
      </w:r>
      <w:r w:rsidR="0092364F" w:rsidRPr="0092364F">
        <w:rPr>
          <w:b/>
          <w:bCs/>
          <w:lang w:val="en-GB"/>
        </w:rPr>
        <w:t>(A)</w:t>
      </w:r>
      <w:r w:rsidR="0092364F">
        <w:rPr>
          <w:lang w:val="en-GB"/>
        </w:rPr>
        <w:t xml:space="preserve"> </w:t>
      </w:r>
      <w:r w:rsidRPr="00862EA1">
        <w:rPr>
          <w:lang w:val="en-GB"/>
        </w:rPr>
        <w:t>GFP-</w:t>
      </w:r>
      <w:proofErr w:type="spellStart"/>
      <w:r w:rsidRPr="00862EA1">
        <w:rPr>
          <w:lang w:val="en-GB"/>
        </w:rPr>
        <w:t>NTHi</w:t>
      </w:r>
      <w:proofErr w:type="spellEnd"/>
      <w:r w:rsidRPr="00862EA1">
        <w:rPr>
          <w:lang w:val="en-GB"/>
        </w:rPr>
        <w:t xml:space="preserve"> infected MDM were </w:t>
      </w:r>
      <w:r w:rsidR="0092364F">
        <w:rPr>
          <w:lang w:val="en-GB"/>
        </w:rPr>
        <w:t xml:space="preserve">harvested at the </w:t>
      </w:r>
      <w:r w:rsidR="0092364F" w:rsidRPr="00862EA1">
        <w:rPr>
          <w:lang w:val="en-GB"/>
        </w:rPr>
        <w:t>6 h and 24 h time point</w:t>
      </w:r>
      <w:r w:rsidR="0092364F">
        <w:rPr>
          <w:lang w:val="en-GB"/>
        </w:rPr>
        <w:t xml:space="preserve">, </w:t>
      </w:r>
      <w:r w:rsidR="0092364F" w:rsidRPr="00862EA1">
        <w:rPr>
          <w:lang w:val="en-GB"/>
        </w:rPr>
        <w:t>lysed and plated to quantify the amount of GFP-</w:t>
      </w:r>
      <w:proofErr w:type="spellStart"/>
      <w:r w:rsidR="0092364F" w:rsidRPr="00862EA1">
        <w:rPr>
          <w:lang w:val="en-GB"/>
        </w:rPr>
        <w:t>NTHi</w:t>
      </w:r>
      <w:proofErr w:type="spellEnd"/>
      <w:r w:rsidR="0092364F" w:rsidRPr="00862EA1">
        <w:rPr>
          <w:lang w:val="en-GB"/>
        </w:rPr>
        <w:t xml:space="preserve"> associated with MDM.</w:t>
      </w:r>
      <w:r w:rsidR="0092364F">
        <w:rPr>
          <w:lang w:val="en-GB"/>
        </w:rPr>
        <w:t xml:space="preserve"> </w:t>
      </w:r>
      <w:r w:rsidR="00FF679A">
        <w:rPr>
          <w:lang w:val="en-GB"/>
        </w:rPr>
        <w:t>GFP-</w:t>
      </w:r>
      <w:proofErr w:type="spellStart"/>
      <w:r w:rsidR="00FF679A">
        <w:rPr>
          <w:lang w:val="en-GB"/>
        </w:rPr>
        <w:t>NTHi</w:t>
      </w:r>
      <w:proofErr w:type="spellEnd"/>
      <w:r w:rsidR="00FF679A">
        <w:rPr>
          <w:lang w:val="en-GB"/>
        </w:rPr>
        <w:t xml:space="preserve"> infected MDM were also analysed by flow cytometry</w:t>
      </w:r>
      <w:r w:rsidRPr="00862EA1">
        <w:rPr>
          <w:lang w:val="en-GB"/>
        </w:rPr>
        <w:t>, with the uninfected MDM acting as the negative gating control</w:t>
      </w:r>
      <w:r w:rsidR="0092364F">
        <w:rPr>
          <w:b/>
          <w:bCs/>
          <w:lang w:val="en-GB"/>
        </w:rPr>
        <w:t xml:space="preserve">. </w:t>
      </w:r>
      <w:r w:rsidRPr="00862EA1">
        <w:rPr>
          <w:b/>
          <w:bCs/>
          <w:lang w:val="en-GB"/>
        </w:rPr>
        <w:t>(</w:t>
      </w:r>
      <w:r w:rsidR="00ED312B">
        <w:rPr>
          <w:b/>
          <w:bCs/>
          <w:lang w:val="en-GB"/>
        </w:rPr>
        <w:t>B</w:t>
      </w:r>
      <w:r w:rsidRPr="00862EA1">
        <w:rPr>
          <w:b/>
          <w:bCs/>
          <w:lang w:val="en-GB"/>
        </w:rPr>
        <w:t xml:space="preserve">) </w:t>
      </w:r>
      <w:r w:rsidR="00DB108F" w:rsidRPr="00DB108F">
        <w:rPr>
          <w:lang w:val="en-GB"/>
        </w:rPr>
        <w:t>H</w:t>
      </w:r>
      <w:r w:rsidRPr="00862EA1">
        <w:rPr>
          <w:lang w:val="en-GB"/>
        </w:rPr>
        <w:t xml:space="preserve">istogram plot showing uninfected MDM (grey) 6 h GFP-infected MDM (purple) and 24 h GFP-infected MDM (green). </w:t>
      </w:r>
      <w:r w:rsidRPr="00862EA1">
        <w:rPr>
          <w:b/>
          <w:bCs/>
          <w:lang w:val="en-GB"/>
        </w:rPr>
        <w:t>(</w:t>
      </w:r>
      <w:r w:rsidR="00B41EEE">
        <w:rPr>
          <w:b/>
          <w:bCs/>
          <w:lang w:val="en-GB"/>
        </w:rPr>
        <w:t>C</w:t>
      </w:r>
      <w:r w:rsidRPr="00862EA1">
        <w:rPr>
          <w:b/>
          <w:bCs/>
          <w:lang w:val="en-GB"/>
        </w:rPr>
        <w:t>)</w:t>
      </w:r>
      <w:r w:rsidRPr="00862EA1">
        <w:rPr>
          <w:lang w:val="en-GB"/>
        </w:rPr>
        <w:t xml:space="preserve"> Quantification of MDM infection by GFP-</w:t>
      </w:r>
      <w:proofErr w:type="spellStart"/>
      <w:r w:rsidRPr="00862EA1">
        <w:rPr>
          <w:lang w:val="en-GB"/>
        </w:rPr>
        <w:t>NTHi</w:t>
      </w:r>
      <w:proofErr w:type="spellEnd"/>
      <w:r w:rsidRPr="00862EA1">
        <w:rPr>
          <w:lang w:val="en-GB"/>
        </w:rPr>
        <w:t>, n=2. Bar shows median and lines indicate interquartile range. Graphs show paired data and lines indicate medians. Data were analysed by Wilcoxon signed-rank test and no statistical significance was determined.</w:t>
      </w:r>
    </w:p>
    <w:p w14:paraId="2B1C03E4" w14:textId="3523FDEA" w:rsidR="00A24AB6" w:rsidRPr="00862EA1" w:rsidRDefault="00A24AB6" w:rsidP="00FF679A">
      <w:pPr>
        <w:rPr>
          <w:lang w:val="en-GB"/>
        </w:rPr>
      </w:pPr>
      <w:r w:rsidRPr="00A24AB6">
        <w:rPr>
          <w:noProof/>
          <w:lang w:val="en-GB" w:eastAsia="en-GB"/>
        </w:rPr>
        <w:lastRenderedPageBreak/>
        <w:drawing>
          <wp:anchor distT="0" distB="0" distL="114300" distR="114300" simplePos="0" relativeHeight="251661312" behindDoc="0" locked="0" layoutInCell="1" allowOverlap="1" wp14:anchorId="487DDD84" wp14:editId="673C2D72">
            <wp:simplePos x="0" y="0"/>
            <wp:positionH relativeFrom="column">
              <wp:posOffset>1038727</wp:posOffset>
            </wp:positionH>
            <wp:positionV relativeFrom="paragraph">
              <wp:posOffset>0</wp:posOffset>
            </wp:positionV>
            <wp:extent cx="4482465" cy="165417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2465"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50AE2" w14:textId="53193384" w:rsidR="00A7487F" w:rsidRDefault="00A7487F" w:rsidP="00A7487F">
      <w:pPr>
        <w:rPr>
          <w:lang w:val="en-GB"/>
        </w:rPr>
      </w:pPr>
      <w:r w:rsidRPr="00682725">
        <w:rPr>
          <w:b/>
          <w:bCs/>
          <w:lang w:val="en-GB"/>
        </w:rPr>
        <w:t xml:space="preserve">Figure S3. Percentage of mapped sequenced reads to host and pathogen reference genomes. </w:t>
      </w:r>
      <w:proofErr w:type="gramStart"/>
      <w:r w:rsidRPr="00682725">
        <w:rPr>
          <w:lang w:val="en-GB"/>
        </w:rPr>
        <w:t xml:space="preserve">Mapping of the raw data to the each reference genome was performed separately by </w:t>
      </w:r>
      <w:proofErr w:type="spellStart"/>
      <w:r w:rsidRPr="00682725">
        <w:rPr>
          <w:lang w:val="en-GB"/>
        </w:rPr>
        <w:t>Novogene</w:t>
      </w:r>
      <w:proofErr w:type="spellEnd"/>
      <w:proofErr w:type="gramEnd"/>
      <w:r w:rsidRPr="00682725">
        <w:rPr>
          <w:lang w:val="en-GB"/>
        </w:rPr>
        <w:t xml:space="preserve">, with only clean reads used for mapping. </w:t>
      </w:r>
    </w:p>
    <w:p w14:paraId="08DA22CD" w14:textId="77777777" w:rsidR="00751BF0" w:rsidRDefault="00751BF0" w:rsidP="00A7487F">
      <w:pPr>
        <w:rPr>
          <w:lang w:val="en-GB"/>
        </w:rPr>
      </w:pPr>
    </w:p>
    <w:p w14:paraId="0082BFEA" w14:textId="7B7191BA" w:rsidR="00A24AB6" w:rsidRDefault="00870A0A" w:rsidP="00A7487F">
      <w:pPr>
        <w:rPr>
          <w:lang w:val="en-GB"/>
        </w:rPr>
      </w:pPr>
      <w:r w:rsidRPr="00870A0A">
        <w:rPr>
          <w:noProof/>
          <w:lang w:val="en-GB" w:eastAsia="en-GB"/>
        </w:rPr>
        <w:drawing>
          <wp:inline distT="0" distB="0" distL="0" distR="0" wp14:anchorId="488C842D" wp14:editId="7FFE367D">
            <wp:extent cx="6208395" cy="2185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2185035"/>
                    </a:xfrm>
                    <a:prstGeom prst="rect">
                      <a:avLst/>
                    </a:prstGeom>
                    <a:noFill/>
                    <a:ln>
                      <a:noFill/>
                    </a:ln>
                  </pic:spPr>
                </pic:pic>
              </a:graphicData>
            </a:graphic>
          </wp:inline>
        </w:drawing>
      </w:r>
    </w:p>
    <w:p w14:paraId="395F4676" w14:textId="4AA421B3" w:rsidR="00A7487F" w:rsidRDefault="00A7487F" w:rsidP="00A7487F">
      <w:pPr>
        <w:rPr>
          <w:b/>
          <w:bCs/>
          <w:lang w:val="en-GB"/>
        </w:rPr>
      </w:pPr>
      <w:bookmarkStart w:id="0" w:name="_GoBack"/>
      <w:bookmarkEnd w:id="0"/>
      <w:r w:rsidRPr="00A96B18">
        <w:rPr>
          <w:b/>
          <w:bCs/>
          <w:lang w:val="en-GB"/>
        </w:rPr>
        <w:t xml:space="preserve">Figure S4. Validation of MDM upregulation of innate immune responses. </w:t>
      </w:r>
      <w:r w:rsidRPr="00A96B18">
        <w:rPr>
          <w:lang w:val="en-GB"/>
        </w:rPr>
        <w:t xml:space="preserve">MDM were infected as previously described and RNA or cell culture supernatants were harvested at the 6 h and 24 h time points. Macrophage gene expression of </w:t>
      </w:r>
      <w:r w:rsidRPr="00A96B18">
        <w:rPr>
          <w:b/>
          <w:bCs/>
          <w:lang w:val="en-GB"/>
        </w:rPr>
        <w:t>(A)</w:t>
      </w:r>
      <w:r w:rsidRPr="00A96B18">
        <w:rPr>
          <w:lang w:val="en-GB"/>
        </w:rPr>
        <w:t xml:space="preserve"> </w:t>
      </w:r>
      <w:r w:rsidRPr="00A96B18">
        <w:rPr>
          <w:i/>
          <w:iCs/>
          <w:lang w:val="en-GB"/>
        </w:rPr>
        <w:t>RELA</w:t>
      </w:r>
      <w:r w:rsidRPr="00A96B18">
        <w:rPr>
          <w:lang w:val="en-GB"/>
        </w:rPr>
        <w:t xml:space="preserve"> and </w:t>
      </w:r>
      <w:r w:rsidRPr="00A96B18">
        <w:rPr>
          <w:b/>
          <w:bCs/>
          <w:lang w:val="en-GB"/>
        </w:rPr>
        <w:t>(B)</w:t>
      </w:r>
      <w:r w:rsidRPr="00A96B18">
        <w:rPr>
          <w:lang w:val="en-GB"/>
        </w:rPr>
        <w:t xml:space="preserve"> </w:t>
      </w:r>
      <w:r w:rsidRPr="00A96B18">
        <w:rPr>
          <w:i/>
          <w:iCs/>
          <w:lang w:val="en-GB"/>
        </w:rPr>
        <w:t>ACOD1</w:t>
      </w:r>
      <w:r w:rsidRPr="00A96B18">
        <w:rPr>
          <w:lang w:val="en-GB"/>
        </w:rPr>
        <w:t xml:space="preserve"> was measured by qPCR and expression values were normalised to </w:t>
      </w:r>
      <w:r w:rsidRPr="00A96B18">
        <w:rPr>
          <w:i/>
          <w:iCs/>
          <w:lang w:val="en-GB"/>
        </w:rPr>
        <w:t>B2M</w:t>
      </w:r>
      <w:r w:rsidRPr="00A96B18">
        <w:rPr>
          <w:lang w:val="en-GB"/>
        </w:rPr>
        <w:t xml:space="preserve"> and is expressed as </w:t>
      </w:r>
      <w:proofErr w:type="spellStart"/>
      <w:r w:rsidRPr="00A96B18">
        <w:rPr>
          <w:lang w:val="en-GB"/>
        </w:rPr>
        <w:t>deltact</w:t>
      </w:r>
      <w:proofErr w:type="spellEnd"/>
      <w:r w:rsidRPr="00A96B18">
        <w:rPr>
          <w:lang w:val="en-GB"/>
        </w:rPr>
        <w:t xml:space="preserve">. Macrophage release of </w:t>
      </w:r>
      <w:r w:rsidRPr="00A96B18">
        <w:rPr>
          <w:b/>
          <w:bCs/>
          <w:lang w:val="en-GB"/>
        </w:rPr>
        <w:t>(C)</w:t>
      </w:r>
      <w:r w:rsidRPr="00A96B18">
        <w:rPr>
          <w:lang w:val="en-GB"/>
        </w:rPr>
        <w:t xml:space="preserve"> IL-1</w:t>
      </w:r>
      <w:r w:rsidRPr="00A96B18">
        <w:rPr>
          <w:lang w:val="el-GR"/>
        </w:rPr>
        <w:t>β</w:t>
      </w:r>
      <w:r w:rsidRPr="00A96B18">
        <w:rPr>
          <w:lang w:val="en-GB"/>
        </w:rPr>
        <w:t xml:space="preserve">, </w:t>
      </w:r>
      <w:r w:rsidRPr="00A96B18">
        <w:rPr>
          <w:b/>
          <w:bCs/>
          <w:lang w:val="en-GB"/>
        </w:rPr>
        <w:t>(D)</w:t>
      </w:r>
      <w:r w:rsidRPr="00A96B18">
        <w:rPr>
          <w:lang w:val="en-GB"/>
        </w:rPr>
        <w:t xml:space="preserve"> IL-6, </w:t>
      </w:r>
      <w:r w:rsidRPr="00A96B18">
        <w:rPr>
          <w:b/>
          <w:bCs/>
          <w:lang w:val="en-GB"/>
        </w:rPr>
        <w:t>(E)</w:t>
      </w:r>
      <w:r w:rsidRPr="00A96B18">
        <w:rPr>
          <w:lang w:val="en-GB"/>
        </w:rPr>
        <w:t xml:space="preserve"> TNF-</w:t>
      </w:r>
      <w:r w:rsidRPr="00A96B18">
        <w:rPr>
          <w:lang w:val="el-GR"/>
        </w:rPr>
        <w:t xml:space="preserve">α </w:t>
      </w:r>
      <w:r w:rsidRPr="00A96B18">
        <w:rPr>
          <w:b/>
          <w:bCs/>
          <w:lang w:val="en-GB"/>
        </w:rPr>
        <w:t>(F)</w:t>
      </w:r>
      <w:r w:rsidRPr="00A96B18">
        <w:rPr>
          <w:lang w:val="en-GB"/>
        </w:rPr>
        <w:t xml:space="preserve"> IL-10, </w:t>
      </w:r>
      <w:r w:rsidRPr="00A96B18">
        <w:rPr>
          <w:b/>
          <w:bCs/>
          <w:lang w:val="en-GB"/>
        </w:rPr>
        <w:t>(G)</w:t>
      </w:r>
      <w:r w:rsidRPr="00A96B18">
        <w:rPr>
          <w:lang w:val="en-GB"/>
        </w:rPr>
        <w:t xml:space="preserve"> IL-8, </w:t>
      </w:r>
      <w:r w:rsidRPr="00A96B18">
        <w:rPr>
          <w:b/>
          <w:bCs/>
          <w:lang w:val="en-GB"/>
        </w:rPr>
        <w:t>(H)</w:t>
      </w:r>
      <w:r w:rsidRPr="00A96B18">
        <w:rPr>
          <w:lang w:val="en-GB"/>
        </w:rPr>
        <w:t xml:space="preserve"> IL-15</w:t>
      </w:r>
      <w:r w:rsidRPr="00A96B18">
        <w:rPr>
          <w:b/>
          <w:bCs/>
          <w:lang w:val="en-GB"/>
        </w:rPr>
        <w:t>, (I)</w:t>
      </w:r>
      <w:r w:rsidRPr="00A96B18">
        <w:rPr>
          <w:lang w:val="en-GB"/>
        </w:rPr>
        <w:t xml:space="preserve"> IL-17C and </w:t>
      </w:r>
      <w:r w:rsidRPr="00A96B18">
        <w:rPr>
          <w:b/>
          <w:bCs/>
          <w:lang w:val="en-GB"/>
        </w:rPr>
        <w:t>(J)</w:t>
      </w:r>
      <w:r w:rsidRPr="00A96B18">
        <w:rPr>
          <w:lang w:val="en-GB"/>
        </w:rPr>
        <w:t xml:space="preserve"> IL-36</w:t>
      </w:r>
      <w:r w:rsidRPr="00A96B18">
        <w:rPr>
          <w:lang w:val="el-GR"/>
        </w:rPr>
        <w:t>β</w:t>
      </w:r>
      <w:r w:rsidRPr="00A96B18">
        <w:rPr>
          <w:lang w:val="en-GB"/>
        </w:rPr>
        <w:t xml:space="preserve"> into cell culture supernatants was measured either by ELISA (IL-1</w:t>
      </w:r>
      <w:r w:rsidRPr="00A96B18">
        <w:rPr>
          <w:lang w:val="el-GR"/>
        </w:rPr>
        <w:t>β</w:t>
      </w:r>
      <w:r w:rsidRPr="00A96B18">
        <w:rPr>
          <w:lang w:val="en-GB"/>
        </w:rPr>
        <w:t>, IL-6, IL-8) or Luminex (TNF-</w:t>
      </w:r>
      <w:r w:rsidRPr="00A96B18">
        <w:rPr>
          <w:lang w:val="el-GR"/>
        </w:rPr>
        <w:t>α</w:t>
      </w:r>
      <w:r w:rsidRPr="00A96B18">
        <w:rPr>
          <w:lang w:val="en-GB"/>
        </w:rPr>
        <w:t>, IL-10, IL-15, IL-17C, IL-36</w:t>
      </w:r>
      <w:r w:rsidRPr="00A96B18">
        <w:rPr>
          <w:lang w:val="el-GR"/>
        </w:rPr>
        <w:t>β</w:t>
      </w:r>
      <w:r w:rsidRPr="00A96B18">
        <w:rPr>
          <w:lang w:val="en-GB"/>
        </w:rPr>
        <w:t>). Graphs show paired data and bars indicate median values. Data were analysed by Wilcoxon signed rank test; *p&lt;0.05.</w:t>
      </w:r>
      <w:r w:rsidRPr="00A96B18">
        <w:rPr>
          <w:b/>
          <w:bCs/>
          <w:lang w:val="en-GB"/>
        </w:rPr>
        <w:t xml:space="preserve"> </w:t>
      </w:r>
    </w:p>
    <w:p w14:paraId="201BEF4B" w14:textId="30EC09F4" w:rsidR="00870A0A" w:rsidRPr="00A96B18" w:rsidRDefault="006A68B4" w:rsidP="00A7487F">
      <w:pPr>
        <w:rPr>
          <w:lang w:val="en-GB"/>
        </w:rPr>
      </w:pPr>
      <w:r w:rsidRPr="006A68B4">
        <w:rPr>
          <w:noProof/>
          <w:lang w:val="en-GB" w:eastAsia="en-GB"/>
        </w:rPr>
        <w:drawing>
          <wp:inline distT="0" distB="0" distL="0" distR="0" wp14:anchorId="141E5E36" wp14:editId="52BF2821">
            <wp:extent cx="6208395" cy="256286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2562860"/>
                    </a:xfrm>
                    <a:prstGeom prst="rect">
                      <a:avLst/>
                    </a:prstGeom>
                    <a:noFill/>
                    <a:ln>
                      <a:noFill/>
                    </a:ln>
                  </pic:spPr>
                </pic:pic>
              </a:graphicData>
            </a:graphic>
          </wp:inline>
        </w:drawing>
      </w:r>
    </w:p>
    <w:p w14:paraId="4539C83B" w14:textId="31968122" w:rsidR="006A68B4" w:rsidRDefault="00A7487F" w:rsidP="00A7487F">
      <w:pPr>
        <w:rPr>
          <w:lang w:val="en-GB"/>
        </w:rPr>
      </w:pPr>
      <w:r w:rsidRPr="00A96B18">
        <w:rPr>
          <w:b/>
          <w:bCs/>
          <w:lang w:val="en-GB"/>
        </w:rPr>
        <w:lastRenderedPageBreak/>
        <w:t xml:space="preserve">Figure S5. Gene ontology analysis of the 107 </w:t>
      </w:r>
      <w:proofErr w:type="spellStart"/>
      <w:r w:rsidRPr="00A96B18">
        <w:rPr>
          <w:b/>
          <w:bCs/>
          <w:lang w:val="en-GB"/>
        </w:rPr>
        <w:t>NTHi</w:t>
      </w:r>
      <w:proofErr w:type="spellEnd"/>
      <w:r w:rsidRPr="00A96B18">
        <w:rPr>
          <w:b/>
          <w:bCs/>
          <w:lang w:val="en-GB"/>
        </w:rPr>
        <w:t xml:space="preserve"> differentially expressed genes</w:t>
      </w:r>
      <w:r w:rsidRPr="00A96B18">
        <w:rPr>
          <w:lang w:val="en-GB"/>
        </w:rPr>
        <w:t xml:space="preserve">. Bubble plot visualisation of the top significant functionally enriched GO terms for the categories Molecular Function, Biological Process and Cellular component categories. The yellow line indicates 0.05 FDR enrichment p-value, size of dots indicate number of genes present in each term. The accompanying table shows the </w:t>
      </w:r>
      <w:proofErr w:type="spellStart"/>
      <w:r w:rsidRPr="00A96B18">
        <w:rPr>
          <w:lang w:val="en-GB"/>
        </w:rPr>
        <w:t>GO</w:t>
      </w:r>
      <w:proofErr w:type="gramStart"/>
      <w:r w:rsidRPr="00A96B18">
        <w:rPr>
          <w:lang w:val="en-GB"/>
        </w:rPr>
        <w:t>:terms</w:t>
      </w:r>
      <w:proofErr w:type="spellEnd"/>
      <w:proofErr w:type="gramEnd"/>
      <w:r w:rsidRPr="00A96B18">
        <w:rPr>
          <w:lang w:val="en-GB"/>
        </w:rPr>
        <w:t xml:space="preserve"> indicated in the bubble plot, but for clarity, the GO:ID numbers are accompanied with the </w:t>
      </w:r>
      <w:proofErr w:type="spellStart"/>
      <w:r w:rsidRPr="00A96B18">
        <w:rPr>
          <w:lang w:val="en-GB"/>
        </w:rPr>
        <w:t>GO:terms</w:t>
      </w:r>
      <w:proofErr w:type="spellEnd"/>
      <w:r w:rsidRPr="00A96B18">
        <w:rPr>
          <w:lang w:val="en-GB"/>
        </w:rPr>
        <w:t xml:space="preserve"> and enrichment FDR value. A maximum of 5 of the most significantly functionally enriched pathways are shown. Input genes show the number of </w:t>
      </w:r>
      <w:proofErr w:type="spellStart"/>
      <w:r w:rsidRPr="00A96B18">
        <w:rPr>
          <w:lang w:val="en-GB"/>
        </w:rPr>
        <w:t>NTHi</w:t>
      </w:r>
      <w:proofErr w:type="spellEnd"/>
      <w:r w:rsidRPr="00A96B18">
        <w:rPr>
          <w:lang w:val="en-GB"/>
        </w:rPr>
        <w:t xml:space="preserve"> genes assigned to each term</w:t>
      </w:r>
    </w:p>
    <w:p w14:paraId="45CE6652" w14:textId="77777777" w:rsidR="00A7487F" w:rsidRDefault="00A7487F">
      <w:pPr>
        <w:spacing w:before="0" w:after="200" w:line="276" w:lineRule="auto"/>
        <w:rPr>
          <w:lang w:val="en-GB"/>
        </w:rPr>
      </w:pPr>
      <w:r>
        <w:rPr>
          <w:lang w:val="en-GB"/>
        </w:rPr>
        <w:br w:type="page"/>
      </w:r>
    </w:p>
    <w:p w14:paraId="655DA2F0" w14:textId="497E5B2B" w:rsidR="0030244E" w:rsidRDefault="0030244E">
      <w:pPr>
        <w:pStyle w:val="Heading1"/>
      </w:pPr>
      <w:r>
        <w:lastRenderedPageBreak/>
        <w:t>Supplementary Tables</w:t>
      </w:r>
    </w:p>
    <w:p w14:paraId="2B6C7443" w14:textId="55303B3F" w:rsidR="0030244E" w:rsidRDefault="00F459E0" w:rsidP="0030244E">
      <w:pPr>
        <w:rPr>
          <w:lang w:val="en-GB"/>
        </w:rPr>
      </w:pPr>
      <w:r w:rsidRPr="00F459E0">
        <w:rPr>
          <w:noProof/>
          <w:lang w:val="en-GB" w:eastAsia="en-GB"/>
        </w:rPr>
        <w:drawing>
          <wp:anchor distT="0" distB="0" distL="114300" distR="114300" simplePos="0" relativeHeight="251659264" behindDoc="0" locked="0" layoutInCell="1" allowOverlap="1" wp14:anchorId="7CF86D5B" wp14:editId="0AA8A9A5">
            <wp:simplePos x="0" y="0"/>
            <wp:positionH relativeFrom="column">
              <wp:posOffset>1306285</wp:posOffset>
            </wp:positionH>
            <wp:positionV relativeFrom="paragraph">
              <wp:posOffset>789428</wp:posOffset>
            </wp:positionV>
            <wp:extent cx="3181350" cy="24282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2428240"/>
                    </a:xfrm>
                    <a:prstGeom prst="rect">
                      <a:avLst/>
                    </a:prstGeom>
                    <a:noFill/>
                    <a:ln>
                      <a:noFill/>
                    </a:ln>
                  </pic:spPr>
                </pic:pic>
              </a:graphicData>
            </a:graphic>
          </wp:anchor>
        </w:drawing>
      </w:r>
      <w:r w:rsidR="0030244E" w:rsidRPr="00785488">
        <w:rPr>
          <w:b/>
          <w:bCs/>
          <w:lang w:val="en-GB"/>
        </w:rPr>
        <w:t xml:space="preserve">Table S1. Table of the 9 genes which change direction of expression during </w:t>
      </w:r>
      <w:proofErr w:type="spellStart"/>
      <w:r w:rsidR="0030244E" w:rsidRPr="00785488">
        <w:rPr>
          <w:b/>
          <w:bCs/>
          <w:lang w:val="en-GB"/>
        </w:rPr>
        <w:t>NTHi</w:t>
      </w:r>
      <w:proofErr w:type="spellEnd"/>
      <w:r w:rsidR="0030244E" w:rsidRPr="00785488">
        <w:rPr>
          <w:b/>
          <w:bCs/>
          <w:lang w:val="en-GB"/>
        </w:rPr>
        <w:t xml:space="preserve"> persistence.  </w:t>
      </w:r>
      <w:r w:rsidR="0030244E" w:rsidRPr="00785488">
        <w:rPr>
          <w:lang w:val="en-GB"/>
        </w:rPr>
        <w:t xml:space="preserve">Within the conserved ‘core’ macrophage gene set, only 9 out of 863 genes changed direction of expression during </w:t>
      </w:r>
      <w:proofErr w:type="spellStart"/>
      <w:r w:rsidR="0030244E" w:rsidRPr="00785488">
        <w:rPr>
          <w:lang w:val="en-GB"/>
        </w:rPr>
        <w:t>NTHi</w:t>
      </w:r>
      <w:proofErr w:type="spellEnd"/>
      <w:r w:rsidR="0030244E" w:rsidRPr="00785488">
        <w:rPr>
          <w:lang w:val="en-GB"/>
        </w:rPr>
        <w:t xml:space="preserve"> persistence. Values shown are log</w:t>
      </w:r>
      <w:r w:rsidR="0030244E" w:rsidRPr="00785488">
        <w:rPr>
          <w:vertAlign w:val="subscript"/>
          <w:lang w:val="en-GB"/>
        </w:rPr>
        <w:t>2</w:t>
      </w:r>
      <w:r w:rsidR="0030244E" w:rsidRPr="00785488">
        <w:rPr>
          <w:lang w:val="en-GB"/>
        </w:rPr>
        <w:t>FC between uninfected and infected MDM at the respective time points, all FDR p&lt;0.05.</w:t>
      </w:r>
    </w:p>
    <w:p w14:paraId="70ED50E3" w14:textId="7EBDDF66" w:rsidR="0030244E" w:rsidRDefault="0030244E" w:rsidP="0030244E">
      <w:pPr>
        <w:rPr>
          <w:lang w:val="en-GB"/>
        </w:rPr>
      </w:pPr>
    </w:p>
    <w:p w14:paraId="7AB506FA" w14:textId="365DCF02" w:rsidR="0030244E" w:rsidRDefault="0030244E" w:rsidP="0030244E">
      <w:pPr>
        <w:rPr>
          <w:lang w:val="en-GB"/>
        </w:rPr>
      </w:pPr>
      <w:r w:rsidRPr="00CA35A9">
        <w:rPr>
          <w:b/>
          <w:bCs/>
          <w:lang w:val="en-GB"/>
        </w:rPr>
        <w:t xml:space="preserve">Table S2. Top regulated </w:t>
      </w:r>
      <w:proofErr w:type="spellStart"/>
      <w:r w:rsidRPr="00CA35A9">
        <w:rPr>
          <w:b/>
          <w:bCs/>
          <w:lang w:val="en-GB"/>
        </w:rPr>
        <w:t>NTHi</w:t>
      </w:r>
      <w:proofErr w:type="spellEnd"/>
      <w:r w:rsidRPr="00CA35A9">
        <w:rPr>
          <w:b/>
          <w:bCs/>
          <w:lang w:val="en-GB"/>
        </w:rPr>
        <w:t xml:space="preserve"> gene function and confirmation of differential expression in MDM by qPCR. </w:t>
      </w:r>
      <w:r w:rsidRPr="00CA35A9">
        <w:rPr>
          <w:lang w:val="en-GB"/>
        </w:rPr>
        <w:t xml:space="preserve">Table shows the gene name of the top three regulated </w:t>
      </w:r>
      <w:proofErr w:type="spellStart"/>
      <w:r w:rsidRPr="00CA35A9">
        <w:rPr>
          <w:lang w:val="en-GB"/>
        </w:rPr>
        <w:t>NTHi</w:t>
      </w:r>
      <w:proofErr w:type="spellEnd"/>
      <w:r w:rsidRPr="00CA35A9">
        <w:rPr>
          <w:lang w:val="en-GB"/>
        </w:rPr>
        <w:t xml:space="preserve"> genes and the </w:t>
      </w:r>
      <w:r>
        <w:rPr>
          <w:lang w:val="en-GB"/>
        </w:rPr>
        <w:t>putative</w:t>
      </w:r>
      <w:r w:rsidRPr="00CA35A9">
        <w:rPr>
          <w:lang w:val="en-GB"/>
        </w:rPr>
        <w:t xml:space="preserve"> function of the gene product. The expression of these three genes was validated by qPCR using </w:t>
      </w:r>
      <w:proofErr w:type="spellStart"/>
      <w:r w:rsidRPr="00CA35A9">
        <w:rPr>
          <w:lang w:val="en-GB"/>
        </w:rPr>
        <w:t>NTHi</w:t>
      </w:r>
      <w:proofErr w:type="spellEnd"/>
      <w:r w:rsidRPr="00CA35A9">
        <w:rPr>
          <w:lang w:val="en-GB"/>
        </w:rPr>
        <w:t xml:space="preserve"> ST14 (original strain used for the sequencing analysis). Gene expression was normalised to </w:t>
      </w:r>
      <w:proofErr w:type="spellStart"/>
      <w:r w:rsidRPr="00CA35A9">
        <w:rPr>
          <w:lang w:val="en-GB"/>
        </w:rPr>
        <w:t>NTHi</w:t>
      </w:r>
      <w:proofErr w:type="spellEnd"/>
      <w:r w:rsidRPr="00CA35A9">
        <w:rPr>
          <w:lang w:val="en-GB"/>
        </w:rPr>
        <w:t xml:space="preserve"> </w:t>
      </w:r>
      <w:r w:rsidRPr="00CA35A9">
        <w:rPr>
          <w:i/>
          <w:iCs/>
          <w:lang w:val="en-GB"/>
        </w:rPr>
        <w:t>rho</w:t>
      </w:r>
      <w:r w:rsidRPr="00CA35A9">
        <w:rPr>
          <w:lang w:val="en-GB"/>
        </w:rPr>
        <w:t xml:space="preserve"> gene and data are shown as fold change in expression from 6 h to 24 h. Data were analysed by Wilcoxon’s signed rank test, significant p-values are indicated in bold.</w:t>
      </w:r>
    </w:p>
    <w:p w14:paraId="47DB4183" w14:textId="7C471007" w:rsidR="00F459E0" w:rsidRDefault="00F459E0" w:rsidP="0030244E">
      <w:pPr>
        <w:rPr>
          <w:lang w:val="en-GB"/>
        </w:rPr>
      </w:pPr>
      <w:r w:rsidRPr="00F459E0">
        <w:rPr>
          <w:noProof/>
          <w:lang w:val="en-GB" w:eastAsia="en-GB"/>
        </w:rPr>
        <w:drawing>
          <wp:inline distT="0" distB="0" distL="0" distR="0" wp14:anchorId="48EE494C" wp14:editId="7A6A2A7B">
            <wp:extent cx="6208395" cy="122936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8395" cy="1229360"/>
                    </a:xfrm>
                    <a:prstGeom prst="rect">
                      <a:avLst/>
                    </a:prstGeom>
                    <a:noFill/>
                    <a:ln>
                      <a:noFill/>
                    </a:ln>
                  </pic:spPr>
                </pic:pic>
              </a:graphicData>
            </a:graphic>
          </wp:inline>
        </w:drawing>
      </w:r>
    </w:p>
    <w:p w14:paraId="5540E4CF" w14:textId="77777777" w:rsidR="00F459E0" w:rsidRDefault="00F459E0">
      <w:pPr>
        <w:spacing w:before="0" w:after="200" w:line="276" w:lineRule="auto"/>
        <w:rPr>
          <w:rFonts w:eastAsia="Cambria" w:cs="Times New Roman"/>
          <w:b/>
          <w:szCs w:val="24"/>
        </w:rPr>
      </w:pPr>
      <w:r>
        <w:br w:type="page"/>
      </w:r>
    </w:p>
    <w:p w14:paraId="4D059444" w14:textId="003A3CF3" w:rsidR="00994A3D" w:rsidRPr="00994A3D" w:rsidRDefault="00654E8F" w:rsidP="0001436A">
      <w:pPr>
        <w:pStyle w:val="Heading1"/>
      </w:pPr>
      <w:r w:rsidRPr="00994A3D">
        <w:lastRenderedPageBreak/>
        <w:t xml:space="preserve">Supplementary </w:t>
      </w:r>
      <w:r w:rsidR="00136586">
        <w:t>Methods</w:t>
      </w:r>
    </w:p>
    <w:p w14:paraId="17283E07" w14:textId="77777777" w:rsidR="00A7487F" w:rsidRPr="00537E9F" w:rsidRDefault="00A7487F" w:rsidP="00A7487F">
      <w:pPr>
        <w:pStyle w:val="Heading2"/>
      </w:pPr>
      <w:r w:rsidRPr="00537E9F">
        <w:t>Flow Cytometry analysis of GFP-</w:t>
      </w:r>
      <w:proofErr w:type="spellStart"/>
      <w:r w:rsidRPr="00537E9F">
        <w:t>NTHi</w:t>
      </w:r>
      <w:proofErr w:type="spellEnd"/>
      <w:r w:rsidRPr="00537E9F">
        <w:t xml:space="preserve"> infection of MDM</w:t>
      </w:r>
    </w:p>
    <w:p w14:paraId="7DE05B4B" w14:textId="77777777" w:rsidR="00A7487F" w:rsidRDefault="00A7487F" w:rsidP="00A7487F">
      <w:r w:rsidRPr="00537E9F">
        <w:t>MDM were infected with GFP-</w:t>
      </w:r>
      <w:proofErr w:type="spellStart"/>
      <w:r w:rsidRPr="00537E9F">
        <w:t>NTHi</w:t>
      </w:r>
      <w:proofErr w:type="spellEnd"/>
      <w:r w:rsidRPr="00537E9F">
        <w:t xml:space="preserve"> as described and harvested at 6 h and 24 h using 200 µl non-enzymatic cell dissociation solution (Sigma) for 20 min at 37°C. After 20 min, cells were gently removed from wells into 5 ml polypropylene tubes (BD). Cells were washed and centrifuged at 400 g, 4°C for 5 min in Fluorescence-Activated Cell Sorting (FACS) buffer (2mM EDTA, 0.5% (w/v) BSA in PBS) and resuspended in 200 µl </w:t>
      </w:r>
      <w:proofErr w:type="spellStart"/>
      <w:r w:rsidRPr="00537E9F">
        <w:t>Cytofix</w:t>
      </w:r>
      <w:proofErr w:type="spellEnd"/>
      <w:r w:rsidRPr="00537E9F">
        <w:t>/</w:t>
      </w:r>
      <w:proofErr w:type="spellStart"/>
      <w:r w:rsidRPr="00537E9F">
        <w:t>Cytoperm</w:t>
      </w:r>
      <w:proofErr w:type="spellEnd"/>
      <w:r w:rsidRPr="00537E9F">
        <w:t xml:space="preserve">™ Fixation and </w:t>
      </w:r>
      <w:proofErr w:type="spellStart"/>
      <w:r w:rsidRPr="00537E9F">
        <w:t>Permeabilization</w:t>
      </w:r>
      <w:proofErr w:type="spellEnd"/>
      <w:r w:rsidRPr="00537E9F">
        <w:t xml:space="preserve"> Solution (BD Biosciences) and incubated on ice for 20 min. Cells were again washed and resuspended in 250 µl FACS buffer prior to acquisition using 9-colour </w:t>
      </w:r>
      <w:proofErr w:type="spellStart"/>
      <w:r w:rsidRPr="00537E9F">
        <w:t>FACSAria</w:t>
      </w:r>
      <w:proofErr w:type="spellEnd"/>
      <w:r w:rsidRPr="00537E9F">
        <w:t xml:space="preserve"> (BD Biosciences) and data were </w:t>
      </w:r>
      <w:proofErr w:type="spellStart"/>
      <w:r w:rsidRPr="00537E9F">
        <w:t>analysed</w:t>
      </w:r>
      <w:proofErr w:type="spellEnd"/>
      <w:r w:rsidRPr="00537E9F">
        <w:t xml:space="preserve"> by </w:t>
      </w:r>
      <w:proofErr w:type="spellStart"/>
      <w:r w:rsidRPr="00537E9F">
        <w:t>FlowJo</w:t>
      </w:r>
      <w:proofErr w:type="spellEnd"/>
      <w:r w:rsidRPr="00537E9F">
        <w:t xml:space="preserve"> software (Version 10). </w:t>
      </w:r>
    </w:p>
    <w:p w14:paraId="29D7045C" w14:textId="77777777" w:rsidR="00A7487F" w:rsidRPr="00537E9F" w:rsidRDefault="00A7487F" w:rsidP="00A7487F">
      <w:pPr>
        <w:pStyle w:val="Heading2"/>
      </w:pPr>
      <w:r w:rsidRPr="00537E9F">
        <w:t>Quantification of mediator release by Luminex</w:t>
      </w:r>
    </w:p>
    <w:p w14:paraId="38CF02BC" w14:textId="09E11653" w:rsidR="00A7487F" w:rsidRDefault="00A7487F" w:rsidP="00A7487F">
      <w:r w:rsidRPr="00537E9F">
        <w:t xml:space="preserve">Analysis of MDM cell culture supernatants for quantification of mediator release also performed using a </w:t>
      </w:r>
      <w:proofErr w:type="spellStart"/>
      <w:r w:rsidRPr="00537E9F">
        <w:t>customised</w:t>
      </w:r>
      <w:proofErr w:type="spellEnd"/>
      <w:r w:rsidRPr="00537E9F">
        <w:t xml:space="preserve"> 14-plex </w:t>
      </w:r>
      <w:proofErr w:type="spellStart"/>
      <w:r w:rsidRPr="00537E9F">
        <w:t>Luminex</w:t>
      </w:r>
      <w:proofErr w:type="spellEnd"/>
      <w:r w:rsidRPr="00537E9F">
        <w:t xml:space="preserve"> Human Magnetic Assay according to the manufacturer’s instructions (R&amp;D Systems). Briefly, 50 µl of the premixed microparticle cocktail was added to each well of a 96 well plate and incubated with 50 µl of neat MDM culture supernatant or the pre-prepared standard at 4°C overnight. The plate was then washed with 100 µl Wash Buffer (R&amp;D Systems) whilst attached to a Handheld Magnetic Washer, which held the microparticles and bound sample analytes to the bottom of the plate to prevent them washing away. The biotin antibody cocktail provided was diluted with the provided diluent concentrate (R&amp;D Systems) and 50 µl was added to each well and incubated for 1 h on a plate shaker. The plate was again washed as described above, before 50 µl of Streptavidin-PE was added and again incubated for 30 min on a plate shaker. The plate </w:t>
      </w:r>
      <w:proofErr w:type="gramStart"/>
      <w:r w:rsidRPr="00537E9F">
        <w:t>was read</w:t>
      </w:r>
      <w:proofErr w:type="gramEnd"/>
      <w:r w:rsidRPr="00537E9F">
        <w:t xml:space="preserve"> using a Bio-Plex 200 system (Bio-Rad), with the concentration of each analyte calculated from the concentration of the 1 in 3 diluted standard curve for each analyte. The lower and upper limit of quantitation (LLOQ and ULOQ) for each analyte is indicated in Table S</w:t>
      </w:r>
      <w:r w:rsidR="002D3EA9">
        <w:t>4</w:t>
      </w:r>
      <w:r w:rsidRPr="00537E9F">
        <w:t>.</w:t>
      </w:r>
    </w:p>
    <w:p w14:paraId="1B2213EB" w14:textId="77777777" w:rsidR="00751BF0" w:rsidRDefault="00751BF0" w:rsidP="00A7487F"/>
    <w:p w14:paraId="6DE2E28E" w14:textId="77777777" w:rsidR="00A7487F" w:rsidRDefault="00A7487F" w:rsidP="00A7487F">
      <w:pPr>
        <w:pStyle w:val="Heading2"/>
      </w:pPr>
      <w:r>
        <w:t>Supplementary Methods Tables</w:t>
      </w:r>
    </w:p>
    <w:p w14:paraId="341A4804" w14:textId="3596AB53" w:rsidR="00A7487F" w:rsidRDefault="00A7487F" w:rsidP="00A7487F">
      <w:pPr>
        <w:rPr>
          <w:lang w:val="en-GB"/>
        </w:rPr>
      </w:pPr>
      <w:r w:rsidRPr="00A7487F">
        <w:rPr>
          <w:b/>
          <w:bCs/>
          <w:lang w:val="en-GB"/>
        </w:rPr>
        <w:t>Table S</w:t>
      </w:r>
      <w:r>
        <w:rPr>
          <w:b/>
          <w:bCs/>
          <w:lang w:val="en-GB"/>
        </w:rPr>
        <w:t>3</w:t>
      </w:r>
      <w:r w:rsidRPr="00A7487F">
        <w:rPr>
          <w:b/>
          <w:bCs/>
          <w:lang w:val="en-GB"/>
        </w:rPr>
        <w:t>.</w:t>
      </w:r>
      <w:r w:rsidRPr="00A7487F">
        <w:rPr>
          <w:lang w:val="en-GB"/>
        </w:rPr>
        <w:t xml:space="preserve"> List of TaqMan gene expression assays (all from Thermo Fisher) used for validation of MDM and </w:t>
      </w:r>
      <w:proofErr w:type="spellStart"/>
      <w:r w:rsidRPr="00A7487F">
        <w:rPr>
          <w:lang w:val="en-GB"/>
        </w:rPr>
        <w:t>NTHi</w:t>
      </w:r>
      <w:proofErr w:type="spellEnd"/>
      <w:r w:rsidRPr="00A7487F">
        <w:rPr>
          <w:lang w:val="en-GB"/>
        </w:rPr>
        <w:t xml:space="preserve"> gene expression by qPCR</w:t>
      </w:r>
    </w:p>
    <w:p w14:paraId="70375402" w14:textId="0BA412C7" w:rsidR="00F459E0" w:rsidRDefault="000D26F6" w:rsidP="00A7487F">
      <w:pPr>
        <w:rPr>
          <w:lang w:val="en-GB"/>
        </w:rPr>
      </w:pPr>
      <w:r w:rsidRPr="000D26F6">
        <w:rPr>
          <w:noProof/>
          <w:lang w:val="en-GB" w:eastAsia="en-GB"/>
        </w:rPr>
        <w:drawing>
          <wp:inline distT="0" distB="0" distL="0" distR="0" wp14:anchorId="72C9AC4F" wp14:editId="09828394">
            <wp:extent cx="6208395" cy="15881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8395" cy="1588135"/>
                    </a:xfrm>
                    <a:prstGeom prst="rect">
                      <a:avLst/>
                    </a:prstGeom>
                    <a:noFill/>
                    <a:ln>
                      <a:noFill/>
                    </a:ln>
                  </pic:spPr>
                </pic:pic>
              </a:graphicData>
            </a:graphic>
          </wp:inline>
        </w:drawing>
      </w:r>
    </w:p>
    <w:p w14:paraId="6F49809D" w14:textId="1C88F31E" w:rsidR="00A7487F" w:rsidRDefault="00C77DA2" w:rsidP="00A7487F">
      <w:pPr>
        <w:rPr>
          <w:lang w:val="en-GB"/>
        </w:rPr>
      </w:pPr>
      <w:r w:rsidRPr="00C77DA2">
        <w:rPr>
          <w:noProof/>
          <w:lang w:val="en-GB" w:eastAsia="en-GB"/>
        </w:rPr>
        <w:lastRenderedPageBreak/>
        <w:drawing>
          <wp:anchor distT="0" distB="0" distL="114300" distR="114300" simplePos="0" relativeHeight="251662336" behindDoc="0" locked="0" layoutInCell="1" allowOverlap="1" wp14:anchorId="16D2B678" wp14:editId="7D932EFE">
            <wp:simplePos x="0" y="0"/>
            <wp:positionH relativeFrom="column">
              <wp:posOffset>1109345</wp:posOffset>
            </wp:positionH>
            <wp:positionV relativeFrom="paragraph">
              <wp:posOffset>483235</wp:posOffset>
            </wp:positionV>
            <wp:extent cx="3591560" cy="139954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1560"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87F" w:rsidRPr="00A7487F">
        <w:rPr>
          <w:b/>
          <w:bCs/>
          <w:lang w:val="en-GB"/>
        </w:rPr>
        <w:t>Table S4.</w:t>
      </w:r>
      <w:r w:rsidR="00A7487F" w:rsidRPr="00A7487F">
        <w:rPr>
          <w:lang w:val="en-GB"/>
        </w:rPr>
        <w:t xml:space="preserve"> The lower and upper limit of quantitation (LLOQ and ULOQ) for each </w:t>
      </w:r>
      <w:proofErr w:type="spellStart"/>
      <w:r w:rsidR="00A7487F" w:rsidRPr="00A7487F">
        <w:rPr>
          <w:lang w:val="en-GB"/>
        </w:rPr>
        <w:t>analyte</w:t>
      </w:r>
      <w:proofErr w:type="spellEnd"/>
      <w:r w:rsidR="00A7487F" w:rsidRPr="00A7487F">
        <w:rPr>
          <w:lang w:val="en-GB"/>
        </w:rPr>
        <w:t xml:space="preserve"> (</w:t>
      </w:r>
      <w:proofErr w:type="spellStart"/>
      <w:r w:rsidR="00A7487F" w:rsidRPr="00A7487F">
        <w:rPr>
          <w:lang w:val="en-GB"/>
        </w:rPr>
        <w:t>pg</w:t>
      </w:r>
      <w:proofErr w:type="spellEnd"/>
      <w:r w:rsidR="00A7487F" w:rsidRPr="00A7487F">
        <w:rPr>
          <w:lang w:val="en-GB"/>
        </w:rPr>
        <w:t>/ml) measured by a customised Luminex Human Magnetic Assay.</w:t>
      </w:r>
    </w:p>
    <w:p w14:paraId="59467AE6" w14:textId="7C9C8AE2" w:rsidR="000D26F6" w:rsidRPr="00A7487F" w:rsidRDefault="000D26F6" w:rsidP="00A7487F">
      <w:pPr>
        <w:rPr>
          <w:lang w:val="en-GB"/>
        </w:rPr>
      </w:pPr>
    </w:p>
    <w:p w14:paraId="71D80BF5" w14:textId="15EADA7F" w:rsidR="00A7487F" w:rsidRPr="00537E9F" w:rsidRDefault="00A7487F" w:rsidP="00A7487F"/>
    <w:p w14:paraId="78A8B172" w14:textId="2A2CB9A7" w:rsidR="00A7487F" w:rsidRDefault="00A7487F">
      <w:pPr>
        <w:spacing w:before="0" w:after="200" w:line="276" w:lineRule="auto"/>
        <w:rPr>
          <w:rFonts w:asciiTheme="minorHAnsi" w:hAnsiTheme="minorHAnsi"/>
          <w:sz w:val="22"/>
        </w:rPr>
      </w:pPr>
    </w:p>
    <w:sectPr w:rsidR="00A7487F"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D4836" w14:textId="77777777" w:rsidR="00AB5325" w:rsidRDefault="00AB5325" w:rsidP="00117666">
      <w:pPr>
        <w:spacing w:after="0"/>
      </w:pPr>
      <w:r>
        <w:separator/>
      </w:r>
    </w:p>
  </w:endnote>
  <w:endnote w:type="continuationSeparator" w:id="0">
    <w:p w14:paraId="1679A314" w14:textId="77777777" w:rsidR="00AB5325" w:rsidRDefault="00AB532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CB794A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E1325">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CB794A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E1325">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AF6A83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E1325">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AF6A83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E1325">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2204E" w14:textId="77777777" w:rsidR="00AB5325" w:rsidRDefault="00AB5325" w:rsidP="00117666">
      <w:pPr>
        <w:spacing w:after="0"/>
      </w:pPr>
      <w:r>
        <w:separator/>
      </w:r>
    </w:p>
  </w:footnote>
  <w:footnote w:type="continuationSeparator" w:id="0">
    <w:p w14:paraId="034F43F1" w14:textId="77777777" w:rsidR="00AB5325" w:rsidRDefault="00AB532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D26F6"/>
    <w:rsid w:val="00105FD9"/>
    <w:rsid w:val="00117666"/>
    <w:rsid w:val="00136586"/>
    <w:rsid w:val="00153FEF"/>
    <w:rsid w:val="001549D3"/>
    <w:rsid w:val="00160065"/>
    <w:rsid w:val="00177D84"/>
    <w:rsid w:val="00267D18"/>
    <w:rsid w:val="002700AE"/>
    <w:rsid w:val="00274347"/>
    <w:rsid w:val="002868E2"/>
    <w:rsid w:val="002869C3"/>
    <w:rsid w:val="002936E4"/>
    <w:rsid w:val="002B4A57"/>
    <w:rsid w:val="002C74CA"/>
    <w:rsid w:val="002D3EA9"/>
    <w:rsid w:val="0030244E"/>
    <w:rsid w:val="003123F4"/>
    <w:rsid w:val="003544FB"/>
    <w:rsid w:val="003D2F2D"/>
    <w:rsid w:val="00401590"/>
    <w:rsid w:val="00447801"/>
    <w:rsid w:val="00452E9C"/>
    <w:rsid w:val="004735C8"/>
    <w:rsid w:val="004947A6"/>
    <w:rsid w:val="004961FF"/>
    <w:rsid w:val="004E1325"/>
    <w:rsid w:val="00517A89"/>
    <w:rsid w:val="005250F2"/>
    <w:rsid w:val="00593EEA"/>
    <w:rsid w:val="005A5EEE"/>
    <w:rsid w:val="006375C7"/>
    <w:rsid w:val="00654E8F"/>
    <w:rsid w:val="00660D05"/>
    <w:rsid w:val="006820B1"/>
    <w:rsid w:val="00682725"/>
    <w:rsid w:val="006A68B4"/>
    <w:rsid w:val="006B7D14"/>
    <w:rsid w:val="006C07B5"/>
    <w:rsid w:val="00701727"/>
    <w:rsid w:val="0070566C"/>
    <w:rsid w:val="00714C50"/>
    <w:rsid w:val="00725A7D"/>
    <w:rsid w:val="0072735D"/>
    <w:rsid w:val="007501BE"/>
    <w:rsid w:val="00751BF0"/>
    <w:rsid w:val="00785488"/>
    <w:rsid w:val="00790BB3"/>
    <w:rsid w:val="007C206C"/>
    <w:rsid w:val="00817DD6"/>
    <w:rsid w:val="0083759F"/>
    <w:rsid w:val="00862EA1"/>
    <w:rsid w:val="00870A0A"/>
    <w:rsid w:val="00885156"/>
    <w:rsid w:val="0089102C"/>
    <w:rsid w:val="009151AA"/>
    <w:rsid w:val="0092364F"/>
    <w:rsid w:val="0093429D"/>
    <w:rsid w:val="00943573"/>
    <w:rsid w:val="00945F64"/>
    <w:rsid w:val="00964134"/>
    <w:rsid w:val="00970F7D"/>
    <w:rsid w:val="00994A3D"/>
    <w:rsid w:val="009C2B12"/>
    <w:rsid w:val="00A174D9"/>
    <w:rsid w:val="00A24AB6"/>
    <w:rsid w:val="00A7487F"/>
    <w:rsid w:val="00A96B18"/>
    <w:rsid w:val="00AA4D24"/>
    <w:rsid w:val="00AB5325"/>
    <w:rsid w:val="00AB6715"/>
    <w:rsid w:val="00AF7418"/>
    <w:rsid w:val="00B1671E"/>
    <w:rsid w:val="00B25EB8"/>
    <w:rsid w:val="00B37F4D"/>
    <w:rsid w:val="00B41EEE"/>
    <w:rsid w:val="00B61AC9"/>
    <w:rsid w:val="00C241C9"/>
    <w:rsid w:val="00C42499"/>
    <w:rsid w:val="00C52A7B"/>
    <w:rsid w:val="00C56BAF"/>
    <w:rsid w:val="00C679AA"/>
    <w:rsid w:val="00C75972"/>
    <w:rsid w:val="00C77DA2"/>
    <w:rsid w:val="00CA35A9"/>
    <w:rsid w:val="00CD066B"/>
    <w:rsid w:val="00CE4FEE"/>
    <w:rsid w:val="00D060CF"/>
    <w:rsid w:val="00D53538"/>
    <w:rsid w:val="00DB108F"/>
    <w:rsid w:val="00DB59C3"/>
    <w:rsid w:val="00DC259A"/>
    <w:rsid w:val="00DE23E8"/>
    <w:rsid w:val="00E52377"/>
    <w:rsid w:val="00E537AD"/>
    <w:rsid w:val="00E64E17"/>
    <w:rsid w:val="00E866C9"/>
    <w:rsid w:val="00EA3D3C"/>
    <w:rsid w:val="00EC090A"/>
    <w:rsid w:val="00ED20B5"/>
    <w:rsid w:val="00ED312B"/>
    <w:rsid w:val="00F459E0"/>
    <w:rsid w:val="00F46900"/>
    <w:rsid w:val="00F61D89"/>
    <w:rsid w:val="00FF6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90285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98193511">
      <w:bodyDiv w:val="1"/>
      <w:marLeft w:val="0"/>
      <w:marRight w:val="0"/>
      <w:marTop w:val="0"/>
      <w:marBottom w:val="0"/>
      <w:divBdr>
        <w:top w:val="none" w:sz="0" w:space="0" w:color="auto"/>
        <w:left w:val="none" w:sz="0" w:space="0" w:color="auto"/>
        <w:bottom w:val="none" w:sz="0" w:space="0" w:color="auto"/>
        <w:right w:val="none" w:sz="0" w:space="0" w:color="auto"/>
      </w:divBdr>
    </w:div>
    <w:div w:id="1159150100">
      <w:bodyDiv w:val="1"/>
      <w:marLeft w:val="0"/>
      <w:marRight w:val="0"/>
      <w:marTop w:val="0"/>
      <w:marBottom w:val="0"/>
      <w:divBdr>
        <w:top w:val="none" w:sz="0" w:space="0" w:color="auto"/>
        <w:left w:val="none" w:sz="0" w:space="0" w:color="auto"/>
        <w:bottom w:val="none" w:sz="0" w:space="0" w:color="auto"/>
        <w:right w:val="none" w:sz="0" w:space="0" w:color="auto"/>
      </w:divBdr>
    </w:div>
    <w:div w:id="1255440063">
      <w:bodyDiv w:val="1"/>
      <w:marLeft w:val="0"/>
      <w:marRight w:val="0"/>
      <w:marTop w:val="0"/>
      <w:marBottom w:val="0"/>
      <w:divBdr>
        <w:top w:val="none" w:sz="0" w:space="0" w:color="auto"/>
        <w:left w:val="none" w:sz="0" w:space="0" w:color="auto"/>
        <w:bottom w:val="none" w:sz="0" w:space="0" w:color="auto"/>
        <w:right w:val="none" w:sz="0" w:space="0" w:color="auto"/>
      </w:divBdr>
    </w:div>
    <w:div w:id="147062817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32051447">
      <w:bodyDiv w:val="1"/>
      <w:marLeft w:val="0"/>
      <w:marRight w:val="0"/>
      <w:marTop w:val="0"/>
      <w:marBottom w:val="0"/>
      <w:divBdr>
        <w:top w:val="none" w:sz="0" w:space="0" w:color="auto"/>
        <w:left w:val="none" w:sz="0" w:space="0" w:color="auto"/>
        <w:bottom w:val="none" w:sz="0" w:space="0" w:color="auto"/>
        <w:right w:val="none" w:sz="0" w:space="0" w:color="auto"/>
      </w:divBdr>
    </w:div>
    <w:div w:id="1893617946">
      <w:bodyDiv w:val="1"/>
      <w:marLeft w:val="0"/>
      <w:marRight w:val="0"/>
      <w:marTop w:val="0"/>
      <w:marBottom w:val="0"/>
      <w:divBdr>
        <w:top w:val="none" w:sz="0" w:space="0" w:color="auto"/>
        <w:left w:val="none" w:sz="0" w:space="0" w:color="auto"/>
        <w:bottom w:val="none" w:sz="0" w:space="0" w:color="auto"/>
        <w:right w:val="none" w:sz="0" w:space="0" w:color="auto"/>
      </w:divBdr>
    </w:div>
    <w:div w:id="2018338605">
      <w:bodyDiv w:val="1"/>
      <w:marLeft w:val="0"/>
      <w:marRight w:val="0"/>
      <w:marTop w:val="0"/>
      <w:marBottom w:val="0"/>
      <w:divBdr>
        <w:top w:val="none" w:sz="0" w:space="0" w:color="auto"/>
        <w:left w:val="none" w:sz="0" w:space="0" w:color="auto"/>
        <w:bottom w:val="none" w:sz="0" w:space="0" w:color="auto"/>
        <w:right w:val="none" w:sz="0" w:space="0" w:color="auto"/>
      </w:divBdr>
    </w:div>
    <w:div w:id="213925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27466C9-10F6-4A79-9B73-5D79151F0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6</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Karl Staples</cp:lastModifiedBy>
  <cp:revision>3</cp:revision>
  <cp:lastPrinted>2013-10-03T12:51:00Z</cp:lastPrinted>
  <dcterms:created xsi:type="dcterms:W3CDTF">2021-08-10T15:13:00Z</dcterms:created>
  <dcterms:modified xsi:type="dcterms:W3CDTF">2021-08-10T15:14:00Z</dcterms:modified>
</cp:coreProperties>
</file>