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7040" w14:textId="76C506F2" w:rsidR="00DE0F30" w:rsidRPr="00521555" w:rsidRDefault="00925DE2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50F439" wp14:editId="36CF9B34">
            <wp:extent cx="5943600" cy="3059309"/>
            <wp:effectExtent l="0" t="0" r="0" b="8255"/>
            <wp:docPr id="1" name="Picture 1" descr="U:\Papers\Stroke reprogramming in V1\Manuscript\ASubmission_Frontiers\Supp\SuppFig. 1 ET-1 dose and post ND1 day4an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apers\Stroke reprogramming in V1\Manuscript\ASubmission_Frontiers\Supp\SuppFig. 1 ET-1 dose and post ND1 day4an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2AFB" w14:textId="413C9ED8" w:rsidR="00EE2894" w:rsidRPr="00521555" w:rsidRDefault="005B770D" w:rsidP="00FB751B">
      <w:pPr>
        <w:jc w:val="both"/>
        <w:rPr>
          <w:rFonts w:ascii="Arial" w:hAnsi="Arial" w:cs="Arial"/>
          <w:b/>
          <w:sz w:val="20"/>
          <w:szCs w:val="20"/>
        </w:rPr>
      </w:pPr>
      <w:r w:rsidRPr="00E52BD1">
        <w:rPr>
          <w:rFonts w:ascii="Arial" w:hAnsi="Arial" w:cs="Arial"/>
          <w:b/>
          <w:sz w:val="20"/>
          <w:szCs w:val="20"/>
        </w:rPr>
        <w:t xml:space="preserve">Supplementary </w:t>
      </w:r>
      <w:r w:rsidR="00FB751B" w:rsidRPr="00E52BD1">
        <w:rPr>
          <w:rFonts w:ascii="Arial" w:hAnsi="Arial" w:cs="Arial"/>
          <w:b/>
          <w:sz w:val="20"/>
          <w:szCs w:val="20"/>
        </w:rPr>
        <w:t>Figure 1.</w:t>
      </w:r>
      <w:r w:rsidR="00FB751B" w:rsidRPr="00521555">
        <w:rPr>
          <w:rFonts w:ascii="Arial" w:hAnsi="Arial" w:cs="Arial"/>
          <w:b/>
          <w:sz w:val="20"/>
          <w:szCs w:val="20"/>
        </w:rPr>
        <w:t xml:space="preserve"> </w:t>
      </w:r>
      <w:r w:rsidR="00DD0425" w:rsidRPr="00521555">
        <w:rPr>
          <w:rFonts w:ascii="Arial" w:hAnsi="Arial" w:cs="Arial"/>
          <w:b/>
          <w:sz w:val="20"/>
          <w:szCs w:val="20"/>
        </w:rPr>
        <w:t>Gliosis and neuronal loss in ET-1 injected visual cortex</w:t>
      </w:r>
      <w:r w:rsidR="00FB751B" w:rsidRPr="00521555">
        <w:rPr>
          <w:rFonts w:ascii="Arial" w:hAnsi="Arial" w:cs="Arial"/>
          <w:b/>
          <w:sz w:val="20"/>
          <w:szCs w:val="20"/>
        </w:rPr>
        <w:t xml:space="preserve"> and </w:t>
      </w:r>
      <w:r w:rsidR="00DD0425" w:rsidRPr="00521555">
        <w:rPr>
          <w:rFonts w:ascii="Arial" w:hAnsi="Arial" w:cs="Arial"/>
          <w:b/>
          <w:sz w:val="20"/>
          <w:szCs w:val="20"/>
        </w:rPr>
        <w:t xml:space="preserve">cell conversion following </w:t>
      </w:r>
      <w:r w:rsidR="00FB751B" w:rsidRPr="00521555">
        <w:rPr>
          <w:rFonts w:ascii="Arial" w:hAnsi="Arial" w:cs="Arial"/>
          <w:b/>
          <w:i/>
          <w:sz w:val="20"/>
          <w:szCs w:val="20"/>
        </w:rPr>
        <w:t xml:space="preserve">in vivo </w:t>
      </w:r>
      <w:r w:rsidR="00FB751B" w:rsidRPr="00521555">
        <w:rPr>
          <w:rFonts w:ascii="Arial" w:hAnsi="Arial" w:cs="Arial"/>
          <w:b/>
          <w:sz w:val="20"/>
          <w:szCs w:val="20"/>
        </w:rPr>
        <w:t xml:space="preserve">direct reprogramming in the primary visual cortex. </w:t>
      </w:r>
    </w:p>
    <w:p w14:paraId="1E9BAFF5" w14:textId="77777777" w:rsidR="003B6D34" w:rsidRPr="00521555" w:rsidRDefault="003B6D34" w:rsidP="003B6D34">
      <w:pPr>
        <w:rPr>
          <w:rFonts w:ascii="Arial" w:hAnsi="Arial" w:cs="Arial"/>
          <w:b/>
          <w:bCs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t>(A) Gliosis (GFAP, magenta) and neuronal loss (</w:t>
      </w:r>
      <w:proofErr w:type="spellStart"/>
      <w:r w:rsidRPr="00521555">
        <w:rPr>
          <w:rFonts w:ascii="Arial" w:hAnsi="Arial" w:cs="Arial"/>
          <w:sz w:val="20"/>
          <w:szCs w:val="20"/>
        </w:rPr>
        <w:t>NeuN</w:t>
      </w:r>
      <w:proofErr w:type="spellEnd"/>
      <w:r w:rsidRPr="00521555">
        <w:rPr>
          <w:rFonts w:ascii="Arial" w:hAnsi="Arial" w:cs="Arial"/>
          <w:sz w:val="20"/>
          <w:szCs w:val="20"/>
        </w:rPr>
        <w:t xml:space="preserve">, green) </w:t>
      </w:r>
      <w:r w:rsidR="00FF3374" w:rsidRPr="00521555">
        <w:rPr>
          <w:rFonts w:ascii="Arial" w:hAnsi="Arial" w:cs="Arial"/>
          <w:sz w:val="20"/>
          <w:szCs w:val="20"/>
        </w:rPr>
        <w:t>at</w:t>
      </w:r>
      <w:r w:rsidRPr="00521555">
        <w:rPr>
          <w:rFonts w:ascii="Arial" w:hAnsi="Arial" w:cs="Arial"/>
          <w:sz w:val="20"/>
          <w:szCs w:val="20"/>
        </w:rPr>
        <w:t xml:space="preserve"> 9 days after 4ug/ul ET-1 i</w:t>
      </w:r>
      <w:r w:rsidR="00FF3374" w:rsidRPr="00521555">
        <w:rPr>
          <w:rFonts w:ascii="Arial" w:hAnsi="Arial" w:cs="Arial"/>
          <w:sz w:val="20"/>
          <w:szCs w:val="20"/>
        </w:rPr>
        <w:t xml:space="preserve">njection (top left hemisphere). Persisted gliosis </w:t>
      </w:r>
      <w:r w:rsidRPr="00521555">
        <w:rPr>
          <w:rFonts w:ascii="Arial" w:hAnsi="Arial" w:cs="Arial"/>
          <w:sz w:val="20"/>
          <w:szCs w:val="20"/>
        </w:rPr>
        <w:t xml:space="preserve">after 4 weeks (middle left hemisphere). </w:t>
      </w:r>
      <w:r w:rsidR="00FF3374" w:rsidRPr="00521555">
        <w:rPr>
          <w:rFonts w:ascii="Arial" w:hAnsi="Arial" w:cs="Arial"/>
          <w:sz w:val="20"/>
          <w:szCs w:val="20"/>
        </w:rPr>
        <w:t xml:space="preserve">Larger tissue damage induced by </w:t>
      </w:r>
      <w:r w:rsidRPr="00521555">
        <w:rPr>
          <w:rFonts w:ascii="Arial" w:hAnsi="Arial" w:cs="Arial"/>
          <w:sz w:val="20"/>
          <w:szCs w:val="20"/>
        </w:rPr>
        <w:t>8ug/ul ET-1 (bottom left hemisphere). ACSF injected control (right hemispheres). Scale: 500µm.</w:t>
      </w:r>
      <w:r w:rsidRPr="0052155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5BA1C80" w14:textId="0C33E650" w:rsidR="00F367A0" w:rsidRPr="00521555" w:rsidRDefault="003B6D34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bCs/>
          <w:sz w:val="20"/>
          <w:szCs w:val="20"/>
        </w:rPr>
        <w:t xml:space="preserve">(B) </w:t>
      </w:r>
      <w:proofErr w:type="spellStart"/>
      <w:r w:rsidRPr="00521555">
        <w:rPr>
          <w:rFonts w:ascii="Arial" w:hAnsi="Arial" w:cs="Arial"/>
          <w:sz w:val="20"/>
          <w:szCs w:val="20"/>
        </w:rPr>
        <w:t>mCherry</w:t>
      </w:r>
      <w:proofErr w:type="spellEnd"/>
      <w:r w:rsidRPr="00521555">
        <w:rPr>
          <w:rFonts w:ascii="Arial" w:hAnsi="Arial" w:cs="Arial"/>
          <w:sz w:val="20"/>
          <w:szCs w:val="20"/>
        </w:rPr>
        <w:t xml:space="preserve"> positive cells co-stained</w:t>
      </w:r>
      <w:r w:rsidRPr="00521555">
        <w:rPr>
          <w:rFonts w:ascii="Arial" w:hAnsi="Arial" w:cs="Arial"/>
          <w:sz w:val="20"/>
          <w:szCs w:val="20"/>
        </w:rPr>
        <w:softHyphen/>
        <w:t xml:space="preserve"> with </w:t>
      </w:r>
      <w:proofErr w:type="spellStart"/>
      <w:r w:rsidRPr="00521555">
        <w:rPr>
          <w:rFonts w:ascii="Arial" w:hAnsi="Arial" w:cs="Arial"/>
          <w:sz w:val="20"/>
          <w:szCs w:val="20"/>
        </w:rPr>
        <w:t>NeuN</w:t>
      </w:r>
      <w:proofErr w:type="spellEnd"/>
      <w:r w:rsidRPr="00521555">
        <w:rPr>
          <w:rFonts w:ascii="Arial" w:hAnsi="Arial" w:cs="Arial"/>
          <w:sz w:val="20"/>
          <w:szCs w:val="20"/>
        </w:rPr>
        <w:t xml:space="preserve"> in the reprogrammed group and GFAP in control at 4 and 7 days after viral injection. </w:t>
      </w:r>
      <w:r w:rsidR="00A67BC2" w:rsidRPr="00521555">
        <w:rPr>
          <w:rFonts w:ascii="Arial" w:hAnsi="Arial" w:cs="Arial"/>
          <w:sz w:val="20"/>
          <w:szCs w:val="20"/>
        </w:rPr>
        <w:t>Arrows point</w:t>
      </w:r>
      <w:r w:rsidR="002511CD" w:rsidRPr="00521555">
        <w:rPr>
          <w:rFonts w:ascii="Arial" w:hAnsi="Arial" w:cs="Arial"/>
          <w:sz w:val="20"/>
          <w:szCs w:val="20"/>
        </w:rPr>
        <w:t>ing</w:t>
      </w:r>
      <w:r w:rsidR="00A67BC2" w:rsidRPr="00521555">
        <w:rPr>
          <w:rFonts w:ascii="Arial" w:hAnsi="Arial" w:cs="Arial"/>
          <w:sz w:val="20"/>
          <w:szCs w:val="20"/>
        </w:rPr>
        <w:t xml:space="preserve"> to double positive </w:t>
      </w:r>
      <w:r w:rsidR="00556815" w:rsidRPr="00521555">
        <w:rPr>
          <w:rFonts w:ascii="Arial" w:hAnsi="Arial" w:cs="Arial"/>
          <w:sz w:val="20"/>
          <w:szCs w:val="20"/>
        </w:rPr>
        <w:t xml:space="preserve">cells. </w:t>
      </w:r>
      <w:r w:rsidRPr="00521555">
        <w:rPr>
          <w:rFonts w:ascii="Arial" w:hAnsi="Arial" w:cs="Arial"/>
          <w:sz w:val="20"/>
          <w:szCs w:val="20"/>
        </w:rPr>
        <w:t>Scale: 50µm.</w:t>
      </w:r>
    </w:p>
    <w:p w14:paraId="3E173925" w14:textId="77777777" w:rsidR="00F367A0" w:rsidRPr="006F081E" w:rsidRDefault="00F367A0">
      <w:pPr>
        <w:rPr>
          <w:rFonts w:ascii="Arial" w:hAnsi="Arial" w:cs="Arial"/>
          <w:sz w:val="20"/>
          <w:szCs w:val="20"/>
        </w:rPr>
      </w:pPr>
      <w:r w:rsidRPr="006F081E">
        <w:rPr>
          <w:rFonts w:ascii="Arial" w:hAnsi="Arial" w:cs="Arial"/>
          <w:sz w:val="20"/>
          <w:szCs w:val="20"/>
        </w:rPr>
        <w:br w:type="page"/>
      </w:r>
    </w:p>
    <w:p w14:paraId="40270F69" w14:textId="5F0827A0" w:rsidR="00F367A0" w:rsidRPr="0017619D" w:rsidRDefault="00F367A0" w:rsidP="00F367A0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17619D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1E2E6B1" wp14:editId="6F2BF417">
            <wp:extent cx="4425192" cy="6962018"/>
            <wp:effectExtent l="0" t="0" r="0" b="0"/>
            <wp:docPr id="4" name="Picture 4" descr="C:\Users\AChub_lab\Downloads\NeuroD1staining--20210724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hub_lab\Downloads\NeuroD1staining--2021072417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48" cy="6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E6FF" w14:textId="4DA68907" w:rsidR="00F367A0" w:rsidRPr="0017619D" w:rsidRDefault="005B770D" w:rsidP="00F367A0">
      <w:pPr>
        <w:pStyle w:val="NormalWeb"/>
        <w:rPr>
          <w:rFonts w:ascii="Arial" w:hAnsi="Arial" w:cs="Arial"/>
          <w:b/>
          <w:color w:val="000000"/>
          <w:sz w:val="20"/>
          <w:szCs w:val="20"/>
        </w:rPr>
      </w:pPr>
      <w:r w:rsidRPr="00E52BD1">
        <w:rPr>
          <w:rFonts w:ascii="Arial" w:hAnsi="Arial" w:cs="Arial"/>
          <w:b/>
          <w:color w:val="000000"/>
          <w:sz w:val="20"/>
          <w:szCs w:val="20"/>
        </w:rPr>
        <w:t xml:space="preserve">Supplementary </w:t>
      </w:r>
      <w:r w:rsidR="00521555" w:rsidRPr="00E52BD1">
        <w:rPr>
          <w:rFonts w:ascii="Arial" w:hAnsi="Arial" w:cs="Arial"/>
          <w:b/>
          <w:color w:val="000000"/>
          <w:sz w:val="20"/>
          <w:szCs w:val="20"/>
        </w:rPr>
        <w:t>Figure 2.</w:t>
      </w:r>
      <w:r w:rsidR="00521555" w:rsidRPr="0017619D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F367A0" w:rsidRPr="0017619D">
        <w:rPr>
          <w:rFonts w:ascii="Arial" w:hAnsi="Arial" w:cs="Arial"/>
          <w:b/>
          <w:color w:val="000000"/>
          <w:sz w:val="20"/>
          <w:szCs w:val="20"/>
        </w:rPr>
        <w:t>Comparison of endogenous NeuroD1 expression level versus AAV overexpressed NeuroD1 after astrocyte-to-neuron conversion.</w:t>
      </w:r>
    </w:p>
    <w:p w14:paraId="18359C75" w14:textId="77777777" w:rsidR="00F367A0" w:rsidRPr="0017619D" w:rsidRDefault="00F367A0" w:rsidP="00F367A0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17619D">
        <w:rPr>
          <w:rFonts w:ascii="Arial" w:hAnsi="Arial" w:cs="Arial"/>
          <w:color w:val="000000"/>
          <w:sz w:val="20"/>
          <w:szCs w:val="20"/>
        </w:rPr>
        <w:t xml:space="preserve">(A-B) Representative images illustrating that in the control </w:t>
      </w:r>
      <w:proofErr w:type="spellStart"/>
      <w:r w:rsidRPr="0017619D">
        <w:rPr>
          <w:rFonts w:ascii="Arial" w:hAnsi="Arial" w:cs="Arial"/>
          <w:color w:val="000000"/>
          <w:sz w:val="20"/>
          <w:szCs w:val="20"/>
        </w:rPr>
        <w:t>mCherry</w:t>
      </w:r>
      <w:proofErr w:type="spellEnd"/>
      <w:r w:rsidRPr="0017619D">
        <w:rPr>
          <w:rFonts w:ascii="Arial" w:hAnsi="Arial" w:cs="Arial"/>
          <w:color w:val="000000"/>
          <w:sz w:val="20"/>
          <w:szCs w:val="20"/>
        </w:rPr>
        <w:t xml:space="preserve"> group, the endogenous neurons (labeled by </w:t>
      </w:r>
      <w:proofErr w:type="spellStart"/>
      <w:r w:rsidRPr="0017619D">
        <w:rPr>
          <w:rFonts w:ascii="Arial" w:hAnsi="Arial" w:cs="Arial"/>
          <w:color w:val="000000"/>
          <w:sz w:val="20"/>
          <w:szCs w:val="20"/>
        </w:rPr>
        <w:t>NeuN</w:t>
      </w:r>
      <w:proofErr w:type="spellEnd"/>
      <w:r w:rsidRPr="0017619D">
        <w:rPr>
          <w:rFonts w:ascii="Arial" w:hAnsi="Arial" w:cs="Arial"/>
          <w:color w:val="000000"/>
          <w:sz w:val="20"/>
          <w:szCs w:val="20"/>
        </w:rPr>
        <w:t>) rarely showed detectable level of NeuroD1 expression in the mouse cortex. Scale bar for panel A, 100 mm. Panel B shows the enlarged box area in panel A. Scale bar for panel B, 20 mm.</w:t>
      </w:r>
    </w:p>
    <w:p w14:paraId="5BBFE37C" w14:textId="77777777" w:rsidR="00F367A0" w:rsidRPr="0017619D" w:rsidRDefault="00F367A0" w:rsidP="00F367A0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17619D">
        <w:rPr>
          <w:rFonts w:ascii="Arial" w:hAnsi="Arial" w:cs="Arial"/>
          <w:color w:val="000000"/>
          <w:sz w:val="20"/>
          <w:szCs w:val="20"/>
        </w:rPr>
        <w:lastRenderedPageBreak/>
        <w:t>(C-D) Representative images showing that in the NeuroD1 group, after astrocyte-to-neuron conversion (30 days post AAV NeuroD1 infection), NeuroD1 immunostaining (green) detected clear NeuroD1 signal in the NeuroD1-mCherry-converted neurons (red). Scale bar for panel C, 100 mm. Panel D shows the enlarged box area in panel C. Scale bar for panel D, 20 mm.</w:t>
      </w:r>
    </w:p>
    <w:p w14:paraId="6B86E19D" w14:textId="77777777" w:rsidR="00F367A0" w:rsidRPr="0017619D" w:rsidRDefault="00F367A0" w:rsidP="00F367A0">
      <w:pPr>
        <w:pStyle w:val="NormalWeb"/>
        <w:rPr>
          <w:rFonts w:ascii="Arial" w:hAnsi="Arial" w:cs="Arial"/>
          <w:color w:val="000000"/>
          <w:sz w:val="20"/>
          <w:szCs w:val="20"/>
        </w:rPr>
      </w:pPr>
      <w:r w:rsidRPr="0017619D">
        <w:rPr>
          <w:rFonts w:ascii="Arial" w:hAnsi="Arial" w:cs="Arial"/>
          <w:color w:val="000000"/>
          <w:sz w:val="20"/>
          <w:szCs w:val="20"/>
        </w:rPr>
        <w:t>(E) Quantitative analysis showing that the exogenous NeuroD1 expression level in NeuroD1-mCherry-converted neurons was significantly higher than the endogenous NeuroD1 expression level. **P &lt; 0.01, Student’s t-test (n = 3 animals for each group).</w:t>
      </w:r>
    </w:p>
    <w:p w14:paraId="72AA5961" w14:textId="77777777" w:rsidR="006155C7" w:rsidRPr="00521555" w:rsidRDefault="006155C7">
      <w:pPr>
        <w:rPr>
          <w:rFonts w:ascii="Arial" w:hAnsi="Arial" w:cs="Arial"/>
          <w:sz w:val="20"/>
          <w:szCs w:val="20"/>
        </w:rPr>
      </w:pPr>
    </w:p>
    <w:p w14:paraId="0059F679" w14:textId="77777777" w:rsidR="006155C7" w:rsidRPr="006F081E" w:rsidRDefault="006155C7">
      <w:pPr>
        <w:rPr>
          <w:rFonts w:ascii="Arial" w:hAnsi="Arial" w:cs="Arial"/>
          <w:sz w:val="20"/>
          <w:szCs w:val="20"/>
        </w:rPr>
      </w:pPr>
      <w:r w:rsidRPr="006F081E">
        <w:rPr>
          <w:rFonts w:ascii="Arial" w:hAnsi="Arial" w:cs="Arial"/>
          <w:sz w:val="20"/>
          <w:szCs w:val="20"/>
        </w:rPr>
        <w:br w:type="page"/>
      </w:r>
    </w:p>
    <w:p w14:paraId="751E2273" w14:textId="46EAF544" w:rsidR="00DE0F30" w:rsidRPr="00521555" w:rsidRDefault="00E52B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 w14:anchorId="22D3A3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pt;height:108.5pt">
            <v:imagedata r:id="rId7" o:title="SuppFig"/>
          </v:shape>
        </w:pict>
      </w:r>
    </w:p>
    <w:p w14:paraId="321D1183" w14:textId="08E3B31A" w:rsidR="0012271A" w:rsidRPr="0017619D" w:rsidRDefault="005B770D" w:rsidP="0012271A">
      <w:pPr>
        <w:jc w:val="both"/>
        <w:rPr>
          <w:rFonts w:ascii="Arial" w:hAnsi="Arial" w:cs="Arial"/>
          <w:b/>
          <w:sz w:val="20"/>
          <w:szCs w:val="20"/>
        </w:rPr>
      </w:pPr>
      <w:r w:rsidRPr="00E52BD1">
        <w:rPr>
          <w:rFonts w:ascii="Arial" w:hAnsi="Arial" w:cs="Arial"/>
          <w:b/>
          <w:sz w:val="20"/>
          <w:szCs w:val="20"/>
        </w:rPr>
        <w:t>Supplementary</w:t>
      </w:r>
      <w:r w:rsidR="0012271A" w:rsidRPr="00E52BD1">
        <w:rPr>
          <w:rFonts w:ascii="Arial" w:hAnsi="Arial" w:cs="Arial"/>
          <w:b/>
          <w:sz w:val="20"/>
          <w:szCs w:val="20"/>
        </w:rPr>
        <w:t xml:space="preserve"> Figure </w:t>
      </w:r>
      <w:r w:rsidR="00521555" w:rsidRPr="00E52BD1">
        <w:rPr>
          <w:rFonts w:ascii="Arial" w:hAnsi="Arial" w:cs="Arial"/>
          <w:b/>
          <w:sz w:val="20"/>
          <w:szCs w:val="20"/>
        </w:rPr>
        <w:t>3</w:t>
      </w:r>
      <w:r w:rsidR="0012271A" w:rsidRPr="00E52BD1">
        <w:rPr>
          <w:rFonts w:ascii="Arial" w:hAnsi="Arial" w:cs="Arial"/>
          <w:b/>
          <w:sz w:val="20"/>
          <w:szCs w:val="20"/>
        </w:rPr>
        <w:t>.</w:t>
      </w:r>
      <w:r w:rsidR="0012271A" w:rsidRPr="0017619D">
        <w:rPr>
          <w:rFonts w:ascii="Arial" w:hAnsi="Arial" w:cs="Arial"/>
          <w:b/>
          <w:sz w:val="20"/>
          <w:szCs w:val="20"/>
        </w:rPr>
        <w:t xml:space="preserve"> The reprogrammed cells received less synaptic inputs at 6 weeks compared to 3 weeks post-injection.</w:t>
      </w:r>
    </w:p>
    <w:p w14:paraId="20359A45" w14:textId="77777777" w:rsidR="0012271A" w:rsidRPr="0017619D" w:rsidRDefault="0012271A" w:rsidP="0012271A">
      <w:pPr>
        <w:rPr>
          <w:rFonts w:ascii="Arial" w:hAnsi="Arial" w:cs="Arial"/>
          <w:b/>
          <w:bCs/>
          <w:sz w:val="20"/>
          <w:szCs w:val="20"/>
        </w:rPr>
      </w:pPr>
      <w:r w:rsidRPr="0017619D">
        <w:rPr>
          <w:rFonts w:ascii="Arial" w:hAnsi="Arial" w:cs="Arial"/>
          <w:sz w:val="20"/>
          <w:szCs w:val="20"/>
        </w:rPr>
        <w:t>(A) Averaged CRACM maps of reprogrammed cells at 3 weeks and 6 weeks post-injection.</w:t>
      </w:r>
      <w:r w:rsidRPr="0017619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36C0E13" w14:textId="77777777" w:rsidR="0012271A" w:rsidRPr="0017619D" w:rsidRDefault="0012271A" w:rsidP="0012271A">
      <w:pPr>
        <w:rPr>
          <w:rFonts w:ascii="Arial" w:hAnsi="Arial" w:cs="Arial"/>
          <w:bCs/>
          <w:sz w:val="20"/>
          <w:szCs w:val="20"/>
        </w:rPr>
      </w:pPr>
      <w:r w:rsidRPr="0017619D">
        <w:rPr>
          <w:rFonts w:ascii="Arial" w:hAnsi="Arial" w:cs="Arial"/>
          <w:bCs/>
          <w:sz w:val="20"/>
          <w:szCs w:val="20"/>
        </w:rPr>
        <w:t>(B)</w:t>
      </w:r>
      <w:r w:rsidRPr="0017619D">
        <w:rPr>
          <w:rFonts w:ascii="Arial" w:hAnsi="Arial" w:cs="Arial"/>
          <w:sz w:val="20"/>
          <w:szCs w:val="20"/>
        </w:rPr>
        <w:t xml:space="preserve"> Quantification of the numbers of CRACM heatmap hot spots that had larger than 30pA EPSC amplitude. N</w:t>
      </w:r>
      <w:r w:rsidRPr="0017619D">
        <w:rPr>
          <w:rFonts w:ascii="Arial" w:hAnsi="Arial" w:cs="Arial"/>
          <w:sz w:val="20"/>
          <w:szCs w:val="20"/>
          <w:vertAlign w:val="subscript"/>
        </w:rPr>
        <w:t>3week</w:t>
      </w:r>
      <w:r w:rsidRPr="0017619D">
        <w:rPr>
          <w:rFonts w:ascii="Arial" w:hAnsi="Arial" w:cs="Arial"/>
          <w:sz w:val="20"/>
          <w:szCs w:val="20"/>
        </w:rPr>
        <w:t>=21 cells from 6 mice, N</w:t>
      </w:r>
      <w:r w:rsidRPr="0017619D">
        <w:rPr>
          <w:rFonts w:ascii="Arial" w:hAnsi="Arial" w:cs="Arial"/>
          <w:sz w:val="20"/>
          <w:szCs w:val="20"/>
          <w:vertAlign w:val="subscript"/>
        </w:rPr>
        <w:t>3week</w:t>
      </w:r>
      <w:r w:rsidRPr="0017619D">
        <w:rPr>
          <w:rFonts w:ascii="Arial" w:hAnsi="Arial" w:cs="Arial"/>
          <w:sz w:val="20"/>
          <w:szCs w:val="20"/>
        </w:rPr>
        <w:t xml:space="preserve">=12 cells from 9 mice. </w:t>
      </w:r>
      <w:r w:rsidRPr="0017619D">
        <w:rPr>
          <w:rFonts w:ascii="Arial" w:hAnsi="Arial" w:cs="Arial"/>
          <w:bCs/>
          <w:sz w:val="20"/>
          <w:szCs w:val="20"/>
        </w:rPr>
        <w:t>Mann-Whitney U test.</w:t>
      </w:r>
    </w:p>
    <w:p w14:paraId="7E0D1122" w14:textId="2364D3E8" w:rsidR="009A2A6C" w:rsidRPr="00521555" w:rsidRDefault="0012271A" w:rsidP="0012271A">
      <w:pPr>
        <w:rPr>
          <w:rFonts w:ascii="Arial" w:hAnsi="Arial" w:cs="Arial"/>
          <w:sz w:val="20"/>
          <w:szCs w:val="20"/>
        </w:rPr>
      </w:pPr>
      <w:r w:rsidRPr="0017619D">
        <w:rPr>
          <w:rFonts w:ascii="Arial" w:hAnsi="Arial" w:cs="Arial"/>
          <w:bCs/>
          <w:sz w:val="20"/>
          <w:szCs w:val="20"/>
        </w:rPr>
        <w:t>*-p&lt;0.05. Data are represented as mean ± SEM.</w:t>
      </w:r>
    </w:p>
    <w:p w14:paraId="5FE433D0" w14:textId="77777777" w:rsidR="00361ABC" w:rsidRPr="00521555" w:rsidRDefault="00361ABC">
      <w:pPr>
        <w:rPr>
          <w:rFonts w:ascii="Arial" w:hAnsi="Arial" w:cs="Arial"/>
          <w:sz w:val="20"/>
          <w:szCs w:val="20"/>
        </w:rPr>
      </w:pPr>
    </w:p>
    <w:p w14:paraId="50A4A02F" w14:textId="77777777" w:rsidR="004E33B1" w:rsidRPr="00521555" w:rsidRDefault="004E33B1">
      <w:pPr>
        <w:rPr>
          <w:rFonts w:ascii="Arial" w:hAnsi="Arial" w:cs="Arial"/>
          <w:sz w:val="20"/>
          <w:szCs w:val="20"/>
        </w:rPr>
      </w:pPr>
    </w:p>
    <w:p w14:paraId="56A1FAF2" w14:textId="77777777" w:rsidR="00DE0F30" w:rsidRPr="00521555" w:rsidRDefault="00DE0F30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br w:type="page"/>
      </w:r>
    </w:p>
    <w:p w14:paraId="1F2507E2" w14:textId="083622B2" w:rsidR="00DE0F30" w:rsidRPr="00521555" w:rsidRDefault="00925DE2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0E30489" wp14:editId="15D4FB10">
            <wp:extent cx="5943600" cy="3556707"/>
            <wp:effectExtent l="0" t="0" r="0" b="5715"/>
            <wp:docPr id="2" name="Picture 2" descr="U:\Papers\Stroke reprogramming in V1\Manuscript\ASubmission_Frontiers\Supp\SuppFig. 2 3 months in vivo and CRACM combined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apers\Stroke reprogramming in V1\Manuscript\ASubmission_Frontiers\Supp\SuppFig. 2 3 months in vivo and CRACM combined v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2724" w14:textId="225AB2F4" w:rsidR="00A138EB" w:rsidRPr="00521555" w:rsidRDefault="00A14C0D">
      <w:pPr>
        <w:rPr>
          <w:rFonts w:ascii="Arial" w:hAnsi="Arial" w:cs="Arial"/>
          <w:noProof/>
          <w:sz w:val="20"/>
          <w:szCs w:val="20"/>
        </w:rPr>
      </w:pPr>
      <w:r w:rsidRPr="00E52BD1">
        <w:rPr>
          <w:rFonts w:ascii="Arial" w:hAnsi="Arial" w:cs="Arial"/>
          <w:b/>
          <w:noProof/>
          <w:sz w:val="20"/>
          <w:szCs w:val="20"/>
        </w:rPr>
        <w:t xml:space="preserve">Supplementary </w:t>
      </w:r>
      <w:r w:rsidR="004B2876" w:rsidRPr="00E52BD1">
        <w:rPr>
          <w:rFonts w:ascii="Arial" w:hAnsi="Arial" w:cs="Arial"/>
          <w:b/>
          <w:noProof/>
          <w:sz w:val="20"/>
          <w:szCs w:val="20"/>
        </w:rPr>
        <w:t xml:space="preserve">Figure </w:t>
      </w:r>
      <w:r w:rsidR="002C4A2C" w:rsidRPr="00E52BD1">
        <w:rPr>
          <w:rFonts w:ascii="Arial" w:hAnsi="Arial" w:cs="Arial"/>
          <w:b/>
          <w:noProof/>
          <w:sz w:val="20"/>
          <w:szCs w:val="20"/>
        </w:rPr>
        <w:t>4</w:t>
      </w:r>
      <w:r w:rsidR="004B2876" w:rsidRPr="00E52BD1">
        <w:rPr>
          <w:rFonts w:ascii="Arial" w:hAnsi="Arial" w:cs="Arial"/>
          <w:b/>
          <w:noProof/>
          <w:sz w:val="20"/>
          <w:szCs w:val="20"/>
        </w:rPr>
        <w:t>.</w:t>
      </w:r>
      <w:r w:rsidR="00A138EB" w:rsidRPr="002C4A2C">
        <w:rPr>
          <w:rFonts w:ascii="Arial" w:hAnsi="Arial" w:cs="Arial"/>
          <w:b/>
          <w:sz w:val="20"/>
          <w:szCs w:val="20"/>
        </w:rPr>
        <w:t xml:space="preserve"> Circuit repair restoration with </w:t>
      </w:r>
      <w:r w:rsidR="00A138EB" w:rsidRPr="004D378C">
        <w:rPr>
          <w:rFonts w:ascii="Arial" w:hAnsi="Arial" w:cs="Arial"/>
          <w:b/>
          <w:i/>
          <w:sz w:val="20"/>
          <w:szCs w:val="20"/>
        </w:rPr>
        <w:t xml:space="preserve">in vivo </w:t>
      </w:r>
      <w:r w:rsidR="00A138EB" w:rsidRPr="00521555">
        <w:rPr>
          <w:rFonts w:ascii="Arial" w:hAnsi="Arial" w:cs="Arial"/>
          <w:b/>
          <w:sz w:val="20"/>
          <w:szCs w:val="20"/>
        </w:rPr>
        <w:t>direct reprogramming after ischemic injury were consistent in older adult mice</w:t>
      </w:r>
      <w:r w:rsidR="004B2876" w:rsidRPr="00521555">
        <w:rPr>
          <w:rFonts w:ascii="Arial" w:hAnsi="Arial" w:cs="Arial"/>
          <w:b/>
          <w:noProof/>
          <w:sz w:val="20"/>
          <w:szCs w:val="20"/>
        </w:rPr>
        <w:t>.</w:t>
      </w:r>
      <w:r w:rsidR="004B2876" w:rsidRPr="00521555">
        <w:rPr>
          <w:rFonts w:ascii="Arial" w:hAnsi="Arial" w:cs="Arial"/>
          <w:noProof/>
          <w:sz w:val="20"/>
          <w:szCs w:val="20"/>
        </w:rPr>
        <w:t xml:space="preserve"> </w:t>
      </w:r>
    </w:p>
    <w:p w14:paraId="69667933" w14:textId="77777777" w:rsidR="009154D0" w:rsidRPr="00521555" w:rsidRDefault="006A0F76" w:rsidP="00C673EB">
      <w:pPr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 xml:space="preserve">(A) </w:t>
      </w:r>
      <w:r w:rsidR="008F496D" w:rsidRPr="00521555">
        <w:rPr>
          <w:rFonts w:ascii="Arial" w:hAnsi="Arial" w:cs="Arial"/>
          <w:sz w:val="20"/>
          <w:szCs w:val="20"/>
        </w:rPr>
        <w:t>Averaged CRACM heat map of reprogrammed cells (N=</w:t>
      </w:r>
      <w:r w:rsidR="00A138EB" w:rsidRPr="00521555">
        <w:rPr>
          <w:rFonts w:ascii="Arial" w:hAnsi="Arial" w:cs="Arial"/>
          <w:noProof/>
          <w:sz w:val="20"/>
          <w:szCs w:val="20"/>
        </w:rPr>
        <w:t>18 cells from 9 mice</w:t>
      </w:r>
      <w:r w:rsidR="008F496D" w:rsidRPr="00521555">
        <w:rPr>
          <w:rFonts w:ascii="Arial" w:hAnsi="Arial" w:cs="Arial"/>
          <w:sz w:val="20"/>
          <w:szCs w:val="20"/>
        </w:rPr>
        <w:t>), surrounding neighbors (N=</w:t>
      </w:r>
      <w:r w:rsidR="00A138EB" w:rsidRPr="00521555">
        <w:rPr>
          <w:rFonts w:ascii="Arial" w:hAnsi="Arial" w:cs="Arial"/>
          <w:noProof/>
          <w:sz w:val="20"/>
          <w:szCs w:val="20"/>
        </w:rPr>
        <w:t>16 cells from the same cohort of 9 mice</w:t>
      </w:r>
      <w:r w:rsidR="008F496D" w:rsidRPr="00521555">
        <w:rPr>
          <w:rFonts w:ascii="Arial" w:hAnsi="Arial" w:cs="Arial"/>
          <w:sz w:val="20"/>
          <w:szCs w:val="20"/>
        </w:rPr>
        <w:t>), untreated control (N=</w:t>
      </w:r>
      <w:r w:rsidR="00A138EB" w:rsidRPr="00521555">
        <w:rPr>
          <w:rFonts w:ascii="Arial" w:hAnsi="Arial" w:cs="Arial"/>
          <w:noProof/>
          <w:sz w:val="20"/>
          <w:szCs w:val="20"/>
        </w:rPr>
        <w:t>28 cells from 9 mice</w:t>
      </w:r>
      <w:r w:rsidR="008F496D" w:rsidRPr="00521555">
        <w:rPr>
          <w:rFonts w:ascii="Arial" w:hAnsi="Arial" w:cs="Arial"/>
          <w:sz w:val="20"/>
          <w:szCs w:val="20"/>
        </w:rPr>
        <w:t>), and healthy control (N=</w:t>
      </w:r>
      <w:r w:rsidR="00A138EB" w:rsidRPr="00521555">
        <w:rPr>
          <w:rFonts w:ascii="Arial" w:hAnsi="Arial" w:cs="Arial"/>
          <w:noProof/>
          <w:sz w:val="20"/>
          <w:szCs w:val="20"/>
        </w:rPr>
        <w:t>34 cells from 8 mice</w:t>
      </w:r>
      <w:r w:rsidR="008F496D" w:rsidRPr="00521555">
        <w:rPr>
          <w:rFonts w:ascii="Arial" w:hAnsi="Arial" w:cs="Arial"/>
          <w:sz w:val="20"/>
          <w:szCs w:val="20"/>
        </w:rPr>
        <w:t xml:space="preserve">), </w:t>
      </w:r>
      <w:r w:rsidR="004B2876" w:rsidRPr="00521555">
        <w:rPr>
          <w:rFonts w:ascii="Arial" w:hAnsi="Arial" w:cs="Arial"/>
          <w:noProof/>
          <w:sz w:val="20"/>
          <w:szCs w:val="20"/>
        </w:rPr>
        <w:t>measured at 6 weeks after viral infection</w:t>
      </w:r>
      <w:r w:rsidR="00A138EB" w:rsidRPr="00521555">
        <w:rPr>
          <w:rFonts w:ascii="Arial" w:hAnsi="Arial" w:cs="Arial"/>
          <w:noProof/>
          <w:sz w:val="20"/>
          <w:szCs w:val="20"/>
        </w:rPr>
        <w:t xml:space="preserve"> in animals older than 3 months</w:t>
      </w:r>
      <w:r w:rsidR="004B2876" w:rsidRPr="00521555">
        <w:rPr>
          <w:rFonts w:ascii="Arial" w:hAnsi="Arial" w:cs="Arial"/>
          <w:noProof/>
          <w:sz w:val="20"/>
          <w:szCs w:val="20"/>
        </w:rPr>
        <w:t>.</w:t>
      </w:r>
    </w:p>
    <w:p w14:paraId="1B4493AA" w14:textId="77777777" w:rsidR="00DE0F30" w:rsidRPr="00521555" w:rsidRDefault="009154D0" w:rsidP="00C673EB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>(</w:t>
      </w:r>
      <w:r w:rsidR="000E0781" w:rsidRPr="00521555">
        <w:rPr>
          <w:rFonts w:ascii="Arial" w:hAnsi="Arial" w:cs="Arial"/>
          <w:noProof/>
          <w:sz w:val="20"/>
          <w:szCs w:val="20"/>
        </w:rPr>
        <w:t>B</w:t>
      </w:r>
      <w:r w:rsidRPr="00521555">
        <w:rPr>
          <w:rFonts w:ascii="Arial" w:hAnsi="Arial" w:cs="Arial"/>
          <w:noProof/>
          <w:sz w:val="20"/>
          <w:szCs w:val="20"/>
        </w:rPr>
        <w:t>)</w:t>
      </w:r>
      <w:r w:rsidR="004B2876" w:rsidRPr="00521555">
        <w:rPr>
          <w:rFonts w:ascii="Arial" w:hAnsi="Arial" w:cs="Arial"/>
          <w:noProof/>
          <w:sz w:val="20"/>
          <w:szCs w:val="20"/>
        </w:rPr>
        <w:t xml:space="preserve"> The cumulative density curve </w:t>
      </w:r>
      <w:r w:rsidR="00762C70" w:rsidRPr="00521555">
        <w:rPr>
          <w:rFonts w:ascii="Arial" w:hAnsi="Arial" w:cs="Arial"/>
          <w:noProof/>
          <w:sz w:val="20"/>
          <w:szCs w:val="20"/>
        </w:rPr>
        <w:t>showing</w:t>
      </w:r>
      <w:r w:rsidR="004B2876" w:rsidRPr="00521555">
        <w:rPr>
          <w:rFonts w:ascii="Arial" w:hAnsi="Arial" w:cs="Arial"/>
          <w:noProof/>
          <w:sz w:val="20"/>
          <w:szCs w:val="20"/>
        </w:rPr>
        <w:t xml:space="preserve"> the distribution of pooled EPSCs amplitude </w:t>
      </w:r>
      <w:r w:rsidR="004B2876" w:rsidRPr="00521555">
        <w:rPr>
          <w:rFonts w:ascii="Arial" w:hAnsi="Arial" w:cs="Arial"/>
          <w:sz w:val="20"/>
          <w:szCs w:val="20"/>
        </w:rPr>
        <w:t xml:space="preserve">in </w:t>
      </w:r>
      <w:r w:rsidR="000E0781" w:rsidRPr="00521555">
        <w:rPr>
          <w:rFonts w:ascii="Arial" w:hAnsi="Arial" w:cs="Arial"/>
          <w:sz w:val="20"/>
          <w:szCs w:val="20"/>
        </w:rPr>
        <w:t>(A</w:t>
      </w:r>
      <w:r w:rsidR="001D0F7B" w:rsidRPr="00521555">
        <w:rPr>
          <w:rFonts w:ascii="Arial" w:hAnsi="Arial" w:cs="Arial"/>
          <w:sz w:val="20"/>
          <w:szCs w:val="20"/>
        </w:rPr>
        <w:t>)</w:t>
      </w:r>
      <w:r w:rsidR="004B2876" w:rsidRPr="00521555">
        <w:rPr>
          <w:rFonts w:ascii="Arial" w:hAnsi="Arial" w:cs="Arial"/>
          <w:sz w:val="20"/>
          <w:szCs w:val="20"/>
        </w:rPr>
        <w:t>.</w:t>
      </w:r>
      <w:r w:rsidR="001D0F7B" w:rsidRPr="00521555">
        <w:rPr>
          <w:rFonts w:ascii="Arial" w:hAnsi="Arial" w:cs="Arial"/>
          <w:sz w:val="20"/>
          <w:szCs w:val="20"/>
        </w:rPr>
        <w:t xml:space="preserve"> </w:t>
      </w:r>
      <w:r w:rsidR="000E0781" w:rsidRPr="00521555">
        <w:rPr>
          <w:rFonts w:ascii="Arial" w:hAnsi="Arial" w:cs="Arial"/>
          <w:sz w:val="20"/>
          <w:szCs w:val="20"/>
        </w:rPr>
        <w:t xml:space="preserve">The </w:t>
      </w:r>
      <w:r w:rsidR="00D64F63" w:rsidRPr="00521555">
        <w:rPr>
          <w:rFonts w:ascii="Arial" w:hAnsi="Arial" w:cs="Arial"/>
          <w:sz w:val="20"/>
          <w:szCs w:val="20"/>
        </w:rPr>
        <w:t xml:space="preserve">inset bar graph showing </w:t>
      </w:r>
      <w:r w:rsidR="000E0781" w:rsidRPr="00521555">
        <w:rPr>
          <w:rFonts w:ascii="Arial" w:hAnsi="Arial" w:cs="Arial"/>
          <w:sz w:val="20"/>
          <w:szCs w:val="20"/>
        </w:rPr>
        <w:t>comparison of the log-transformed E</w:t>
      </w:r>
      <w:r w:rsidR="00D64F63" w:rsidRPr="00521555">
        <w:rPr>
          <w:rFonts w:ascii="Arial" w:hAnsi="Arial" w:cs="Arial"/>
          <w:sz w:val="20"/>
          <w:szCs w:val="20"/>
        </w:rPr>
        <w:t>PSCs amplitude among all groups</w:t>
      </w:r>
      <w:r w:rsidR="000E0781" w:rsidRPr="00521555">
        <w:rPr>
          <w:rFonts w:ascii="Arial" w:hAnsi="Arial" w:cs="Arial"/>
          <w:sz w:val="20"/>
          <w:szCs w:val="20"/>
        </w:rPr>
        <w:t xml:space="preserve">. </w:t>
      </w:r>
      <w:r w:rsidR="005C5AA9" w:rsidRPr="00521555">
        <w:rPr>
          <w:rFonts w:ascii="Arial" w:hAnsi="Arial" w:cs="Arial"/>
          <w:sz w:val="20"/>
          <w:szCs w:val="20"/>
        </w:rPr>
        <w:t>Reprogrammed vs. Untreated: p=0.0</w:t>
      </w:r>
      <w:r w:rsidR="004B3FC2" w:rsidRPr="00521555">
        <w:rPr>
          <w:rFonts w:ascii="Arial" w:hAnsi="Arial" w:cs="Arial"/>
          <w:sz w:val="20"/>
          <w:szCs w:val="20"/>
        </w:rPr>
        <w:t>135</w:t>
      </w:r>
      <w:r w:rsidR="005C5AA9" w:rsidRPr="00521555">
        <w:rPr>
          <w:rFonts w:ascii="Arial" w:hAnsi="Arial" w:cs="Arial"/>
          <w:sz w:val="20"/>
          <w:szCs w:val="20"/>
        </w:rPr>
        <w:t xml:space="preserve">; </w:t>
      </w:r>
      <w:r w:rsidR="004B3FC2" w:rsidRPr="00521555">
        <w:rPr>
          <w:rFonts w:ascii="Arial" w:hAnsi="Arial" w:cs="Arial"/>
          <w:sz w:val="20"/>
          <w:szCs w:val="20"/>
        </w:rPr>
        <w:t>Untreated</w:t>
      </w:r>
      <w:r w:rsidR="005C5AA9" w:rsidRPr="00521555">
        <w:rPr>
          <w:rFonts w:ascii="Arial" w:hAnsi="Arial" w:cs="Arial"/>
          <w:sz w:val="20"/>
          <w:szCs w:val="20"/>
        </w:rPr>
        <w:t xml:space="preserve"> vs. Healthy: p=</w:t>
      </w:r>
      <w:r w:rsidR="004B3FC2" w:rsidRPr="00521555">
        <w:rPr>
          <w:rFonts w:ascii="Arial" w:hAnsi="Arial" w:cs="Arial"/>
          <w:sz w:val="20"/>
          <w:szCs w:val="20"/>
        </w:rPr>
        <w:t>0.048</w:t>
      </w:r>
      <w:r w:rsidR="005C5AA9" w:rsidRPr="00521555">
        <w:rPr>
          <w:rFonts w:ascii="Arial" w:hAnsi="Arial" w:cs="Arial"/>
          <w:sz w:val="20"/>
          <w:szCs w:val="20"/>
        </w:rPr>
        <w:t>.</w:t>
      </w:r>
      <w:r w:rsidR="001D0F7B" w:rsidRPr="00521555">
        <w:rPr>
          <w:rFonts w:ascii="Arial" w:hAnsi="Arial" w:cs="Arial"/>
          <w:sz w:val="20"/>
          <w:szCs w:val="20"/>
        </w:rPr>
        <w:t xml:space="preserve"> </w:t>
      </w:r>
      <w:r w:rsidR="003C7BFA" w:rsidRPr="00521555">
        <w:rPr>
          <w:rFonts w:ascii="Arial" w:hAnsi="Arial" w:cs="Arial"/>
          <w:sz w:val="20"/>
          <w:szCs w:val="20"/>
        </w:rPr>
        <w:t>One</w:t>
      </w:r>
      <w:r w:rsidR="001D0F7B" w:rsidRPr="00521555">
        <w:rPr>
          <w:rFonts w:ascii="Arial" w:hAnsi="Arial" w:cs="Arial"/>
          <w:sz w:val="20"/>
          <w:szCs w:val="20"/>
        </w:rPr>
        <w:t>-way ANOVA followed by Tukey post-hoc tests</w:t>
      </w:r>
      <w:r w:rsidR="005C5AA9" w:rsidRPr="00521555">
        <w:rPr>
          <w:rFonts w:ascii="Arial" w:hAnsi="Arial" w:cs="Arial"/>
          <w:sz w:val="20"/>
          <w:szCs w:val="20"/>
        </w:rPr>
        <w:t>.</w:t>
      </w:r>
    </w:p>
    <w:p w14:paraId="30E19715" w14:textId="77777777" w:rsidR="006A027C" w:rsidRPr="00521555" w:rsidRDefault="006A027C" w:rsidP="00C673EB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t>(</w:t>
      </w:r>
      <w:r w:rsidR="004B3FC2" w:rsidRPr="00521555">
        <w:rPr>
          <w:rFonts w:ascii="Arial" w:hAnsi="Arial" w:cs="Arial"/>
          <w:sz w:val="20"/>
          <w:szCs w:val="20"/>
        </w:rPr>
        <w:t>C</w:t>
      </w:r>
      <w:r w:rsidRPr="00521555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4B3FC2" w:rsidRPr="00521555">
        <w:rPr>
          <w:rFonts w:ascii="Arial" w:hAnsi="Arial" w:cs="Arial"/>
          <w:sz w:val="20"/>
          <w:szCs w:val="20"/>
        </w:rPr>
        <w:t>logEPSC</w:t>
      </w:r>
      <w:proofErr w:type="spellEnd"/>
      <w:r w:rsidR="004B3FC2" w:rsidRPr="00521555">
        <w:rPr>
          <w:rFonts w:ascii="Arial" w:hAnsi="Arial" w:cs="Arial"/>
          <w:sz w:val="20"/>
          <w:szCs w:val="20"/>
        </w:rPr>
        <w:t xml:space="preserve"> at each time point normalized against the sham control. </w:t>
      </w:r>
      <w:r w:rsidR="00B60585" w:rsidRPr="00521555">
        <w:rPr>
          <w:rFonts w:ascii="Arial" w:hAnsi="Arial" w:cs="Arial"/>
          <w:sz w:val="20"/>
          <w:szCs w:val="20"/>
        </w:rPr>
        <w:t>Two-way ANOVA, Groups: F(3)=15.941, p=1.984x10</w:t>
      </w:r>
      <w:r w:rsidR="00B60585" w:rsidRPr="00521555">
        <w:rPr>
          <w:rFonts w:ascii="Arial" w:hAnsi="Arial" w:cs="Arial"/>
          <w:sz w:val="20"/>
          <w:szCs w:val="20"/>
          <w:vertAlign w:val="superscript"/>
        </w:rPr>
        <w:t>-9</w:t>
      </w:r>
      <w:r w:rsidR="00B60585" w:rsidRPr="00521555">
        <w:rPr>
          <w:rFonts w:ascii="Arial" w:hAnsi="Arial" w:cs="Arial"/>
          <w:sz w:val="20"/>
          <w:szCs w:val="20"/>
        </w:rPr>
        <w:t>; Timepoints: F(2)=5.467, p=4.81x10</w:t>
      </w:r>
      <w:r w:rsidR="00B60585" w:rsidRPr="00521555">
        <w:rPr>
          <w:rFonts w:ascii="Arial" w:hAnsi="Arial" w:cs="Arial"/>
          <w:sz w:val="20"/>
          <w:szCs w:val="20"/>
          <w:vertAlign w:val="superscript"/>
        </w:rPr>
        <w:t>-3</w:t>
      </w:r>
      <w:r w:rsidR="00B60585" w:rsidRPr="00521555">
        <w:rPr>
          <w:rFonts w:ascii="Arial" w:hAnsi="Arial" w:cs="Arial"/>
          <w:sz w:val="20"/>
          <w:szCs w:val="20"/>
        </w:rPr>
        <w:t xml:space="preserve">; interaction: F(6)=2.532, p=0.064. Tukey's HSD test, untreated group: Young 3w vs. Old 6w p=0.603; Young 3w vs. Young 6w p=0.680; Young 6w vs. Old 6w p=0.900. Reprogrammed: Young 3w vs. Young 6w p=0.00433; Young 3w vs. Old 6w p=0.00157, Young 6w vs. Old 6w p=0.900. </w:t>
      </w:r>
      <w:r w:rsidR="007F4B24" w:rsidRPr="00521555">
        <w:rPr>
          <w:rFonts w:ascii="Arial" w:hAnsi="Arial" w:cs="Arial"/>
          <w:sz w:val="20"/>
          <w:szCs w:val="20"/>
        </w:rPr>
        <w:t xml:space="preserve">Surviving: Young 3w vs. Young 6w p=0.375; Young 3w vs. Old 6w p=0.711, Young 6w vs. Old 6w p=0.732. </w:t>
      </w:r>
      <w:r w:rsidR="004B3FC2" w:rsidRPr="00521555">
        <w:rPr>
          <w:rFonts w:ascii="Arial" w:hAnsi="Arial" w:cs="Arial"/>
          <w:sz w:val="20"/>
          <w:szCs w:val="20"/>
        </w:rPr>
        <w:t>Tukey’s HSD test.</w:t>
      </w:r>
    </w:p>
    <w:p w14:paraId="596DCE8E" w14:textId="77777777" w:rsidR="0042563A" w:rsidRPr="00521555" w:rsidRDefault="003C7BFA" w:rsidP="003C7BFA">
      <w:pPr>
        <w:jc w:val="both"/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t>(D)</w:t>
      </w:r>
      <w:r w:rsidRPr="00521555">
        <w:rPr>
          <w:rFonts w:ascii="Arial" w:hAnsi="Arial" w:cs="Arial"/>
          <w:noProof/>
          <w:sz w:val="20"/>
          <w:szCs w:val="20"/>
        </w:rPr>
        <w:t xml:space="preserve"> The comparison of input resistance at each time point. </w:t>
      </w:r>
      <w:r w:rsidR="0054695A" w:rsidRPr="00521555">
        <w:rPr>
          <w:rFonts w:ascii="Arial" w:hAnsi="Arial" w:cs="Arial"/>
          <w:noProof/>
          <w:sz w:val="20"/>
          <w:szCs w:val="20"/>
        </w:rPr>
        <w:t>Two-way ANOVA, Groups: F(3)=9.41, p = 7x10</w:t>
      </w:r>
      <w:r w:rsidR="0054695A" w:rsidRPr="00521555">
        <w:rPr>
          <w:rFonts w:ascii="Arial" w:hAnsi="Arial" w:cs="Arial"/>
          <w:noProof/>
          <w:sz w:val="20"/>
          <w:szCs w:val="20"/>
          <w:vertAlign w:val="superscript"/>
        </w:rPr>
        <w:t>-6</w:t>
      </w:r>
      <w:r w:rsidR="0054695A" w:rsidRPr="00521555">
        <w:rPr>
          <w:rFonts w:ascii="Arial" w:hAnsi="Arial" w:cs="Arial"/>
          <w:noProof/>
          <w:sz w:val="20"/>
          <w:szCs w:val="20"/>
        </w:rPr>
        <w:t xml:space="preserve">; Timepoints: F(2)=7.884, p=0.000493; interaction: F(6)=0.726, p=0.629. Tukey's HSD test, among Groups at Young 3 weeks: Reprogram vs. Surviving p=0.00115; Reprogram vs. Untreated p=0.00562; Reprogram vs. Healthy p=0.00506; Young 6 weeks: Reprogram vs. Healthy: p=0.0187; p&gt;0.05 for all other pairs of comparison at Young 6 weeks and Old 6 weeks. </w:t>
      </w:r>
      <w:r w:rsidR="002821B7" w:rsidRPr="00521555">
        <w:rPr>
          <w:rFonts w:ascii="Arial" w:hAnsi="Arial" w:cs="Arial"/>
          <w:noProof/>
          <w:sz w:val="20"/>
          <w:szCs w:val="20"/>
        </w:rPr>
        <w:t>Old 6 weeks vs. Young 6 weeks</w:t>
      </w:r>
      <w:r w:rsidR="001865BC" w:rsidRPr="00521555">
        <w:rPr>
          <w:rFonts w:ascii="Arial" w:hAnsi="Arial" w:cs="Arial"/>
          <w:noProof/>
          <w:sz w:val="20"/>
          <w:szCs w:val="20"/>
        </w:rPr>
        <w:t>:</w:t>
      </w:r>
      <w:r w:rsidR="002821B7" w:rsidRPr="00521555">
        <w:rPr>
          <w:rFonts w:ascii="Arial" w:hAnsi="Arial" w:cs="Arial"/>
          <w:noProof/>
          <w:sz w:val="20"/>
          <w:szCs w:val="20"/>
        </w:rPr>
        <w:t xml:space="preserve"> p=0.00771</w:t>
      </w:r>
      <w:r w:rsidR="001865BC" w:rsidRPr="00521555">
        <w:rPr>
          <w:rFonts w:ascii="Arial" w:hAnsi="Arial" w:cs="Arial"/>
          <w:noProof/>
          <w:sz w:val="20"/>
          <w:szCs w:val="20"/>
        </w:rPr>
        <w:t xml:space="preserve">; </w:t>
      </w:r>
      <w:r w:rsidR="002821B7" w:rsidRPr="00521555">
        <w:rPr>
          <w:rFonts w:ascii="Arial" w:hAnsi="Arial" w:cs="Arial"/>
          <w:noProof/>
          <w:sz w:val="20"/>
          <w:szCs w:val="20"/>
        </w:rPr>
        <w:t>Old 6 weeks vs. Young 3 weeks</w:t>
      </w:r>
      <w:r w:rsidR="001865BC" w:rsidRPr="00521555">
        <w:rPr>
          <w:rFonts w:ascii="Arial" w:hAnsi="Arial" w:cs="Arial"/>
          <w:noProof/>
          <w:sz w:val="20"/>
          <w:szCs w:val="20"/>
        </w:rPr>
        <w:t>:</w:t>
      </w:r>
      <w:r w:rsidR="002821B7" w:rsidRPr="00521555">
        <w:rPr>
          <w:rFonts w:ascii="Arial" w:hAnsi="Arial" w:cs="Arial"/>
          <w:noProof/>
          <w:sz w:val="20"/>
          <w:szCs w:val="20"/>
        </w:rPr>
        <w:t xml:space="preserve"> p=0.00113</w:t>
      </w:r>
      <w:r w:rsidR="001865BC" w:rsidRPr="00521555">
        <w:rPr>
          <w:rFonts w:ascii="Arial" w:hAnsi="Arial" w:cs="Arial"/>
          <w:noProof/>
          <w:sz w:val="20"/>
          <w:szCs w:val="20"/>
        </w:rPr>
        <w:t xml:space="preserve">; </w:t>
      </w:r>
      <w:r w:rsidR="002821B7" w:rsidRPr="00521555">
        <w:rPr>
          <w:rFonts w:ascii="Arial" w:hAnsi="Arial" w:cs="Arial"/>
          <w:noProof/>
          <w:sz w:val="20"/>
          <w:szCs w:val="20"/>
        </w:rPr>
        <w:t xml:space="preserve">Young 3 weeks vs. Young 6 weeks p=0.685. </w:t>
      </w:r>
      <w:r w:rsidR="001865BC" w:rsidRPr="00521555">
        <w:rPr>
          <w:rFonts w:ascii="Arial" w:hAnsi="Arial" w:cs="Arial"/>
          <w:noProof/>
          <w:sz w:val="20"/>
          <w:szCs w:val="20"/>
        </w:rPr>
        <w:t>Tukey post-hoc tests</w:t>
      </w:r>
      <w:r w:rsidR="00B02D39" w:rsidRPr="00521555">
        <w:rPr>
          <w:rFonts w:ascii="Arial" w:hAnsi="Arial" w:cs="Arial"/>
          <w:noProof/>
          <w:sz w:val="20"/>
          <w:szCs w:val="20"/>
        </w:rPr>
        <w:t>.</w:t>
      </w:r>
    </w:p>
    <w:p w14:paraId="6499F3D4" w14:textId="77777777" w:rsidR="00542710" w:rsidRPr="00521555" w:rsidRDefault="0054695A" w:rsidP="0054695A">
      <w:pPr>
        <w:rPr>
          <w:rFonts w:ascii="Arial" w:hAnsi="Arial" w:cs="Arial"/>
          <w:bCs/>
          <w:sz w:val="20"/>
          <w:szCs w:val="20"/>
        </w:rPr>
      </w:pPr>
      <w:r w:rsidRPr="00521555">
        <w:rPr>
          <w:rFonts w:ascii="Arial" w:hAnsi="Arial" w:cs="Arial"/>
          <w:bCs/>
          <w:sz w:val="20"/>
          <w:szCs w:val="20"/>
        </w:rPr>
        <w:t xml:space="preserve">*-p&lt;0.05, **-p&lt;0.01, ***-p&lt;0.001, </w:t>
      </w:r>
      <w:proofErr w:type="spellStart"/>
      <w:r w:rsidRPr="00521555">
        <w:rPr>
          <w:rFonts w:ascii="Arial" w:hAnsi="Arial" w:cs="Arial"/>
          <w:bCs/>
          <w:sz w:val="20"/>
          <w:szCs w:val="20"/>
        </w:rPr>
        <w:t>n.s</w:t>
      </w:r>
      <w:proofErr w:type="spellEnd"/>
      <w:r w:rsidRPr="00521555">
        <w:rPr>
          <w:rFonts w:ascii="Arial" w:hAnsi="Arial" w:cs="Arial"/>
          <w:bCs/>
          <w:sz w:val="20"/>
          <w:szCs w:val="20"/>
        </w:rPr>
        <w:t xml:space="preserve">.-not significant. Data are represented as mean ± SEM. </w:t>
      </w:r>
    </w:p>
    <w:p w14:paraId="012BE87B" w14:textId="77777777" w:rsidR="00542710" w:rsidRPr="00521555" w:rsidRDefault="00542710">
      <w:pPr>
        <w:rPr>
          <w:rFonts w:ascii="Arial" w:hAnsi="Arial" w:cs="Arial"/>
          <w:bCs/>
          <w:sz w:val="20"/>
          <w:szCs w:val="20"/>
        </w:rPr>
      </w:pPr>
      <w:r w:rsidRPr="00521555">
        <w:rPr>
          <w:rFonts w:ascii="Arial" w:hAnsi="Arial" w:cs="Arial"/>
          <w:bCs/>
          <w:sz w:val="20"/>
          <w:szCs w:val="20"/>
        </w:rPr>
        <w:br w:type="page"/>
      </w:r>
    </w:p>
    <w:p w14:paraId="0C826FB5" w14:textId="57ED4382" w:rsidR="0054695A" w:rsidRPr="00E52BD1" w:rsidRDefault="00925DE2" w:rsidP="0054695A">
      <w:pPr>
        <w:rPr>
          <w:rFonts w:ascii="Arial" w:hAnsi="Arial" w:cs="Arial"/>
          <w:sz w:val="20"/>
          <w:szCs w:val="20"/>
        </w:rPr>
      </w:pPr>
      <w:r w:rsidRPr="00E52BD1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A40D84D" wp14:editId="0CED268E">
            <wp:extent cx="5943600" cy="1604372"/>
            <wp:effectExtent l="0" t="0" r="0" b="0"/>
            <wp:docPr id="3" name="Picture 3" descr="U:\Papers\Stroke reprogramming in V1\Manuscript\ASubmission_Frontiers\Supp\SuppFig. 3 Units_12dir_v3_Soti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apers\Stroke reprogramming in V1\Manuscript\ASubmission_Frontiers\Supp\SuppFig. 3 Units_12dir_v3_Sotir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2F00" w14:textId="0C901190" w:rsidR="00542710" w:rsidRPr="00521555" w:rsidRDefault="00A14C0D" w:rsidP="00542710">
      <w:pPr>
        <w:rPr>
          <w:rFonts w:ascii="Arial" w:hAnsi="Arial" w:cs="Arial"/>
          <w:noProof/>
          <w:sz w:val="20"/>
          <w:szCs w:val="20"/>
        </w:rPr>
      </w:pPr>
      <w:r w:rsidRPr="00E52BD1">
        <w:rPr>
          <w:rFonts w:ascii="Arial" w:hAnsi="Arial" w:cs="Arial"/>
          <w:b/>
          <w:noProof/>
          <w:sz w:val="20"/>
          <w:szCs w:val="20"/>
        </w:rPr>
        <w:t xml:space="preserve">Supplementary </w:t>
      </w:r>
      <w:r w:rsidR="00542710" w:rsidRPr="00E52BD1">
        <w:rPr>
          <w:rFonts w:ascii="Arial" w:hAnsi="Arial" w:cs="Arial"/>
          <w:b/>
          <w:noProof/>
          <w:sz w:val="20"/>
          <w:szCs w:val="20"/>
        </w:rPr>
        <w:t xml:space="preserve">Figure </w:t>
      </w:r>
      <w:r w:rsidR="004D378C" w:rsidRPr="00E52BD1">
        <w:rPr>
          <w:rFonts w:ascii="Arial" w:hAnsi="Arial" w:cs="Arial"/>
          <w:b/>
          <w:noProof/>
          <w:sz w:val="20"/>
          <w:szCs w:val="20"/>
        </w:rPr>
        <w:t>5</w:t>
      </w:r>
      <w:r w:rsidR="00542710" w:rsidRPr="00E52BD1">
        <w:rPr>
          <w:rFonts w:ascii="Arial" w:hAnsi="Arial" w:cs="Arial"/>
          <w:b/>
          <w:noProof/>
          <w:sz w:val="20"/>
          <w:szCs w:val="20"/>
        </w:rPr>
        <w:t>.</w:t>
      </w:r>
      <w:r w:rsidR="00542710" w:rsidRPr="004D378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42710" w:rsidRPr="00A15832">
        <w:rPr>
          <w:rFonts w:ascii="Arial" w:hAnsi="Arial" w:cs="Arial"/>
          <w:b/>
          <w:sz w:val="20"/>
          <w:szCs w:val="20"/>
        </w:rPr>
        <w:t>Optogenetically</w:t>
      </w:r>
      <w:proofErr w:type="spellEnd"/>
      <w:r w:rsidR="00542710" w:rsidRPr="00A15832">
        <w:rPr>
          <w:rFonts w:ascii="Arial" w:hAnsi="Arial" w:cs="Arial"/>
          <w:b/>
          <w:sz w:val="20"/>
          <w:szCs w:val="20"/>
        </w:rPr>
        <w:t xml:space="preserve"> tagged reprogrammed cells are visually responsive and orientation selective</w:t>
      </w:r>
      <w:r w:rsidR="00542710" w:rsidRPr="00521555">
        <w:rPr>
          <w:rFonts w:ascii="Arial" w:hAnsi="Arial" w:cs="Arial"/>
          <w:b/>
          <w:noProof/>
          <w:sz w:val="20"/>
          <w:szCs w:val="20"/>
        </w:rPr>
        <w:t>.</w:t>
      </w:r>
      <w:r w:rsidR="00542710" w:rsidRPr="00521555">
        <w:rPr>
          <w:rFonts w:ascii="Arial" w:hAnsi="Arial" w:cs="Arial"/>
          <w:noProof/>
          <w:sz w:val="20"/>
          <w:szCs w:val="20"/>
        </w:rPr>
        <w:t xml:space="preserve"> </w:t>
      </w:r>
    </w:p>
    <w:p w14:paraId="528BD37A" w14:textId="77777777" w:rsidR="00542710" w:rsidRPr="00521555" w:rsidRDefault="00542710" w:rsidP="00542710">
      <w:pPr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 xml:space="preserve">(A) </w:t>
      </w:r>
      <w:r w:rsidR="00DD0425" w:rsidRPr="00521555">
        <w:rPr>
          <w:rFonts w:ascii="Arial" w:hAnsi="Arial" w:cs="Arial"/>
          <w:sz w:val="20"/>
          <w:szCs w:val="20"/>
        </w:rPr>
        <w:t>AAV-DIO-ChR2 was injected together with AAV-GFAP::Cre and AAV-FLEX-NeuroD1 to express ChR2 in the reprogrammed cells</w:t>
      </w:r>
      <w:r w:rsidRPr="00521555">
        <w:rPr>
          <w:rFonts w:ascii="Arial" w:hAnsi="Arial" w:cs="Arial"/>
          <w:noProof/>
          <w:sz w:val="20"/>
          <w:szCs w:val="20"/>
        </w:rPr>
        <w:t>.</w:t>
      </w:r>
      <w:r w:rsidR="00DD0425" w:rsidRPr="00521555">
        <w:rPr>
          <w:rFonts w:ascii="Arial" w:hAnsi="Arial" w:cs="Arial"/>
          <w:noProof/>
          <w:sz w:val="20"/>
          <w:szCs w:val="20"/>
        </w:rPr>
        <w:t xml:space="preserve"> 6 weeks after reprogramming, visual cortical activities were measure</w:t>
      </w:r>
      <w:r w:rsidR="00CC26FF" w:rsidRPr="00521555">
        <w:rPr>
          <w:rFonts w:ascii="Arial" w:hAnsi="Arial" w:cs="Arial"/>
          <w:noProof/>
          <w:sz w:val="20"/>
          <w:szCs w:val="20"/>
        </w:rPr>
        <w:t>d</w:t>
      </w:r>
      <w:r w:rsidR="00DD0425" w:rsidRPr="00521555">
        <w:rPr>
          <w:rFonts w:ascii="Arial" w:hAnsi="Arial" w:cs="Arial"/>
          <w:noProof/>
          <w:sz w:val="20"/>
          <w:szCs w:val="20"/>
        </w:rPr>
        <w:t xml:space="preserve"> by extracellular recordings with optogenetic stimulation.</w:t>
      </w:r>
    </w:p>
    <w:p w14:paraId="593CC18E" w14:textId="77777777" w:rsidR="00542710" w:rsidRPr="00521555" w:rsidRDefault="00542710" w:rsidP="00542710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 xml:space="preserve">(B) </w:t>
      </w:r>
      <w:r w:rsidR="00DD0425" w:rsidRPr="00521555">
        <w:rPr>
          <w:rFonts w:ascii="Arial" w:hAnsi="Arial" w:cs="Arial"/>
          <w:noProof/>
          <w:sz w:val="20"/>
          <w:szCs w:val="20"/>
        </w:rPr>
        <w:t>Mean template waveforms of a representative unit during laser off and laser on</w:t>
      </w:r>
      <w:r w:rsidRPr="00521555">
        <w:rPr>
          <w:rFonts w:ascii="Arial" w:hAnsi="Arial" w:cs="Arial"/>
          <w:sz w:val="20"/>
          <w:szCs w:val="20"/>
        </w:rPr>
        <w:t>.</w:t>
      </w:r>
      <w:r w:rsidR="00DD0425" w:rsidRPr="00521555">
        <w:rPr>
          <w:rFonts w:ascii="Arial" w:hAnsi="Arial" w:cs="Arial"/>
          <w:sz w:val="20"/>
          <w:szCs w:val="20"/>
        </w:rPr>
        <w:t xml:space="preserve"> </w:t>
      </w:r>
    </w:p>
    <w:p w14:paraId="0ADA4FA9" w14:textId="77777777" w:rsidR="00542710" w:rsidRPr="00521555" w:rsidRDefault="00542710" w:rsidP="00542710">
      <w:pPr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t>(C)</w:t>
      </w:r>
      <w:r w:rsidR="00DD0425" w:rsidRPr="00521555">
        <w:rPr>
          <w:rFonts w:ascii="Arial" w:hAnsi="Arial" w:cs="Arial"/>
          <w:sz w:val="20"/>
          <w:szCs w:val="20"/>
        </w:rPr>
        <w:t xml:space="preserve"> Raster plot of the cell in (B) during optogenetic stimulation. The cyan shade indicates optogenetic stimulation.</w:t>
      </w:r>
    </w:p>
    <w:p w14:paraId="742ECF86" w14:textId="77777777" w:rsidR="00542710" w:rsidRPr="00521555" w:rsidRDefault="00542710" w:rsidP="00542710">
      <w:pPr>
        <w:jc w:val="both"/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sz w:val="20"/>
          <w:szCs w:val="20"/>
        </w:rPr>
        <w:t>(D)</w:t>
      </w:r>
      <w:r w:rsidR="00CA30BF" w:rsidRPr="00521555">
        <w:rPr>
          <w:rFonts w:ascii="Arial" w:hAnsi="Arial" w:cs="Arial"/>
          <w:noProof/>
          <w:sz w:val="20"/>
          <w:szCs w:val="20"/>
        </w:rPr>
        <w:t xml:space="preserve"> Firing rate z-scores of units in response to optogenetic stimulation. 22 units that have trial-median first spike latencies shorter than 15ms and mean firing rate z-scores within the optogenetic time window are defined as optotagged units.</w:t>
      </w:r>
    </w:p>
    <w:p w14:paraId="42DC2C4F" w14:textId="77777777" w:rsidR="00A34D61" w:rsidRPr="00521555" w:rsidRDefault="00CA30BF" w:rsidP="00542710">
      <w:pPr>
        <w:jc w:val="both"/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>(E) The distribution of first spike latencies of units in (D).</w:t>
      </w:r>
    </w:p>
    <w:p w14:paraId="139CAA71" w14:textId="77777777" w:rsidR="00A34D61" w:rsidRPr="00521555" w:rsidRDefault="00A34D61" w:rsidP="00542710">
      <w:pPr>
        <w:jc w:val="both"/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>(F) Average firing rate z-scores of optotagged units in response to visual stimulation. The shaded area represents visual stimulus time window.</w:t>
      </w:r>
    </w:p>
    <w:p w14:paraId="7C437F6C" w14:textId="77777777" w:rsidR="00CA30BF" w:rsidRPr="00521555" w:rsidRDefault="00A34D61" w:rsidP="00542710">
      <w:pPr>
        <w:jc w:val="both"/>
        <w:rPr>
          <w:rFonts w:ascii="Arial" w:hAnsi="Arial" w:cs="Arial"/>
          <w:noProof/>
          <w:sz w:val="20"/>
          <w:szCs w:val="20"/>
        </w:rPr>
      </w:pPr>
      <w:r w:rsidRPr="00521555">
        <w:rPr>
          <w:rFonts w:ascii="Arial" w:hAnsi="Arial" w:cs="Arial"/>
          <w:noProof/>
          <w:sz w:val="20"/>
          <w:szCs w:val="20"/>
        </w:rPr>
        <w:t xml:space="preserve">(G) Average firing rates of optotagged units in response to 6 orientation are normalized and fitted with a Gaussian function. </w:t>
      </w:r>
      <w:r w:rsidR="00721D8D" w:rsidRPr="00521555">
        <w:rPr>
          <w:rFonts w:ascii="Arial" w:hAnsi="Arial" w:cs="Arial"/>
          <w:sz w:val="20"/>
          <w:szCs w:val="20"/>
        </w:rPr>
        <w:t>The inset showing the coefficient of determination (R</w:t>
      </w:r>
      <w:r w:rsidR="00721D8D" w:rsidRPr="00521555">
        <w:rPr>
          <w:rFonts w:ascii="Arial" w:hAnsi="Arial" w:cs="Arial"/>
          <w:sz w:val="20"/>
          <w:szCs w:val="20"/>
          <w:vertAlign w:val="superscript"/>
        </w:rPr>
        <w:t>2</w:t>
      </w:r>
      <w:r w:rsidR="00721D8D" w:rsidRPr="00521555">
        <w:rPr>
          <w:rFonts w:ascii="Arial" w:hAnsi="Arial" w:cs="Arial"/>
          <w:sz w:val="20"/>
          <w:szCs w:val="20"/>
        </w:rPr>
        <w:t>) and sigma of fitted functions.</w:t>
      </w:r>
    </w:p>
    <w:p w14:paraId="447C5249" w14:textId="77777777" w:rsidR="0054695A" w:rsidRPr="00521555" w:rsidRDefault="00542710" w:rsidP="00542710">
      <w:pPr>
        <w:jc w:val="both"/>
        <w:rPr>
          <w:rFonts w:ascii="Arial" w:hAnsi="Arial" w:cs="Arial"/>
          <w:sz w:val="20"/>
          <w:szCs w:val="20"/>
        </w:rPr>
      </w:pPr>
      <w:r w:rsidRPr="00521555">
        <w:rPr>
          <w:rFonts w:ascii="Arial" w:hAnsi="Arial" w:cs="Arial"/>
          <w:bCs/>
          <w:sz w:val="20"/>
          <w:szCs w:val="20"/>
        </w:rPr>
        <w:t>Data are represented as mean ± SEM.</w:t>
      </w:r>
    </w:p>
    <w:p w14:paraId="706DA4B1" w14:textId="77777777" w:rsidR="00AF7E3B" w:rsidRPr="00521555" w:rsidRDefault="00AF7E3B" w:rsidP="00B60585">
      <w:pPr>
        <w:rPr>
          <w:rFonts w:ascii="Arial" w:hAnsi="Arial" w:cs="Arial"/>
          <w:sz w:val="20"/>
          <w:szCs w:val="20"/>
        </w:rPr>
      </w:pPr>
    </w:p>
    <w:sectPr w:rsidR="00AF7E3B" w:rsidRPr="00521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script"/>
    <w:pitch w:val="fixed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769E2"/>
    <w:multiLevelType w:val="hybridMultilevel"/>
    <w:tmpl w:val="1CF2C6BE"/>
    <w:lvl w:ilvl="0" w:tplc="1F8C926E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14C63"/>
    <w:multiLevelType w:val="hybridMultilevel"/>
    <w:tmpl w:val="A1AE17D0"/>
    <w:lvl w:ilvl="0" w:tplc="BB0A0B24">
      <w:start w:val="1"/>
      <w:numFmt w:val="upp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917B2"/>
    <w:multiLevelType w:val="hybridMultilevel"/>
    <w:tmpl w:val="7220914E"/>
    <w:lvl w:ilvl="0" w:tplc="A14A283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C5BBC"/>
    <w:multiLevelType w:val="hybridMultilevel"/>
    <w:tmpl w:val="307A45CC"/>
    <w:lvl w:ilvl="0" w:tplc="FE18AD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F30"/>
    <w:rsid w:val="00054CA2"/>
    <w:rsid w:val="00072F38"/>
    <w:rsid w:val="000A7AD2"/>
    <w:rsid w:val="000E0781"/>
    <w:rsid w:val="000E701C"/>
    <w:rsid w:val="0012271A"/>
    <w:rsid w:val="001563A6"/>
    <w:rsid w:val="0017619D"/>
    <w:rsid w:val="001865BC"/>
    <w:rsid w:val="0019674A"/>
    <w:rsid w:val="001D0F7B"/>
    <w:rsid w:val="001D12C5"/>
    <w:rsid w:val="00206AB0"/>
    <w:rsid w:val="0021671A"/>
    <w:rsid w:val="0023295A"/>
    <w:rsid w:val="002511CD"/>
    <w:rsid w:val="002642C2"/>
    <w:rsid w:val="002821B7"/>
    <w:rsid w:val="00287F16"/>
    <w:rsid w:val="002C4A2C"/>
    <w:rsid w:val="00361ABC"/>
    <w:rsid w:val="003A0F4D"/>
    <w:rsid w:val="003A4967"/>
    <w:rsid w:val="003B6D34"/>
    <w:rsid w:val="003C7BFA"/>
    <w:rsid w:val="0042563A"/>
    <w:rsid w:val="0044634C"/>
    <w:rsid w:val="00461C73"/>
    <w:rsid w:val="004A0195"/>
    <w:rsid w:val="004B2876"/>
    <w:rsid w:val="004B3FC2"/>
    <w:rsid w:val="004D378C"/>
    <w:rsid w:val="004E33B1"/>
    <w:rsid w:val="00521555"/>
    <w:rsid w:val="00542710"/>
    <w:rsid w:val="0054695A"/>
    <w:rsid w:val="00552668"/>
    <w:rsid w:val="00556815"/>
    <w:rsid w:val="005B770D"/>
    <w:rsid w:val="005C5AA9"/>
    <w:rsid w:val="005D3A57"/>
    <w:rsid w:val="005F7EC2"/>
    <w:rsid w:val="006155C7"/>
    <w:rsid w:val="00623D46"/>
    <w:rsid w:val="006304AD"/>
    <w:rsid w:val="00633AC8"/>
    <w:rsid w:val="00642A69"/>
    <w:rsid w:val="00690429"/>
    <w:rsid w:val="00692668"/>
    <w:rsid w:val="006A027C"/>
    <w:rsid w:val="006A0F76"/>
    <w:rsid w:val="006A4A0C"/>
    <w:rsid w:val="006B53FD"/>
    <w:rsid w:val="006F081E"/>
    <w:rsid w:val="00721D8D"/>
    <w:rsid w:val="00724438"/>
    <w:rsid w:val="00744189"/>
    <w:rsid w:val="00762C70"/>
    <w:rsid w:val="0077512B"/>
    <w:rsid w:val="00777EFB"/>
    <w:rsid w:val="007E608D"/>
    <w:rsid w:val="007F4B24"/>
    <w:rsid w:val="00884334"/>
    <w:rsid w:val="008D4AE9"/>
    <w:rsid w:val="008F496D"/>
    <w:rsid w:val="009154D0"/>
    <w:rsid w:val="00925DE2"/>
    <w:rsid w:val="009A2A6C"/>
    <w:rsid w:val="009C4F77"/>
    <w:rsid w:val="009E35D9"/>
    <w:rsid w:val="00A06B66"/>
    <w:rsid w:val="00A138EB"/>
    <w:rsid w:val="00A14C0D"/>
    <w:rsid w:val="00A15832"/>
    <w:rsid w:val="00A34D61"/>
    <w:rsid w:val="00A4097F"/>
    <w:rsid w:val="00A67BC2"/>
    <w:rsid w:val="00AA0EE8"/>
    <w:rsid w:val="00AB6DF7"/>
    <w:rsid w:val="00AD1D8D"/>
    <w:rsid w:val="00AE3188"/>
    <w:rsid w:val="00AF1FBF"/>
    <w:rsid w:val="00AF7E3B"/>
    <w:rsid w:val="00B02D39"/>
    <w:rsid w:val="00B0579D"/>
    <w:rsid w:val="00B321B5"/>
    <w:rsid w:val="00B33D39"/>
    <w:rsid w:val="00B5341A"/>
    <w:rsid w:val="00B556FB"/>
    <w:rsid w:val="00B60585"/>
    <w:rsid w:val="00BF1309"/>
    <w:rsid w:val="00C55A42"/>
    <w:rsid w:val="00C673EB"/>
    <w:rsid w:val="00C67A9F"/>
    <w:rsid w:val="00C71F98"/>
    <w:rsid w:val="00C9465F"/>
    <w:rsid w:val="00C9690D"/>
    <w:rsid w:val="00CA30BF"/>
    <w:rsid w:val="00CC26FF"/>
    <w:rsid w:val="00CE09A2"/>
    <w:rsid w:val="00D2140A"/>
    <w:rsid w:val="00D64F63"/>
    <w:rsid w:val="00D760A3"/>
    <w:rsid w:val="00DD0425"/>
    <w:rsid w:val="00DE0F30"/>
    <w:rsid w:val="00E10CB7"/>
    <w:rsid w:val="00E32658"/>
    <w:rsid w:val="00E40667"/>
    <w:rsid w:val="00E52BD1"/>
    <w:rsid w:val="00E642F8"/>
    <w:rsid w:val="00EB3AE8"/>
    <w:rsid w:val="00ED244E"/>
    <w:rsid w:val="00EE2894"/>
    <w:rsid w:val="00EF3237"/>
    <w:rsid w:val="00F2223A"/>
    <w:rsid w:val="00F367A0"/>
    <w:rsid w:val="00F52193"/>
    <w:rsid w:val="00F71751"/>
    <w:rsid w:val="00F76E9A"/>
    <w:rsid w:val="00FB1D54"/>
    <w:rsid w:val="00FB34DD"/>
    <w:rsid w:val="00FB751B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6237"/>
  <w15:chartTrackingRefBased/>
  <w15:docId w15:val="{E40511FF-2D0D-4B5F-B033-E23EB2E2F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4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1B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4A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30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04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04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0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4A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36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Tang</dc:creator>
  <cp:keywords/>
  <dc:description/>
  <cp:lastModifiedBy>Nadia Olesen</cp:lastModifiedBy>
  <cp:revision>3</cp:revision>
  <dcterms:created xsi:type="dcterms:W3CDTF">2021-08-03T21:02:00Z</dcterms:created>
  <dcterms:modified xsi:type="dcterms:W3CDTF">2021-08-06T11:35:00Z</dcterms:modified>
</cp:coreProperties>
</file>