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3D9ADDF" w:rsidR="00654E8F" w:rsidRDefault="00654E8F" w:rsidP="0001436A">
      <w:pPr>
        <w:pStyle w:val="SupplementaryMaterial"/>
      </w:pPr>
      <w:r w:rsidRPr="001549D3">
        <w:t>Supplementary Material</w:t>
      </w:r>
    </w:p>
    <w:p w14:paraId="00F02BDE" w14:textId="77777777" w:rsidR="00BC6A97" w:rsidRPr="00BC6A97" w:rsidRDefault="00BC6A97" w:rsidP="00BC6A97">
      <w:pPr>
        <w:pStyle w:val="Titel"/>
      </w:pPr>
    </w:p>
    <w:p w14:paraId="7914530A" w14:textId="6C9DAD7B" w:rsidR="00F76CFD" w:rsidRDefault="00654E8F" w:rsidP="00F76CFD">
      <w:pPr>
        <w:pStyle w:val="berschrift1"/>
      </w:pPr>
      <w:r w:rsidRPr="00994A3D">
        <w:t xml:space="preserve">Supplementary </w:t>
      </w:r>
      <w:r w:rsidR="00136230">
        <w:t>Figures</w:t>
      </w:r>
      <w:r w:rsidR="00F76CFD">
        <w:t xml:space="preserve"> to Biskaborn et al.</w:t>
      </w:r>
    </w:p>
    <w:p w14:paraId="78153DEB" w14:textId="61F5527C" w:rsidR="007D3FC6" w:rsidRDefault="007D3FC6" w:rsidP="007D3FC6"/>
    <w:p w14:paraId="3F84D6EE" w14:textId="2E2E57F9" w:rsidR="007D3FC6" w:rsidRDefault="007D3FC6" w:rsidP="007D3FC6">
      <w:r>
        <w:rPr>
          <w:noProof/>
        </w:rPr>
        <w:drawing>
          <wp:inline distT="0" distB="0" distL="0" distR="0" wp14:anchorId="25700497" wp14:editId="556CCC4D">
            <wp:extent cx="5760720" cy="3843020"/>
            <wp:effectExtent l="0" t="0" r="508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4305" w14:textId="6B372887" w:rsidR="007D3FC6" w:rsidRDefault="007D3FC6" w:rsidP="007D3FC6">
      <w:pPr>
        <w:spacing w:line="276" w:lineRule="auto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B7205">
        <w:t xml:space="preserve">Biplot of the first two dimensions (Dim1, Dim2) generated by multi-dimensional scaling (MDS) analysis of </w:t>
      </w:r>
      <w:r>
        <w:t>multiple proxy data involved in the manuscript</w:t>
      </w:r>
      <w:r w:rsidRPr="00BB7205">
        <w:t xml:space="preserve">. </w:t>
      </w:r>
      <w:r>
        <w:t xml:space="preserve">Samples between proxies were brought to comparable stratigraphical levels by </w:t>
      </w:r>
      <w:r w:rsidR="00AD6705">
        <w:t xml:space="preserve">interpolation and </w:t>
      </w:r>
      <w:r>
        <w:t>resampling according to their ages. We used the same data matrix used for lead-lag correlations</w:t>
      </w:r>
      <w:r w:rsidR="00AD6705">
        <w:t xml:space="preserve"> described</w:t>
      </w:r>
      <w:r>
        <w:t xml:space="preserve"> in the manuscript. MDS is based on Euclidean distance, data were standardized, </w:t>
      </w:r>
      <w:proofErr w:type="gramStart"/>
      <w:r>
        <w:t>i.e.</w:t>
      </w:r>
      <w:proofErr w:type="gramEnd"/>
      <w:r>
        <w:t xml:space="preserve"> brought to comparable value ranges using the standardization method ‘range’ </w:t>
      </w:r>
      <w:r w:rsidR="00AD6705">
        <w:t>in R (function ‘</w:t>
      </w:r>
      <w:proofErr w:type="spellStart"/>
      <w:r>
        <w:t>decostand</w:t>
      </w:r>
      <w:proofErr w:type="spellEnd"/>
      <w:r>
        <w:t>’</w:t>
      </w:r>
      <w:r w:rsidR="00AD6705">
        <w:t>, package ‘vegan’, please see manuscript)</w:t>
      </w:r>
      <w:r>
        <w:t xml:space="preserve">. </w:t>
      </w:r>
      <w:r w:rsidRPr="00BB7205">
        <w:t>Explained variance of each dimension is given at the axis label.</w:t>
      </w:r>
      <w:r>
        <w:t xml:space="preserve"> Dim1 explains almost half of the entire data variance, suggesting relationships on the right side: diatom diversity (Hill numbers), organic matter (TOC, TN), redox-related elements (</w:t>
      </w:r>
      <w:proofErr w:type="gramStart"/>
      <w:r>
        <w:t>e.g.</w:t>
      </w:r>
      <w:proofErr w:type="gramEnd"/>
      <w:r>
        <w:t xml:space="preserve"> Fe, Mn), paleotemperature and light </w:t>
      </w:r>
      <w:r w:rsidRPr="00CB4E49">
        <w:rPr>
          <w:i/>
          <w:iCs/>
        </w:rPr>
        <w:t>Cyclotella</w:t>
      </w:r>
      <w:r>
        <w:t xml:space="preserve"> species – and on the left side of the biplot: detrital elements (</w:t>
      </w:r>
      <w:proofErr w:type="spellStart"/>
      <w:r>
        <w:t>Ti</w:t>
      </w:r>
      <w:proofErr w:type="spellEnd"/>
      <w:r>
        <w:t xml:space="preserve">, K, Al, Si) and </w:t>
      </w:r>
      <w:proofErr w:type="spellStart"/>
      <w:r w:rsidRPr="00CB4E49">
        <w:rPr>
          <w:i/>
          <w:iCs/>
        </w:rPr>
        <w:t>Aulacoseira</w:t>
      </w:r>
      <w:proofErr w:type="spellEnd"/>
      <w:r>
        <w:t xml:space="preserve"> species.</w:t>
      </w:r>
    </w:p>
    <w:p w14:paraId="4C64F1BC" w14:textId="579A9648" w:rsidR="00D26CA1" w:rsidRDefault="00D26CA1" w:rsidP="007D3FC6">
      <w:pPr>
        <w:spacing w:line="276" w:lineRule="auto"/>
        <w:jc w:val="both"/>
      </w:pPr>
    </w:p>
    <w:p w14:paraId="09C93125" w14:textId="5C402450" w:rsidR="00FD47DD" w:rsidRDefault="00FD47DD" w:rsidP="007D3FC6">
      <w:pPr>
        <w:spacing w:line="276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23BE0880" wp14:editId="6F8C0A34">
            <wp:extent cx="6208395" cy="61163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31F4" w14:textId="37FD68A4" w:rsidR="00D26CA1" w:rsidRDefault="00D26CA1" w:rsidP="007D3FC6">
      <w:pPr>
        <w:spacing w:line="276" w:lineRule="auto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D47DD">
        <w:t>Pearson c</w:t>
      </w:r>
      <w:r w:rsidR="00FD47DD" w:rsidRPr="00FD47DD">
        <w:t xml:space="preserve">orrelation matrix of </w:t>
      </w:r>
      <w:r w:rsidR="00FD47DD">
        <w:t xml:space="preserve">selected proxy data </w:t>
      </w:r>
      <w:r w:rsidR="00567A42">
        <w:t>involved</w:t>
      </w:r>
      <w:r w:rsidR="00FD47DD">
        <w:t xml:space="preserve"> in the manuscript</w:t>
      </w:r>
      <w:r w:rsidR="00567A42">
        <w:t xml:space="preserve"> using </w:t>
      </w:r>
      <w:r w:rsidR="00567A42" w:rsidRPr="00567A42">
        <w:t xml:space="preserve">the </w:t>
      </w:r>
      <w:r w:rsidR="00567A42">
        <w:t>function ‘</w:t>
      </w:r>
      <w:proofErr w:type="spellStart"/>
      <w:r w:rsidR="00567A42" w:rsidRPr="00567A42">
        <w:t>corrplot</w:t>
      </w:r>
      <w:proofErr w:type="spellEnd"/>
      <w:r w:rsidR="00567A42">
        <w:t>’ in R</w:t>
      </w:r>
      <w:r w:rsidR="00567A42" w:rsidRPr="00567A42">
        <w:t xml:space="preserve">. </w:t>
      </w:r>
      <w:r w:rsidR="00FD47DD" w:rsidRPr="00FD47DD">
        <w:t>Positive correlations indicated in red, negative correlations indicated in blue.</w:t>
      </w:r>
    </w:p>
    <w:p w14:paraId="1B6A5177" w14:textId="77777777" w:rsidR="007D3FC6" w:rsidRPr="007D3FC6" w:rsidRDefault="007D3FC6" w:rsidP="007D3FC6"/>
    <w:p w14:paraId="1BC2AC3C" w14:textId="77777777" w:rsidR="00F76CFD" w:rsidRPr="005835F8" w:rsidRDefault="00F76CFD" w:rsidP="00F76CFD">
      <w:pPr>
        <w:jc w:val="center"/>
      </w:pPr>
      <w:r>
        <w:rPr>
          <w:noProof/>
        </w:rPr>
        <w:lastRenderedPageBreak/>
        <w:drawing>
          <wp:inline distT="0" distB="0" distL="0" distR="0" wp14:anchorId="7414F649" wp14:editId="6BAA724E">
            <wp:extent cx="4008474" cy="4008474"/>
            <wp:effectExtent l="0" t="0" r="508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44" cy="40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30E6" w14:textId="5F74A56B" w:rsidR="00F76CFD" w:rsidRDefault="00F76CFD" w:rsidP="00F76CFD">
      <w:pPr>
        <w:spacing w:line="276" w:lineRule="auto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245837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Correlation between diatom Hill’s N2 and TOC. Y</w:t>
      </w:r>
      <w:r w:rsidRPr="00EA6CD2">
        <w:t>-</w:t>
      </w:r>
      <w:r>
        <w:t>axis</w:t>
      </w:r>
      <w:r w:rsidRPr="00EA6CD2">
        <w:t xml:space="preserve"> shows the correlation coefficient of the cross correlation</w:t>
      </w:r>
      <w:r>
        <w:t xml:space="preserve"> (ACF = auto correlation function). </w:t>
      </w:r>
      <w:r w:rsidRPr="00EA6CD2">
        <w:t>The dashed blue line indicates the 95% confidence interval of the autocorrelation of the moving parameter. All cross correlations outside this limit are to be distinguished significantly from the noise of the autocorrelation of the parameter.</w:t>
      </w:r>
    </w:p>
    <w:p w14:paraId="5970A645" w14:textId="77777777" w:rsidR="00F76CFD" w:rsidRDefault="00F76CFD" w:rsidP="00F76CFD">
      <w:pPr>
        <w:spacing w:line="276" w:lineRule="auto"/>
        <w:jc w:val="both"/>
      </w:pPr>
    </w:p>
    <w:p w14:paraId="51A7802E" w14:textId="77777777" w:rsidR="00F76CFD" w:rsidRDefault="00F76CFD" w:rsidP="00F76CFD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48E8EFF" wp14:editId="182B7100">
            <wp:extent cx="4263656" cy="4263656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38" cy="42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F978" w14:textId="6D645313" w:rsidR="00F76CFD" w:rsidRDefault="00F76CFD" w:rsidP="00F76CFD">
      <w:pPr>
        <w:spacing w:line="276" w:lineRule="auto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245837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Correlation between diatom Hill’s N2 and T July (pollen). Y</w:t>
      </w:r>
      <w:r w:rsidRPr="00EA6CD2">
        <w:t>-</w:t>
      </w:r>
      <w:r>
        <w:t>axis</w:t>
      </w:r>
      <w:r w:rsidRPr="00EA6CD2">
        <w:t xml:space="preserve"> shows the correlation coefficient of the cross correlation</w:t>
      </w:r>
      <w:r>
        <w:t xml:space="preserve"> (ACF = auto correlation function). </w:t>
      </w:r>
      <w:r w:rsidRPr="00EA6CD2">
        <w:t>The dashed blue line indicates the 95% confidence interval of the autocorrelation of the moving parameter. All cross correlations outside this limit are to be distinguished significantly from the noise of the autocorrelation of the parameter.</w:t>
      </w:r>
    </w:p>
    <w:p w14:paraId="39524603" w14:textId="77777777" w:rsidR="00F76CFD" w:rsidRDefault="00F76CFD" w:rsidP="00F76CFD">
      <w:pPr>
        <w:spacing w:line="276" w:lineRule="auto"/>
        <w:jc w:val="both"/>
      </w:pPr>
    </w:p>
    <w:p w14:paraId="2454BDA1" w14:textId="77777777" w:rsidR="00F76CFD" w:rsidRPr="005835F8" w:rsidRDefault="00F76CFD" w:rsidP="00F76CFD"/>
    <w:p w14:paraId="61FB897A" w14:textId="77777777" w:rsidR="00F76CFD" w:rsidRPr="005835F8" w:rsidRDefault="00F76CFD" w:rsidP="00F76CFD">
      <w:pPr>
        <w:jc w:val="center"/>
      </w:pPr>
      <w:r>
        <w:rPr>
          <w:noProof/>
        </w:rPr>
        <w:lastRenderedPageBreak/>
        <w:drawing>
          <wp:inline distT="0" distB="0" distL="0" distR="0" wp14:anchorId="726E2EEB" wp14:editId="5579F960">
            <wp:extent cx="4508205" cy="4508205"/>
            <wp:effectExtent l="0" t="0" r="63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036" cy="45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2A3D72C4" w:rsidR="00DE23E8" w:rsidRDefault="00F76CFD" w:rsidP="00F76CFD">
      <w:pPr>
        <w:spacing w:line="276" w:lineRule="auto"/>
        <w:jc w:val="both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245837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Correlation between diatom Hill’s N2 and clay. Y</w:t>
      </w:r>
      <w:r w:rsidRPr="00EA6CD2">
        <w:t>-</w:t>
      </w:r>
      <w:r>
        <w:t>axis</w:t>
      </w:r>
      <w:r w:rsidRPr="00EA6CD2">
        <w:t xml:space="preserve"> shows the correlation coefficient of the cross correlation</w:t>
      </w:r>
      <w:r>
        <w:t xml:space="preserve"> (ACF = auto correlation function). </w:t>
      </w:r>
      <w:r w:rsidRPr="00EA6CD2">
        <w:t>The dashed blue line indicates the 95% confidence interval of the autocorrelation of the moving parameter. All cross correlations outside this limit are to be distinguished significantly from the noise of the autocorrelation of the parameter.</w:t>
      </w:r>
    </w:p>
    <w:p w14:paraId="3C4CC5F1" w14:textId="685282C5" w:rsidR="00E43B3A" w:rsidRDefault="00E43B3A" w:rsidP="00F76CFD">
      <w:pPr>
        <w:spacing w:line="276" w:lineRule="auto"/>
        <w:jc w:val="both"/>
      </w:pPr>
    </w:p>
    <w:p w14:paraId="154E7198" w14:textId="1BC3121B" w:rsidR="00E43B3A" w:rsidRDefault="00E43B3A" w:rsidP="00E43B3A">
      <w:pPr>
        <w:pStyle w:val="berschrift1"/>
      </w:pPr>
      <w:r w:rsidRPr="00994A3D">
        <w:t xml:space="preserve">Supplementary </w:t>
      </w:r>
      <w:r>
        <w:t>Data to Biskaborn et al.</w:t>
      </w:r>
    </w:p>
    <w:p w14:paraId="259A5A25" w14:textId="01E0EE53" w:rsidR="00E43B3A" w:rsidRPr="00E43B3A" w:rsidRDefault="00E43B3A" w:rsidP="00E43B3A">
      <w:pPr>
        <w:ind w:left="567"/>
      </w:pPr>
      <w:r>
        <w:t>Supplementary data is submitted separately to the Journal as Excel file.</w:t>
      </w:r>
    </w:p>
    <w:p w14:paraId="406F9FB3" w14:textId="77777777" w:rsidR="00E43B3A" w:rsidRPr="001549D3" w:rsidRDefault="00E43B3A" w:rsidP="00F76CFD">
      <w:pPr>
        <w:spacing w:line="276" w:lineRule="auto"/>
        <w:jc w:val="both"/>
      </w:pPr>
    </w:p>
    <w:sectPr w:rsidR="00E43B3A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F0392" w14:textId="77777777" w:rsidR="00654B51" w:rsidRDefault="00654B51" w:rsidP="00117666">
      <w:pPr>
        <w:spacing w:after="0"/>
      </w:pPr>
      <w:r>
        <w:separator/>
      </w:r>
    </w:p>
  </w:endnote>
  <w:endnote w:type="continuationSeparator" w:id="0">
    <w:p w14:paraId="784C84F3" w14:textId="77777777" w:rsidR="00654B51" w:rsidRDefault="00654B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6406E" w14:textId="77777777" w:rsidR="00654B51" w:rsidRDefault="00654B51" w:rsidP="00117666">
      <w:pPr>
        <w:spacing w:after="0"/>
      </w:pPr>
      <w:r>
        <w:separator/>
      </w:r>
    </w:p>
  </w:footnote>
  <w:footnote w:type="continuationSeparator" w:id="0">
    <w:p w14:paraId="34487213" w14:textId="77777777" w:rsidR="00654B51" w:rsidRDefault="00654B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6230"/>
    <w:rsid w:val="001549D3"/>
    <w:rsid w:val="00160065"/>
    <w:rsid w:val="00177D84"/>
    <w:rsid w:val="00245837"/>
    <w:rsid w:val="0026577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7A42"/>
    <w:rsid w:val="00593EEA"/>
    <w:rsid w:val="005A5EEE"/>
    <w:rsid w:val="006375C7"/>
    <w:rsid w:val="00654B51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3FC6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265E"/>
    <w:rsid w:val="00A174D9"/>
    <w:rsid w:val="00AA4D24"/>
    <w:rsid w:val="00AB6715"/>
    <w:rsid w:val="00AD6705"/>
    <w:rsid w:val="00B1671E"/>
    <w:rsid w:val="00B25EB8"/>
    <w:rsid w:val="00B37F4D"/>
    <w:rsid w:val="00BC6A97"/>
    <w:rsid w:val="00C52A7B"/>
    <w:rsid w:val="00C56BAF"/>
    <w:rsid w:val="00C679AA"/>
    <w:rsid w:val="00C75972"/>
    <w:rsid w:val="00CD066B"/>
    <w:rsid w:val="00CE4FEE"/>
    <w:rsid w:val="00D060CF"/>
    <w:rsid w:val="00D26CA1"/>
    <w:rsid w:val="00DB59C3"/>
    <w:rsid w:val="00DC259A"/>
    <w:rsid w:val="00DE23E8"/>
    <w:rsid w:val="00E43B3A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6CFD"/>
    <w:rsid w:val="00FD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370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Boris K. Biskaborn</cp:lastModifiedBy>
  <cp:revision>12</cp:revision>
  <cp:lastPrinted>2013-10-03T12:51:00Z</cp:lastPrinted>
  <dcterms:created xsi:type="dcterms:W3CDTF">2021-07-06T12:49:00Z</dcterms:created>
  <dcterms:modified xsi:type="dcterms:W3CDTF">2021-07-27T08:18:00Z</dcterms:modified>
</cp:coreProperties>
</file>