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pStyle w:val="2"/>
      </w:pPr>
      <w:r>
        <w:t>Supplementary Figures and Tables</w:t>
      </w:r>
    </w:p>
    <w:p>
      <w:pPr>
        <w:pStyle w:val="4"/>
      </w:pPr>
      <w:r>
        <w:t>Supplementary Figures</w:t>
      </w:r>
    </w:p>
    <w:p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drawing>
          <wp:inline distT="0" distB="0" distL="114300" distR="114300">
            <wp:extent cx="6163945" cy="1441450"/>
            <wp:effectExtent l="0" t="0" r="8255" b="6350"/>
            <wp:docPr id="2" name="图片 2" descr="supplement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 Fig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SEQ Figure \* ARABIC </w:instrText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hint="eastAsia" w:cs="Times New Roman"/>
          <w:szCs w:val="24"/>
        </w:rPr>
        <w:t xml:space="preserve">Survival curves of lymphoma patients associated with early post-therapy PET-CT metabolic parameters. </w:t>
      </w:r>
      <w:r>
        <w:rPr>
          <w:rFonts w:hint="default" w:ascii="Times New Roman Bold" w:hAnsi="Times New Roman Bold" w:cs="Times New Roman Bold"/>
          <w:b/>
          <w:bCs/>
          <w:szCs w:val="24"/>
        </w:rPr>
        <w:t xml:space="preserve">a. </w:t>
      </w:r>
      <w:r>
        <w:rPr>
          <w:rFonts w:hint="eastAsia" w:cs="Times New Roman"/>
          <w:szCs w:val="24"/>
        </w:rPr>
        <w:t xml:space="preserve">The 1-year OS rate of the early post-therapy MTV＜0.55 (64.8%) group was higher than the early post-therapy MTV≥0.55 group (22.7%) (P=0.042). </w:t>
      </w:r>
      <w:r>
        <w:rPr>
          <w:rFonts w:hint="default" w:ascii="Times New Roman Bold" w:hAnsi="Times New Roman Bold" w:cs="Times New Roman Bold"/>
          <w:b/>
          <w:bCs/>
          <w:szCs w:val="24"/>
        </w:rPr>
        <w:t>b.</w:t>
      </w:r>
      <w:r>
        <w:rPr>
          <w:rFonts w:hint="eastAsia" w:cs="Times New Roman"/>
          <w:szCs w:val="24"/>
        </w:rPr>
        <w:t xml:space="preserve"> The 1-year OS rate of the early post-therapy TLG＜1.54 (67.2%) group was higher than the early post-therapy TLG≥1.54 group (22.7%) (P=0.028). </w:t>
      </w:r>
      <w:r>
        <w:rPr>
          <w:rFonts w:hint="default" w:ascii="Times New Roman Bold" w:hAnsi="Times New Roman Bold" w:cs="Times New Roman Bold"/>
          <w:b/>
          <w:bCs/>
          <w:szCs w:val="24"/>
        </w:rPr>
        <w:t>c.</w:t>
      </w:r>
      <w:r>
        <w:rPr>
          <w:rFonts w:hint="eastAsia" w:cs="Times New Roman"/>
          <w:szCs w:val="24"/>
        </w:rPr>
        <w:t xml:space="preserve"> The 1-year PFS rate of the early post-therapy MTV＜0.55 group (53.6%) was higher than the early post-therapy MTV≥0.55 group (0.0%) (P=0.001). </w:t>
      </w:r>
      <w:r>
        <w:rPr>
          <w:rFonts w:hint="default" w:ascii="Times New Roman Bold" w:hAnsi="Times New Roman Bold" w:cs="Times New Roman Bold"/>
          <w:b/>
          <w:bCs/>
          <w:szCs w:val="24"/>
        </w:rPr>
        <w:t xml:space="preserve">d. </w:t>
      </w:r>
      <w:r>
        <w:rPr>
          <w:rFonts w:hint="eastAsia" w:cs="Times New Roman"/>
          <w:szCs w:val="24"/>
        </w:rPr>
        <w:t>The 1-year PFS rate of the early post-therapy TLG＜1.54 group (53.6%) was higher than the early post-therapy TLG≥1.54 group (0.0%) (P=0.001).</w:t>
      </w: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spacing w:before="240"/>
      </w:pPr>
    </w:p>
    <w:p>
      <w:pPr>
        <w:jc w:val="center"/>
        <w:rPr>
          <w:rStyle w:val="56"/>
          <w:rFonts w:ascii="Times New Roman" w:hAnsi="Times New Roman" w:eastAsia="宋体"/>
          <w:b/>
          <w:bCs/>
          <w:sz w:val="20"/>
          <w:szCs w:val="20"/>
        </w:rPr>
      </w:pPr>
      <w:r>
        <w:rPr>
          <w:rStyle w:val="56"/>
          <w:rFonts w:ascii="Times New Roman" w:hAnsi="Times New Roman" w:eastAsia="Toppan Bunkyu Gothic"/>
          <w:b/>
          <w:bCs/>
          <w:sz w:val="20"/>
          <w:szCs w:val="20"/>
        </w:rPr>
        <w:t xml:space="preserve">Supplement Table 1. </w:t>
      </w:r>
      <w:r>
        <w:rPr>
          <w:rStyle w:val="56"/>
          <w:rFonts w:ascii="Times New Roman" w:hAnsi="Times New Roman" w:eastAsia="宋体"/>
          <w:b/>
          <w:bCs/>
          <w:sz w:val="20"/>
          <w:szCs w:val="20"/>
        </w:rPr>
        <w:t>Univariate analyses for factors impacting CRS, PFS and OS</w:t>
      </w:r>
    </w:p>
    <w:tbl>
      <w:tblPr>
        <w:tblStyle w:val="54"/>
        <w:tblW w:w="8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802"/>
        <w:gridCol w:w="2639"/>
        <w:gridCol w:w="895"/>
      </w:tblGrid>
      <w:tr>
        <w:trPr>
          <w:trHeight w:val="252" w:hRule="atLeast"/>
          <w:jc w:val="center"/>
        </w:trPr>
        <w:tc>
          <w:tcPr>
            <w:tcW w:w="2659" w:type="dxa"/>
            <w:tcBorders>
              <w:top w:val="single" w:color="auto" w:sz="4" w:space="0"/>
              <w:bottom w:val="single" w:color="auto" w:sz="4" w:space="0"/>
              <w:insideV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Factors</w:t>
            </w:r>
          </w:p>
        </w:tc>
        <w:tc>
          <w:tcPr>
            <w:tcW w:w="2802" w:type="dxa"/>
            <w:tcBorders>
              <w:top w:val="single" w:color="auto" w:sz="4" w:space="0"/>
              <w:bottom w:val="single" w:color="auto" w:sz="4" w:space="0"/>
              <w:insideV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tcBorders>
              <w:top w:val="single" w:color="auto" w:sz="4" w:space="0"/>
              <w:bottom w:val="single" w:color="auto" w:sz="4" w:space="0"/>
              <w:insideV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  <w:lang w:eastAsia="zh-CN"/>
              </w:rPr>
              <w:t>Hazard</w:t>
            </w: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  <w:lang w:val="en-US" w:eastAsia="zh-CN"/>
              </w:rPr>
              <w:t xml:space="preserve"> ratio (95% CI)</w:t>
            </w:r>
          </w:p>
        </w:tc>
        <w:tc>
          <w:tcPr>
            <w:tcW w:w="895" w:type="dxa"/>
            <w:tcBorders>
              <w:top w:val="single" w:color="auto" w:sz="4" w:space="0"/>
              <w:bottom w:val="single" w:color="auto" w:sz="4" w:space="0"/>
              <w:insideV w:val="nil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P-value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3" w:hRule="atLeast"/>
          <w:jc w:val="center"/>
        </w:trPr>
        <w:tc>
          <w:tcPr>
            <w:tcW w:w="2659" w:type="dxa"/>
            <w:tcBorders>
              <w:top w:val="single" w:color="auto" w:sz="4" w:space="0"/>
            </w:tcBorders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 Bold Italic" w:hAnsi="Times New Roman Bold Italic" w:eastAsia="宋体" w:cs="Times New Roman Bold Italic"/>
                <w:b/>
                <w:bCs/>
                <w:i/>
                <w:iCs/>
                <w:sz w:val="15"/>
                <w:szCs w:val="15"/>
              </w:rPr>
              <w:t>CRS</w:t>
            </w:r>
          </w:p>
        </w:tc>
        <w:tc>
          <w:tcPr>
            <w:tcW w:w="2802" w:type="dxa"/>
            <w:tcBorders>
              <w:top w:val="single" w:color="auto" w:sz="4" w:space="0"/>
            </w:tcBorders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tcBorders>
              <w:top w:val="single" w:color="auto" w:sz="4" w:space="0"/>
            </w:tcBorders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</w:t>
            </w:r>
          </w:p>
        </w:tc>
        <w:tc>
          <w:tcPr>
            <w:tcW w:w="895" w:type="dxa"/>
            <w:tcBorders>
              <w:top w:val="single" w:color="auto" w:sz="4" w:space="0"/>
            </w:tcBorders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Gender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1.500 (0.264, 8.523)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Age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0.978 (0.916, 1.044)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No.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o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prior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therapy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0.718 (0.497, 1.038)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No.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o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prior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relapse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0.121 (0.014, 1.028)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No.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o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extralymphadenopathy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1.524 (0.910, 2.555)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LDH before lymphodepletion (U/L)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1.001 (0.995, 1.006)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β2-MG before lymphodepletion (ug/L)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0.999 (0.997, 1.000)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Ann Abor staging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Stage II vs. Stage III. Stage IV</w:t>
            </w: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0.960 (0.223, 4.134)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IPI scores 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3.607 (0.958, 13.589)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CAR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T-cell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dose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(×106/kg)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1.342 (0.932, 1.932)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Baseline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MTV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(cm3)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1.001 (0.999, 1.003)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 xml:space="preserve">Baseline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TLG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1.000 (1.000, 1.000)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 xml:space="preserve">Baseline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SUV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1.481 (1.030, 2.030)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 Bold Italic" w:hAnsi="Times New Roman Bold Italic" w:eastAsia="宋体" w:cs="Times New Roman Bold Italic"/>
                <w:b/>
                <w:bCs/>
                <w:i/>
                <w:iCs/>
                <w:sz w:val="15"/>
                <w:szCs w:val="15"/>
              </w:rPr>
              <w:t>Progression free survival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Gender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0.950 (0.407, 2.215)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Age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0.977 (0.944, 1.012)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No.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o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prior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therapy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.932 (0.830, 1.047)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Refractory type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Primary refractory vs. Refractory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to second line or relapse after Auto-HSCT</w:t>
            </w: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0.735 (0.286, 1.888)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Auto-HSCT before CAR-T cell therapy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.576 (0.613, 4.054)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No.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o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prior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relapse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.634 (0.318, 1.264)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No.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o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extralymphadenopathy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1.602 (1.212, 2.118)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LDH before lymphodepletion (U/L)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1.002 (0.999, 1.004)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β2-MG before lymphodepletion (ug/L)    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1.000 (0.999, 1.000)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Ann Abor staging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Stage II vs. Stage III. Stage IV</w:t>
            </w: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3.251 (1.235, 8.554)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IPI scores 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1.429 (0.943, 2.167)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CAR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T-cell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dose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(×106/kg)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1.019 (0.858, 1.210)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Treatment response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CR vs. PR+NR</w:t>
            </w: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0.426 (0.183, 0.993)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Grade of CRS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.140 (0.697, 1.865)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Baseline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MTV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(cm3)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1.000 (0.999, 1.002)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Baseline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TLG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1.000 (1.000, 1.000)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Baseline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SUV 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0.947 (0.784, 1.143)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Early MTV after CAR-T cell therapy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1.001 (1.000, 1.002)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Early TLG after CAR-T cell therapy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1.000 (1.000, 1.000)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Early SUV after CAR-T cell therapy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1.324 (1.061, 1.652)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 Bold Italic" w:hAnsi="Times New Roman Bold Italic" w:eastAsia="宋体" w:cs="Times New Roman Bold Italic"/>
                <w:b/>
                <w:bCs/>
                <w:i/>
                <w:iCs/>
                <w:sz w:val="15"/>
                <w:szCs w:val="15"/>
              </w:rPr>
              <w:t>Overall survival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Gender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.395 (0.122-1.280)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Age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.979 (0.940, 1.020)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No. of prior therapy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0.854 (0.724-1.009)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Refractory type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Primary refractory vs. Refractory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to second line or relapse after Auto-HSCT</w:t>
            </w: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.507 (0.169, 1.518)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Auto-HSCT before CAR-T cell therapy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1.098 (0.305, 3.952)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No. of prior relapse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0.396 (0.155, 1.009)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No.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o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extralymphadenopathy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1.934 (1.298, 2.908)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LDH before lymphodepletion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 (U/L)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1.002 (0.999, 1.004)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β2-MG before lymphodepletion (ug/L)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1.000 (0.999, 1.001)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Ann Abor staging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Stage II vs. Stage III. Stage IV</w:t>
            </w: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3.231 (0.901, 11.584)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 xml:space="preserve">Risk stratification 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Low- vs.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ntermediate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- vs. High-risk</w:t>
            </w: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2.912 (1.157, 7.330)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CAR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T-cell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dose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  <w:t>(×106/kg)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1.154 (0.923, 1.443)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Treatment response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CR vs. PR+NR</w:t>
            </w: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0.239 (0.074, 0.767)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Grade of CRS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2.496 (1.209, 5.152)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Baseline MTV (cm3)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1.000 (0.998, 1.002)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 xml:space="preserve">Baseline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TLG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.000 (1.000, 1.000)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 xml:space="preserve">Baseline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SUV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.069 (0.863, 1.324)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.541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Early MTV after CAR-T cell therapy</w:t>
            </w:r>
          </w:p>
        </w:tc>
        <w:tc>
          <w:tcPr>
            <w:tcW w:w="2802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1.000 (1.000, 1.001)</w:t>
            </w:r>
          </w:p>
        </w:tc>
        <w:tc>
          <w:tcPr>
            <w:tcW w:w="895" w:type="dxa"/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Early TLG after CAR-T cell therapy</w:t>
            </w:r>
          </w:p>
        </w:tc>
        <w:tc>
          <w:tcPr>
            <w:tcW w:w="2802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1.000 (1.000, 1.000)</w:t>
            </w:r>
          </w:p>
        </w:tc>
        <w:tc>
          <w:tcPr>
            <w:tcW w:w="895" w:type="dxa"/>
            <w:shd w:val="clear" w:color="auto" w:fill="CCCCCC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659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Early SUV after CAR-T cell therapy</w:t>
            </w:r>
          </w:p>
        </w:tc>
        <w:tc>
          <w:tcPr>
            <w:tcW w:w="280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639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1.498 (1.128, 1.991)</w:t>
            </w:r>
          </w:p>
        </w:tc>
        <w:tc>
          <w:tcPr>
            <w:tcW w:w="89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160" w:afterAutospacing="0" w:line="256" w:lineRule="auto"/>
        <w:ind w:left="0" w:right="0"/>
        <w:jc w:val="both"/>
        <w:rPr>
          <w:rFonts w:hint="default" w:ascii="Times New Roman" w:hAnsi="Times New Roman" w:eastAsia="DengXian" w:cs="Times New Roman"/>
          <w:color w:val="000000"/>
          <w:kern w:val="2"/>
          <w:sz w:val="20"/>
          <w:szCs w:val="20"/>
        </w:rPr>
      </w:pPr>
      <w:r>
        <w:rPr>
          <w:rFonts w:hint="default" w:ascii="Times New Roman" w:hAnsi="Times New Roman" w:eastAsia="DengXian" w:cs="Times New Roman"/>
          <w:b/>
          <w:color w:val="000000"/>
          <w:kern w:val="2"/>
          <w:sz w:val="20"/>
          <w:szCs w:val="20"/>
          <w:lang w:val="en-US" w:eastAsia="zh-CN" w:bidi="ar"/>
        </w:rPr>
        <w:t>Supplementary Table 1.</w:t>
      </w:r>
      <w:r>
        <w:rPr>
          <w:rFonts w:hint="default" w:ascii="Times New Roman" w:hAnsi="Times New Roman" w:eastAsia="DengXian" w:cs="Times New Roman"/>
          <w:color w:val="000000"/>
          <w:kern w:val="2"/>
          <w:sz w:val="20"/>
          <w:szCs w:val="20"/>
          <w:lang w:val="en-US" w:eastAsia="zh-CN" w:bidi="ar"/>
        </w:rPr>
        <w:t xml:space="preserve"> Data were expressed as Hazard ratio (95%CI). P values were tested by the Cox regression model test. (Abbreviations: LDH: lactate dehydrogenase; CRS: cytokine release syndrome; Auto-HSCT: autologous hematopoietic stem cell transplantation; MTV: metabolic tumor volume; TLG: total lesion glycolysis; SUV: standardized uptake value; β2-MG: β2-microglobulin.)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/>
          <w:kern w:val="2"/>
          <w:sz w:val="18"/>
          <w:szCs w:val="18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</w:pPr>
      <w:r>
        <w:rPr>
          <w:rStyle w:val="56"/>
          <w:rFonts w:ascii="Times New Roman" w:hAnsi="Times New Roman" w:eastAsia="Toppan Bunkyu Gothic"/>
          <w:b/>
          <w:bCs/>
          <w:sz w:val="20"/>
          <w:szCs w:val="20"/>
        </w:rPr>
        <w:t xml:space="preserve">Supplement Table 2. </w:t>
      </w:r>
      <w:r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  <w:t>Mann-Whitney U</w:t>
      </w:r>
      <w:r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eastAsia="zh-CN"/>
        </w:rPr>
        <w:t xml:space="preserve"> test </w:t>
      </w:r>
      <w:r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  <w:t xml:space="preserve">for </w:t>
      </w:r>
      <w:r>
        <w:rPr>
          <w:rStyle w:val="56"/>
          <w:rFonts w:hint="eastAsia" w:ascii="Times New Roman" w:hAnsi="Times New Roman" w:eastAsia="Toppan Bunkyu Gothic"/>
          <w:b/>
          <w:bCs/>
          <w:sz w:val="20"/>
          <w:szCs w:val="20"/>
          <w:lang w:val="en-US" w:eastAsia="zh-CN"/>
        </w:rPr>
        <w:t>PEC/CT metabolic parameters</w:t>
      </w:r>
      <w:r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  <w:t xml:space="preserve"> and clinical indicators of CRS</w:t>
      </w:r>
    </w:p>
    <w:tbl>
      <w:tblPr>
        <w:tblStyle w:val="55"/>
        <w:tblW w:w="9089" w:type="dxa"/>
        <w:jc w:val="center"/>
        <w:tblBorders>
          <w:top w:val="single" w:color="666666" w:sz="2" w:space="0"/>
          <w:left w:val="none" w:color="auto" w:sz="6" w:space="0"/>
          <w:bottom w:val="single" w:color="666666" w:sz="2" w:space="0"/>
          <w:right w:val="none" w:color="auto" w:sz="6" w:space="0"/>
          <w:insideH w:val="single" w:color="666666" w:sz="2" w:space="0"/>
          <w:insideV w:val="single" w:color="666666" w:sz="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949"/>
        <w:gridCol w:w="2872"/>
        <w:gridCol w:w="784"/>
        <w:gridCol w:w="189"/>
      </w:tblGrid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clinical indicators 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MTV≥ 26.37 cm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vertAlign w:val="superscript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1126" w:firstLineChars="7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MTV＜26.37 cm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vertAlign w:val="superscript"/>
                <w:lang w:eastAsia="zh-CN" w:bidi="ar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P value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Maximum IL-2,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pg/ml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5"/>
                <w:szCs w:val="15"/>
                <w:lang w:eastAsia="zh-CN" w:bidi="ar"/>
              </w:rPr>
              <w:t>3.4 (1.4, 7.1)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5"/>
                <w:szCs w:val="15"/>
              </w:rPr>
              <w:t>1.4 (0.1, 4.6)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0.080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Maximum IL-6,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  <w:t>645.6 (161.2, 3335.9)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bCs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  <w:t>13.1 (6.4, 80.9)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Maximum IL-10,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23.8 (7.7, 41.8)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15.3 (4.6, 36.8)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0.492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Maximum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IFN-</w:t>
            </w:r>
            <w:r>
              <w:rPr>
                <w:rFonts w:hint="eastAsia" w:ascii="Times New Roman" w:hAnsi="Times New Roman" w:eastAsia="宋体" w:cs="宋体"/>
                <w:kern w:val="2"/>
                <w:sz w:val="15"/>
                <w:szCs w:val="15"/>
                <w:lang w:val="en-US" w:eastAsia="zh-CN" w:bidi="ar"/>
              </w:rPr>
              <w:t>γ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54.5 (15.2, 249.6)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2.2 (0.1, 10.6)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0.005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/>
                <w:bCs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Maximum TNF- α,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8.2 (1.7, 30.2)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0.9 (0.1, 5.5)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5"/>
                <w:szCs w:val="15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5"/>
                <w:szCs w:val="15"/>
                <w:lang w:eastAsia="zh-CN" w:bidi="ar"/>
              </w:rPr>
              <w:t>016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Maximum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ferritin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, ng/ml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1228.2 (627.6, 2313.2)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380.8 (205.2, 625.6)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0.003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Maximum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 xml:space="preserve">CRP,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mg/L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82.7 (31.1, 150.2)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6.5 (3.1, 24.5)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＜0.001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/>
                <w:bCs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Maximum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 xml:space="preserve">D-dimer,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ng/ml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692.0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1468.8, 6628.0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1205.5 (290.5, 2702.8)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5"/>
                <w:szCs w:val="15"/>
                <w:lang w:eastAsia="zh-CN" w:bidi="ar"/>
              </w:rPr>
              <w:t>.015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trHeight w:val="457" w:hRule="atLeast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TLG ≥ 78.61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29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TLG＜78.61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IL-2, 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3.6 (1.4, 7.3)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right="0" w:firstLine="975" w:firstLineChars="6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0.3 (0.1, 1.7)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0.003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IL-6, 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613.0 (84.5, 3897.6)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eastAsia="宋体" w:cs="Times New Roman"/>
                <w:sz w:val="15"/>
                <w:szCs w:val="15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10.3 (4.0, 32.7)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＜0.001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IL-10, 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25.3 (7.8, 41.8)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75" w:firstLineChars="6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11.2 (1.6, 22.1)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5"/>
                <w:szCs w:val="15"/>
              </w:rPr>
              <w:t>0.122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IFN-</w:t>
            </w:r>
            <w:r>
              <w:rPr>
                <w:rFonts w:hint="eastAsia" w:ascii="Times New Roman" w:hAnsi="Times New Roman" w:eastAsia="宋体" w:cs="宋体"/>
                <w:kern w:val="2"/>
                <w:sz w:val="15"/>
                <w:szCs w:val="15"/>
                <w:lang w:val="en-US" w:eastAsia="zh-CN" w:bidi="ar"/>
              </w:rPr>
              <w:t>γ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, 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49.0 (7.8, 257.2)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75" w:firstLineChars="6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0.9 (0.1, 4.7)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＜0.001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Maximum TNF- α,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7.3 (1.6, 22.8)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75" w:firstLineChars="6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0.1 (0.1, 1.8)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0.005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ferritin, ng/ml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1194.0 (531.2, 2299.2)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373.5 (131.8, 866.7)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0.036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CRP, mg/L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80.5 (28.9, 148.2)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7.1 (3.0, 21.7)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D-dimer, ng/ml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3210.0 (1463.5, 7009.0)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529.0 (175.0, 1611.0)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SUV ≥ 4.36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SUV＜4.36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</w:pP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IL-2, 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4.2 (1.6, 7.3)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75" w:firstLineChars="6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0.5 (0.1, 1.7)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IL-6, 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645.6 (175.1, 3335.9)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13.12 (6.4, 53.1)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IL-10, pg/ml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   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26.1 (7.8, 46.1)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eastAsia="宋体" w:cs="Times New Roman"/>
                <w:sz w:val="15"/>
                <w:szCs w:val="15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10.8 (2.0, 25.4)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0.079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IFN-</w:t>
            </w:r>
            <w:r>
              <w:rPr>
                <w:rFonts w:hint="eastAsia" w:ascii="Times New Roman" w:hAnsi="Times New Roman" w:eastAsia="宋体" w:cs="宋体"/>
                <w:kern w:val="2"/>
                <w:sz w:val="15"/>
                <w:szCs w:val="15"/>
                <w:lang w:val="en-US" w:eastAsia="zh-CN" w:bidi="ar"/>
              </w:rPr>
              <w:t>γ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, pg/ml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76.0 (15.3, 360.6)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right="0" w:firstLine="975" w:firstLineChars="6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2.2 (0.1, 10.3)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＜0.001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TNF- α, pg/ml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7.2 (1.3, 22.0)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1.2 (0.1, 5.9)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0.086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ferritin, ng/ml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99.1 (33.1, 150.2)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381.9 (205.2, 657.3)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5"/>
                <w:szCs w:val="15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5"/>
                <w:szCs w:val="15"/>
                <w:lang w:eastAsia="zh-CN" w:bidi="ar"/>
              </w:rPr>
              <w:t>006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CRP, mg/L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4441.5 (2018.5, 7945.5)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eastAsia="宋体" w:cs="Times New Roman"/>
                <w:sz w:val="15"/>
                <w:szCs w:val="15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10.3 (3.1, 24.5)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＜0.001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gridAfter w:val="1"/>
          <w:wAfter w:w="189" w:type="dxa"/>
          <w:jc w:val="center"/>
        </w:trPr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D-dimer, ng/ml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 xml:space="preserve">            </w:t>
            </w:r>
            <w:r>
              <w:rPr>
                <w:rFonts w:hint="default" w:eastAsia="宋体" w:cs="Times New Roman"/>
                <w:kern w:val="2"/>
                <w:sz w:val="15"/>
                <w:szCs w:val="15"/>
                <w:lang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2375.0 (1334.0, 5915.0)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1152.5 (290.5, 1791.8)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＜0.001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160" w:afterAutospacing="0" w:line="256" w:lineRule="auto"/>
        <w:ind w:left="0" w:right="0"/>
        <w:jc w:val="both"/>
        <w:rPr>
          <w:rFonts w:hint="default" w:ascii="Times New Roman" w:hAnsi="Times New Roman" w:eastAsia="DengXian" w:cs="Times New Roman"/>
          <w:color w:val="000000"/>
          <w:kern w:val="2"/>
          <w:sz w:val="20"/>
          <w:szCs w:val="20"/>
        </w:rPr>
      </w:pPr>
      <w:r>
        <w:rPr>
          <w:rFonts w:hint="default" w:ascii="Times New Roman" w:hAnsi="Times New Roman" w:eastAsia="DengXian" w:cs="Times New Roman"/>
          <w:b/>
          <w:color w:val="000000"/>
          <w:kern w:val="2"/>
          <w:sz w:val="20"/>
          <w:szCs w:val="20"/>
          <w:lang w:val="en-US" w:eastAsia="zh-CN" w:bidi="ar"/>
        </w:rPr>
        <w:t>Supplement Table 2.</w:t>
      </w:r>
      <w:r>
        <w:rPr>
          <w:rFonts w:hint="default" w:ascii="Times New Roman" w:hAnsi="Times New Roman" w:eastAsia="DengXian" w:cs="Times New Roman"/>
          <w:color w:val="000000"/>
          <w:kern w:val="2"/>
          <w:sz w:val="20"/>
          <w:szCs w:val="20"/>
          <w:lang w:val="en-US" w:eastAsia="zh-CN" w:bidi="ar"/>
        </w:rPr>
        <w:t xml:space="preserve"> Data were described as median (IQR). P-values were tested by the Mann-Whitney U test. (Abbreviations: CRP: C reactive protein; MTV: metabolic tumor volume; TLG: total lesion glycolysis; SUV: standardized uptake value.)</w:t>
      </w:r>
    </w:p>
    <w:p>
      <w:pPr>
        <w:keepNext w:val="0"/>
        <w:keepLines w:val="0"/>
        <w:widowControl/>
        <w:suppressLineNumbers w:val="0"/>
        <w:jc w:val="center"/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eastAsia="zh-CN" w:bidi="ar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eastAsia="zh-CN" w:bidi="ar"/>
        </w:rPr>
        <w:t xml:space="preserve">Supplement Table 3. </w:t>
      </w:r>
      <w:r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  <w:t>Mann-Whitney U</w:t>
      </w:r>
      <w:r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eastAsia="zh-CN"/>
        </w:rPr>
        <w:t xml:space="preserve"> test </w:t>
      </w:r>
      <w:r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  <w:t xml:space="preserve">for </w:t>
      </w:r>
      <w:r>
        <w:rPr>
          <w:rStyle w:val="56"/>
          <w:rFonts w:hint="eastAsia" w:ascii="Times New Roman" w:hAnsi="Times New Roman" w:eastAsia="Toppan Bunkyu Gothic"/>
          <w:b/>
          <w:bCs/>
          <w:sz w:val="20"/>
          <w:szCs w:val="20"/>
          <w:lang w:val="en-US" w:eastAsia="zh-CN"/>
        </w:rPr>
        <w:t>PEC/CT metabolic</w:t>
      </w:r>
      <w:r>
        <w:rPr>
          <w:rStyle w:val="56"/>
          <w:rFonts w:hint="default" w:ascii="Times New Roman Bold" w:hAnsi="Times New Roman Bold" w:eastAsia="Toppan Bunkyu Gothic" w:cs="Times New Roman Bold"/>
          <w:b/>
          <w:bCs/>
          <w:sz w:val="20"/>
          <w:szCs w:val="20"/>
          <w:lang w:val="en-US" w:eastAsia="zh-CN"/>
        </w:rPr>
        <w:t xml:space="preserve"> parameters and clinical </w:t>
      </w:r>
      <w:r>
        <w:rPr>
          <w:rStyle w:val="56"/>
          <w:rFonts w:hint="default" w:ascii="Times New Roman" w:hAnsi="Times New Roman" w:eastAsia="Toppan Bunkyu Gothic"/>
          <w:b/>
          <w:bCs/>
          <w:sz w:val="20"/>
          <w:szCs w:val="20"/>
          <w:lang w:val="en-US" w:eastAsia="zh-CN"/>
        </w:rPr>
        <w:t xml:space="preserve">indicators of </w:t>
      </w:r>
      <w:r>
        <w:rPr>
          <w:rFonts w:hint="default" w:ascii="Times New Roman Bold" w:hAnsi="Times New Roman Bold" w:cs="Times New Roman Bold"/>
          <w:b/>
          <w:bCs/>
          <w:highlight w:val="none"/>
          <w:lang w:eastAsia="zh-CN"/>
        </w:rPr>
        <w:t>coagulation disorder</w:t>
      </w:r>
    </w:p>
    <w:tbl>
      <w:tblPr>
        <w:tblStyle w:val="55"/>
        <w:tblW w:w="8900" w:type="dxa"/>
        <w:jc w:val="center"/>
        <w:tblBorders>
          <w:top w:val="single" w:color="666666" w:sz="2" w:space="0"/>
          <w:left w:val="none" w:color="auto" w:sz="6" w:space="0"/>
          <w:bottom w:val="single" w:color="666666" w:sz="2" w:space="0"/>
          <w:right w:val="none" w:color="auto" w:sz="6" w:space="0"/>
          <w:insideH w:val="single" w:color="666666" w:sz="2" w:space="0"/>
          <w:insideV w:val="single" w:color="666666" w:sz="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949"/>
        <w:gridCol w:w="2872"/>
        <w:gridCol w:w="784"/>
      </w:tblGrid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MTV≥ 26.37 cm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vertAlign w:val="superscript"/>
                <w:lang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1126" w:firstLineChars="75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MTV＜26.37 cm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vertAlign w:val="superscript"/>
                <w:lang w:eastAsia="zh-CN" w:bidi="ar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=11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P value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Coagulation disorder, n(%)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5"/>
                <w:szCs w:val="15"/>
                <w:lang w:eastAsia="zh-CN" w:bidi="ar"/>
              </w:rPr>
              <w:t>25 (96.2%)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5"/>
                <w:szCs w:val="15"/>
              </w:rPr>
              <w:t>6 (54.5%)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CFCDCD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0.015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Maximum PT, s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15"/>
                <w:szCs w:val="15"/>
                <w:lang w:eastAsia="zh-CN" w:bidi="ar"/>
              </w:rPr>
              <w:t>13.5 (11.7, 19.7)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11.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 (10.8,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24.6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0.010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APTT, 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left"/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  <w:t>35.4 (27.9, 83.5)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bCs/>
                <w:sz w:val="15"/>
                <w:szCs w:val="15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bCs/>
                <w:sz w:val="15"/>
                <w:szCs w:val="15"/>
              </w:rPr>
              <w:t xml:space="preserve"> 28.4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(20.7,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71.7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0.005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INR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1.1 (1.0, 1.6)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1.0 (0.9,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2.2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0.004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D-dimer, ng/ml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3692.0 (382.0, 88000.0)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1205.5 (170.0, 80596.0)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0.015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Cs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Minimum PLT, *10^9/L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67.5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.0, 212.0)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125.0 (7.0, 211.0)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5"/>
                <w:szCs w:val="15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5"/>
                <w:szCs w:val="15"/>
                <w:lang w:eastAsia="zh-CN" w:bidi="ar"/>
              </w:rPr>
              <w:t>094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trHeight w:val="640" w:hRule="atLeast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TLG ≥ 78.6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29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TLG＜78.6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Coagulation disorder, n(%)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28 (96.6%)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 (37.5%)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0.003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Maximum PT, 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75" w:firstLineChars="5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13.4 (11.7, 24.6)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11.6 (10.8, 14.8)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0.007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Maximum APTT, 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35.3 (24.5, 83.5)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eastAsia="宋体" w:cs="Times New Roman"/>
                <w:sz w:val="15"/>
                <w:szCs w:val="15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28.0 (20.7, 35.2)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Maximum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INR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1.1 (1.0, 2.2)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1.0 (0.9, 1.3)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0.014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Maximum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 xml:space="preserve">D-dimer,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ng/ml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3210.5 (382.0, 88000.0)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529.0 (170.0, 4055.0)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5"/>
                <w:szCs w:val="15"/>
              </w:rPr>
              <w:t>0.002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Minimum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eastAsia="zh-CN"/>
              </w:rPr>
              <w:t>PLT, *10^9/L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72.0 (9.0, 212.0)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128.0 (7.0, 211.0)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5"/>
                <w:szCs w:val="15"/>
              </w:rPr>
              <w:t>0.073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SUV ≥ 4.36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Baseline SUV＜4.36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group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(N=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</w:pP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Coagulation disorder, n(%)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25 (96.2%)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6 (54.5%)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0.015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PT, 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13.5 (11.7, 24.6)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12.1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10.8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14.8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APTT, 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36.8 (27.9, 83.5)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28.2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 (20.7,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35.3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＜0.001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INR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15"/>
                <w:szCs w:val="15"/>
                <w:lang w:val="en-US" w:eastAsia="zh-CN" w:bidi="ar"/>
              </w:rPr>
              <w:t xml:space="preserve">   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1.1 (1.0, 2.2)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1.1 (0.9, 1.3)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0.012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Maximum D-dimer, ng/ml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5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4441.5 (382.0, 88000.0)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1152.5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 xml:space="preserve"> (170.0, 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4055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.0)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＜0.001</w:t>
            </w:r>
          </w:p>
        </w:tc>
      </w:tr>
      <w:tr>
        <w:tblPrEx>
          <w:tblBorders>
            <w:top w:val="single" w:color="666666" w:sz="2" w:space="0"/>
            <w:left w:val="none" w:color="auto" w:sz="6" w:space="0"/>
            <w:bottom w:val="single" w:color="666666" w:sz="2" w:space="0"/>
            <w:right w:val="none" w:color="auto" w:sz="6" w:space="0"/>
            <w:insideH w:val="single" w:color="666666" w:sz="2" w:space="0"/>
            <w:insideV w:val="single" w:color="666666" w:sz="2" w:space="0"/>
          </w:tblBorders>
          <w:shd w:val="clear" w:color="auto" w:fill="auto"/>
        </w:tblPrEx>
        <w:trPr>
          <w:jc w:val="center"/>
        </w:trPr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Minimum PLT, *10^9/L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            </w:t>
            </w:r>
            <w:r>
              <w:rPr>
                <w:rFonts w:hint="default" w:eastAsia="宋体" w:cs="Times New Roman"/>
                <w:sz w:val="15"/>
                <w:szCs w:val="15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61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.0 (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.0, 212.0)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00" w:firstLineChars="60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142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.0 (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"/>
              </w:rPr>
              <w:t>.0, 211.0)</w:t>
            </w:r>
            <w:r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default" w:ascii="Times New Roman Bold" w:hAnsi="Times New Roman Bold" w:eastAsia="宋体" w:cs="Times New Roman Bold"/>
                <w:b/>
                <w:bCs/>
                <w:sz w:val="15"/>
                <w:szCs w:val="15"/>
              </w:rPr>
              <w:t>0.002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160" w:afterAutospacing="0" w:line="256" w:lineRule="auto"/>
        <w:ind w:left="0" w:right="0"/>
        <w:jc w:val="both"/>
        <w:rPr>
          <w:rFonts w:hint="default" w:ascii="Times New Roman" w:hAnsi="Times New Roman" w:eastAsia="DengXian" w:cs="Times New Roman"/>
          <w:kern w:val="2"/>
          <w:sz w:val="20"/>
          <w:szCs w:val="20"/>
        </w:rPr>
      </w:pPr>
      <w:r>
        <w:rPr>
          <w:rFonts w:hint="default" w:ascii="Times New Roman" w:hAnsi="Times New Roman" w:eastAsia="DengXian" w:cs="Times New Roman"/>
          <w:b/>
          <w:kern w:val="2"/>
          <w:sz w:val="20"/>
          <w:szCs w:val="20"/>
          <w:lang w:val="en-US" w:eastAsia="zh-CN" w:bidi="ar"/>
        </w:rPr>
        <w:t>Supplement Table 3.</w:t>
      </w:r>
      <w:r>
        <w:rPr>
          <w:rFonts w:hint="default" w:ascii="Times New Roman" w:hAnsi="Times New Roman" w:eastAsia="DengXian" w:cs="Times New Roman"/>
          <w:kern w:val="2"/>
          <w:sz w:val="20"/>
          <w:szCs w:val="20"/>
          <w:lang w:val="en-US" w:eastAsia="zh-CN" w:bidi="ar"/>
        </w:rPr>
        <w:t xml:space="preserve"> Data were described as n (%) or median (range). P-values were tested by the Chi-Square test or Mann-Whitney U test. (Abbreviations: PT: prothrombin time; APTT: activated partial prothrombin time; INR: international normalized ratio; TLG: total lesion glycolysis; SUV: standardized uptake value.</w:t>
      </w:r>
    </w:p>
    <w:p>
      <w:pPr>
        <w:spacing w:before="240"/>
      </w:pP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vOTf9433e2d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Times New Roman Bold Italic">
    <w:panose1 w:val="02020503050405090304"/>
    <w:charset w:val="00"/>
    <w:family w:val="roman"/>
    <w:pitch w:val="default"/>
    <w:sig w:usb0="E0000AFF" w:usb1="00007843" w:usb2="00000001" w:usb3="00000000" w:csb0="400001BF" w:csb1="DFF7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">
    <w:panose1 w:val="020B0600000000000000"/>
    <w:charset w:val="80"/>
    <w:family w:val="swiss"/>
    <w:pitch w:val="default"/>
    <w:sig w:usb0="000002D7" w:usb1="2AC71C11" w:usb2="00000012" w:usb3="00000000" w:csb0="2002009F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@等线">
    <w:altName w:val="华文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interface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dvOT863180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GaramondPro-Regular">
    <w:altName w:val="苹方-简"/>
    <w:panose1 w:val="02020502060506020403"/>
    <w:charset w:val="00"/>
    <w:family w:val="roman"/>
    <w:pitch w:val="default"/>
    <w:sig w:usb0="00000000" w:usb1="00000000" w:usb2="00000000" w:usb3="00000000" w:csb0="00000000" w:csb1="00000000"/>
  </w:font>
  <w:font w:name="AdvOT3c2d9f11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-Bold">
    <w:panose1 w:val="00000000000000000000"/>
    <w:charset w:val="00"/>
    <w:family w:val="roman"/>
    <w:pitch w:val="default"/>
    <w:sig w:usb0="E00002FF" w:usb1="5000785B" w:usb2="00000000" w:usb3="00000000" w:csb0="2000019F" w:csb1="4F01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￥ﾮﾋ￤ﾽ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Toppan Bunkyu Gothic">
    <w:altName w:val="Hiragino Sans"/>
    <w:panose1 w:val="00000000000000000000"/>
    <w:charset w:val="80"/>
    <w:family w:val="auto"/>
    <w:pitch w:val="default"/>
    <w:sig w:usb0="00000000" w:usb1="00000000" w:usb2="00000012" w:usb3="00000000" w:csb0="0002009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40101010101"/>
    <w:charset w:val="86"/>
    <w:family w:val="modern"/>
    <w:pitch w:val="default"/>
    <w:sig w:usb0="80000287" w:usb1="280F3C52" w:usb2="00000016" w:usb3="00000000" w:csb0="0004001F" w:csb1="00000000"/>
  </w:font>
  <w:font w:name="E-BZ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SSK--GBK1-0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E-BX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angSong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imes-Roman">
    <w:altName w:val="苹方-简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Gothic">
    <w:altName w:val="Hiragino Sans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ScalaLancetPro-Bold">
    <w:altName w:val="Hiragino Sans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OTNEJMScalaSansLF">
    <w:altName w:val="Hiragino Sans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Adobe 仿宋 Std R">
    <w:altName w:val="苹方-简"/>
    <w:panose1 w:val="00000000000000000000"/>
    <w:charset w:val="86"/>
    <w:family w:val="roman"/>
    <w:pitch w:val="default"/>
    <w:sig w:usb0="00000000" w:usb1="00000000" w:usb2="00000016" w:usb3="00000000" w:csb0="000601FF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lantinStd">
    <w:altName w:val="苹方-简"/>
    <w:panose1 w:val="00000000000000000000"/>
    <w:charset w:val="86"/>
    <w:family w:val="roman"/>
    <w:pitch w:val="default"/>
    <w:sig w:usb0="00000000" w:usb1="00000000" w:usb2="00000010" w:usb3="00000000" w:csb0="000401FF" w:csb1="00000000"/>
  </w:font>
  <w:font w:name="PlantinStd-Italic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 Roman">
    <w:altName w:val="苹方-简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Kaiti SC Bold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ait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幼圆">
    <w:altName w:val="华文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Lucida Sans Unicode">
    <w:altName w:val="苹方-简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MinionPro-It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Reference Sans Serif">
    <w:altName w:val="苹方-简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手札体-繁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rop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Kaiti Regular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46976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FdEItIAAAAEAQAADwAAAAAAAAABACAAAAA4AAAAZHJzL2Rvd25yZXYueG1sUEsBAhQAFAAAAAgA&#10;h07iQFy56YYVAgAAJwQAAA4AAAAAAAAAAQAgAAAAN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24.2pt;height:31.15pt;width:118.8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FdEItIAAAAEAQAADwAAAAAAAAABACAAAAA4AAAAZHJzL2Rvd25yZXYueG1sUEsBAhQAFAAAAAgA&#10;h07iQJJ3p+cVAgAAJQQAAA4AAAAAAAAAAQAgAAAAN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attachedTemplate r:id="rId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65F04A65"/>
    <w:rsid w:val="779EA1A0"/>
    <w:rsid w:val="77DF6FE0"/>
    <w:rsid w:val="7A7304B2"/>
    <w:rsid w:val="7F7A58CE"/>
    <w:rsid w:val="7FBB8D5B"/>
    <w:rsid w:val="F7F7C26E"/>
    <w:rsid w:val="FB96F125"/>
    <w:rsid w:val="FDAFBBE4"/>
    <w:rsid w:val="FF7DC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0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annotation subject"/>
    <w:basedOn w:val="9"/>
    <w:next w:val="9"/>
    <w:link w:val="38"/>
    <w:unhideWhenUsed/>
    <w:qFormat/>
    <w:uiPriority w:val="99"/>
    <w:rPr>
      <w:b/>
      <w:bCs/>
    </w:rPr>
  </w:style>
  <w:style w:type="paragraph" w:styleId="9">
    <w:name w:val="annotation text"/>
    <w:basedOn w:val="1"/>
    <w:link w:val="37"/>
    <w:unhideWhenUsed/>
    <w:qFormat/>
    <w:uiPriority w:val="99"/>
    <w:rPr>
      <w:sz w:val="20"/>
      <w:szCs w:val="20"/>
    </w:rPr>
  </w:style>
  <w:style w:type="paragraph" w:styleId="10">
    <w:name w:val="caption"/>
    <w:basedOn w:val="1"/>
    <w:next w:val="11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customStyle="1" w:styleId="11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2">
    <w:name w:val="endnote text"/>
    <w:basedOn w:val="1"/>
    <w:link w:val="39"/>
    <w:unhideWhenUsed/>
    <w:qFormat/>
    <w:uiPriority w:val="99"/>
    <w:pPr>
      <w:spacing w:after="0"/>
    </w:pPr>
    <w:rPr>
      <w:sz w:val="20"/>
      <w:szCs w:val="20"/>
    </w:rPr>
  </w:style>
  <w:style w:type="paragraph" w:styleId="13">
    <w:name w:val="Balloon Text"/>
    <w:basedOn w:val="1"/>
    <w:link w:val="35"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4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6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7">
    <w:name w:val="footnote text"/>
    <w:basedOn w:val="1"/>
    <w:link w:val="41"/>
    <w:unhideWhenUsed/>
    <w:qFormat/>
    <w:uiPriority w:val="99"/>
    <w:pPr>
      <w:spacing w:after="0"/>
    </w:pPr>
    <w:rPr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9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21">
    <w:name w:val="Strong"/>
    <w:basedOn w:val="20"/>
    <w:qFormat/>
    <w:uiPriority w:val="22"/>
    <w:rPr>
      <w:rFonts w:ascii="Times New Roman" w:hAnsi="Times New Roman"/>
      <w:b/>
      <w:bCs/>
    </w:rPr>
  </w:style>
  <w:style w:type="character" w:styleId="22">
    <w:name w:val="endnote reference"/>
    <w:basedOn w:val="20"/>
    <w:unhideWhenUsed/>
    <w:qFormat/>
    <w:uiPriority w:val="99"/>
    <w:rPr>
      <w:vertAlign w:val="superscript"/>
    </w:rPr>
  </w:style>
  <w:style w:type="character" w:styleId="23">
    <w:name w:val="FollowedHyperlink"/>
    <w:basedOn w:val="20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Emphasis"/>
    <w:basedOn w:val="20"/>
    <w:qFormat/>
    <w:uiPriority w:val="20"/>
    <w:rPr>
      <w:rFonts w:ascii="Times New Roman" w:hAnsi="Times New Roman"/>
      <w:i/>
      <w:iCs/>
    </w:rPr>
  </w:style>
  <w:style w:type="character" w:styleId="25">
    <w:name w:val="line number"/>
    <w:basedOn w:val="20"/>
    <w:unhideWhenUsed/>
    <w:qFormat/>
    <w:uiPriority w:val="99"/>
  </w:style>
  <w:style w:type="character" w:styleId="26">
    <w:name w:val="Hyperlink"/>
    <w:basedOn w:val="20"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0"/>
    <w:unhideWhenUsed/>
    <w:qFormat/>
    <w:uiPriority w:val="99"/>
    <w:rPr>
      <w:sz w:val="16"/>
      <w:szCs w:val="16"/>
    </w:rPr>
  </w:style>
  <w:style w:type="character" w:styleId="28">
    <w:name w:val="footnote reference"/>
    <w:basedOn w:val="20"/>
    <w:unhideWhenUsed/>
    <w:qFormat/>
    <w:uiPriority w:val="99"/>
    <w:rPr>
      <w:vertAlign w:val="superscript"/>
    </w:rPr>
  </w:style>
  <w:style w:type="table" w:styleId="30">
    <w:name w:val="Table Grid"/>
    <w:basedOn w:val="29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Heading 1 Char"/>
    <w:basedOn w:val="20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0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0"/>
    <w:link w:val="16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6"/>
    <w:next w:val="1"/>
    <w:qFormat/>
    <w:uiPriority w:val="1"/>
  </w:style>
  <w:style w:type="character" w:customStyle="1" w:styleId="35">
    <w:name w:val="Balloon Text Char"/>
    <w:basedOn w:val="20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0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0"/>
    <w:link w:val="9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8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0"/>
    <w:link w:val="12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0"/>
    <w:link w:val="14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0"/>
    <w:link w:val="17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0"/>
    <w:link w:val="15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0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0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0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0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customStyle="1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0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0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0"/>
    <w:link w:val="19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9"/>
    <w:next w:val="19"/>
    <w:qFormat/>
    <w:uiPriority w:val="0"/>
    <w:pPr>
      <w:spacing w:after="120"/>
    </w:pPr>
    <w:rPr>
      <w:i/>
    </w:rPr>
  </w:style>
  <w:style w:type="character" w:customStyle="1" w:styleId="53">
    <w:name w:val="15"/>
    <w:basedOn w:val="20"/>
    <w:qFormat/>
    <w:uiPriority w:val="0"/>
    <w:rPr>
      <w:rFonts w:hint="default" w:ascii="AdvOTf9433e2d" w:hAnsi="AdvOTf9433e2d" w:eastAsia="AdvOTf9433e2d" w:cs="AdvOTf9433e2d"/>
      <w:color w:val="000000"/>
      <w:sz w:val="18"/>
      <w:szCs w:val="18"/>
    </w:rPr>
  </w:style>
  <w:style w:type="table" w:customStyle="1" w:styleId="54">
    <w:name w:val="网格表 23"/>
    <w:basedOn w:val="29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666666" w:sz="2" w:space="0"/>
        <w:bottom w:val="single" w:color="666666" w:sz="2" w:space="0"/>
      </w:tcBorders>
    </w:tcPr>
    <w:tblStylePr w:type="firstRow">
      <w:rPr>
        <w:rFonts w:hint="default" w:ascii="Times New Roman" w:hAnsi="Times New Roman" w:cs="Times New Roman"/>
        <w:b/>
      </w:rPr>
      <w:tcPr>
        <w:tcBorders>
          <w:top w:val="nil"/>
          <w:bottom w:val="single" w:color="666666" w:sz="12" w:space="0"/>
        </w:tcBorders>
        <w:shd w:val="clear" w:color="auto" w:fill="FFFFFF"/>
      </w:tcPr>
    </w:tblStylePr>
    <w:tblStylePr w:type="lastRow">
      <w:rPr>
        <w:rFonts w:hint="default" w:ascii="Times New Roman" w:hAnsi="Times New Roman" w:cs="Times New Roman"/>
        <w:b/>
      </w:rPr>
      <w:tcPr>
        <w:tcBorders>
          <w:top w:val="double" w:color="666666" w:sz="2" w:space="0"/>
          <w:bottom w:val="nil"/>
        </w:tcBorders>
        <w:shd w:val="clear" w:color="auto" w:fill="FFFFFF"/>
      </w:tcPr>
    </w:tblStylePr>
    <w:tblStylePr w:type="firstCol">
      <w:rPr>
        <w:rFonts w:hint="default" w:ascii="Times New Roman" w:hAnsi="Times New Roman" w:cs="Times New Roman"/>
        <w:b/>
      </w:rPr>
    </w:tblStylePr>
    <w:tblStylePr w:type="lastCol">
      <w:rPr>
        <w:rFonts w:hint="default" w:ascii="Times New Roman" w:hAnsi="Times New Roman" w:cs="Times New Roman"/>
        <w:b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55">
    <w:name w:val="网格表 21"/>
    <w:basedOn w:val="29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666666" w:sz="2" w:space="0"/>
        <w:bottom w:val="single" w:color="666666" w:sz="2" w:space="0"/>
      </w:tcBorders>
    </w:tcPr>
    <w:tblStylePr w:type="firstRow">
      <w:rPr>
        <w:rFonts w:hint="default" w:ascii="Times New Roman" w:hAnsi="Times New Roman" w:cs="Times New Roman"/>
        <w:b/>
      </w:rPr>
      <w:tcPr>
        <w:tcBorders>
          <w:top w:val="nil"/>
          <w:bottom w:val="single" w:color="666666" w:sz="12" w:space="0"/>
        </w:tcBorders>
        <w:shd w:val="clear" w:color="auto" w:fill="FFFFFF"/>
      </w:tcPr>
    </w:tblStylePr>
    <w:tblStylePr w:type="lastRow">
      <w:rPr>
        <w:rFonts w:hint="default" w:ascii="Times New Roman" w:hAnsi="Times New Roman" w:cs="Times New Roman"/>
        <w:b/>
      </w:rPr>
      <w:tcPr>
        <w:tcBorders>
          <w:top w:val="double" w:color="666666" w:sz="2" w:space="0"/>
          <w:bottom w:val="nil"/>
        </w:tcBorders>
        <w:shd w:val="clear" w:color="auto" w:fill="FFFFFF"/>
      </w:tcPr>
    </w:tblStylePr>
    <w:tblStylePr w:type="firstCol">
      <w:rPr>
        <w:rFonts w:hint="default" w:ascii="Times New Roman" w:hAnsi="Times New Roman" w:cs="Times New Roman"/>
        <w:b/>
      </w:rPr>
    </w:tblStylePr>
    <w:tblStylePr w:type="lastCol">
      <w:rPr>
        <w:rFonts w:hint="default" w:ascii="Times New Roman" w:hAnsi="Times New Roman" w:cs="Times New Roman"/>
        <w:b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character" w:customStyle="1" w:styleId="56">
    <w:name w:val="fontstyle21"/>
    <w:basedOn w:val="20"/>
    <w:qFormat/>
    <w:uiPriority w:val="0"/>
    <w:rPr>
      <w:rFonts w:hint="default" w:ascii="AdvOTf9433e2d" w:hAnsi="AdvOTf9433e2d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tif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ngruimin/Library/Containers/com.kingsoft.wpsoffice.mac/Data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247</Words>
  <Characters>1410</Characters>
  <Lines>11</Lines>
  <Paragraphs>3</Paragraphs>
  <ScaleCrop>false</ScaleCrop>
  <LinksUpToDate>false</LinksUpToDate>
  <CharactersWithSpaces>1654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2018-11-23T16:58:00Z</dcterms:created>
  <dc:creator>Frontiers Media SA</dc:creator>
  <cp:lastModifiedBy>hongruimin</cp:lastModifiedBy>
  <cp:lastPrinted>2013-10-03T20:51:00Z</cp:lastPrinted>
  <dcterms:modified xsi:type="dcterms:W3CDTF">2021-05-23T15:11:54Z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